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6"/>
        </w:rPr>
        <w:t>Supporting Notes</w:t>
      </w:r>
    </w:p>
    <w:p>
      <w:r>
        <w:t>Arpit Joshua Elias (24257567) | MSc Artificial Intelligence</w:t>
      </w:r>
    </w:p>
    <w:p/>
    <w:p>
      <w:r>
        <w:t>Sir, this document bundles the smaller task notes from this week into one place: the citation verification, the SHAP attribution definition, the data-clustering checks, and the Nadeau-Bengio practice.</w:t>
      </w:r>
    </w:p>
    <w:p/>
    <w:p>
      <w:r>
        <w:rPr>
          <w:b/>
        </w:rPr>
        <w:t>1. Task 1: recent paper citation verification</w:t>
      </w:r>
    </w:p>
    <w:p>
      <w:r>
        <w:t>I verified the five recent papers in the gap analysis against their published sources (authors, year, venue, DOI). All five are correctly cited. I found one wording correction: the Wang IQPD paper uses four production units, not six, which I have corrected in the gap analysis. The five seminal papers were verified earlier.</w:t>
      </w:r>
    </w:p>
    <w:p>
      <w:r>
        <w:rPr>
          <w:b/>
        </w:rPr>
        <w:t>2. Task 2: uncertainty-stratified attribution definition</w:t>
      </w:r>
    </w:p>
    <w:p>
      <w:r>
        <w:t>For each prediction I will compute SHAP attributions using a gradient-based variant (DeepSHAP or GradientExplainer, not KernelSHAP, which is too slow on a 2000-plus timestep by 10-channel input), aggregated to two interpretable levels: per sensor channel, and per compression phase (early, mid and late thirds of the trajectory). I then split test predictions into bins by epistemic uncertainty and compute the average attribution map within each bin. Finally I compare the maps between high-confidence and low-confidence bins using Kendall rank correlation, to test whether confident and uncertain predictions rely on different sensors and phases.</w:t>
      </w:r>
    </w:p>
    <w:p>
      <w:r>
        <w:rPr>
          <w:b/>
        </w:rPr>
        <w:t>3. Methodology checks: NaN and truncation by product code</w:t>
      </w:r>
    </w:p>
    <w:p>
      <w:r>
        <w:t>You asked whether the missing-sensor batches and the truncated batches cluster by product code. Truncation does cluster: it concentrates in specific codes (code 13 at 66 percent, code 12 at 86 percent, code 2 at 94 percent), including the OOD-eligible code 13. So the leave-one-product-code-out evaluation must use full-length trajectories to avoid confounding distribution shift with truncation, which is why the GPU run lifted the cap to cover 93 percent of batches. The 62 missing-sensor batches do not cluster problematically: they are spread thinly, and all six OOD-eligible codes have low rates. The zero-fill (no-press-activity) is consistent across codes.</w:t>
      </w:r>
    </w:p>
    <w:p>
      <w:r>
        <w:rPr>
          <w:b/>
        </w:rPr>
        <w:t>4. Nadeau-Bengio corrected test (practice)</w:t>
      </w:r>
    </w:p>
    <w:p>
      <w:r>
        <w:t>As you suggested, I started practicing the Nadeau-Bengio corrected test, which adjusts the variance for the fact that cross-validation folds share training data, giving an honest significance test. As a practice run comparing LASSO and XGBoost on dissolution over the same folds, the difference was not significant (p = 0.31). This is the test working as intended: it stops a small, noisy difference being called significant. I will apply it to the real comparisons (single-task versus multi-task, and model versus baselines) once those results are 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