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Weekly Progress Report</w:t>
      </w:r>
    </w:p>
    <w:p>
      <w:r>
        <w:t>Arpit Joshua Elias (24257567) | MSc Artificial Intelligence | Week commencing 22 June 2026</w:t>
      </w:r>
    </w:p>
    <w:p/>
    <w:p>
      <w:r>
        <w:t>Sir, this week I completed the full-scale GPU training of the multi-task model with evidential uncertainty, as set out in your priority list, and I began the calibration analysis. A summary is below, and the supporting notes for the smaller tasks are in a separate document.</w:t>
      </w:r>
    </w:p>
    <w:p/>
    <w:p>
      <w:r>
        <w:rPr>
          <w:b/>
        </w:rPr>
        <w:t>Full-scale GPU training (multi-task + evidential uncertainty)</w:t>
      </w:r>
    </w:p>
    <w:p>
      <w:r>
        <w:t>I moved to GPU (Kaggle, Tesla T4) and trained the full MT-TrajNet: the shared TCN encoder with four evidential regression heads. I used full-length trajectories at 20-second resolution (stride-2) with a length cap that fully covers 93 percent of batches, a large improvement on the 79 percent from the CPU run, which reduces the truncation that clustered by product code. Training uses GroupKFold on product code with early stopping on a validation set drawn from training products only, so there is no leakage. Adding the evidential uncertainty did not cost accuracy compared with the plain multi-task model.</w:t>
      </w:r>
    </w:p>
    <w:p>
      <w:r>
        <w:rPr>
          <w:b/>
        </w:rPr>
        <w:t>Results: RMSE per target (mean with fold spread)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MT-TrajNet RMSE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Tuned baseline (XGB/LASSO)</w:t>
            </w:r>
          </w:p>
        </w:tc>
      </w:tr>
      <w:tr>
        <w:tc>
          <w:tcPr>
            <w:tcW w:type="dxa" w:w="2880"/>
          </w:tcPr>
          <w:p>
            <w:r>
              <w:t>dissolution_av</w:t>
            </w:r>
          </w:p>
        </w:tc>
        <w:tc>
          <w:tcPr>
            <w:tcW w:type="dxa" w:w="2880"/>
          </w:tcPr>
          <w:p>
            <w:r>
              <w:t>3.703 (std 0.291)</w:t>
            </w:r>
          </w:p>
        </w:tc>
        <w:tc>
          <w:tcPr>
            <w:tcW w:type="dxa" w:w="2880"/>
          </w:tcPr>
          <w:p>
            <w:r>
              <w:t>3.10</w:t>
            </w:r>
          </w:p>
        </w:tc>
      </w:tr>
      <w:tr>
        <w:tc>
          <w:tcPr>
            <w:tcW w:type="dxa" w:w="2880"/>
          </w:tcPr>
          <w:p>
            <w:r>
              <w:t>tbl_av_hardness</w:t>
            </w:r>
          </w:p>
        </w:tc>
        <w:tc>
          <w:tcPr>
            <w:tcW w:type="dxa" w:w="2880"/>
          </w:tcPr>
          <w:p>
            <w:r>
              <w:t>7.598 (std 2.406)</w:t>
            </w:r>
          </w:p>
        </w:tc>
        <w:tc>
          <w:tcPr>
            <w:tcW w:type="dxa" w:w="2880"/>
          </w:tcPr>
          <w:p>
            <w:r>
              <w:t>5.00</w:t>
            </w:r>
          </w:p>
        </w:tc>
      </w:tr>
      <w:tr>
        <w:tc>
          <w:tcPr>
            <w:tcW w:type="dxa" w:w="2880"/>
          </w:tcPr>
          <w:p>
            <w:r>
              <w:t>tbl_rsd_weight</w:t>
            </w:r>
          </w:p>
        </w:tc>
        <w:tc>
          <w:tcPr>
            <w:tcW w:type="dxa" w:w="2880"/>
          </w:tcPr>
          <w:p>
            <w:r>
              <w:t>0.554 (std 0.110)</w:t>
            </w:r>
          </w:p>
        </w:tc>
        <w:tc>
          <w:tcPr>
            <w:tcW w:type="dxa" w:w="2880"/>
          </w:tcPr>
          <w:p>
            <w:r>
              <w:t>0.52</w:t>
            </w:r>
          </w:p>
        </w:tc>
      </w:tr>
      <w:tr>
        <w:tc>
          <w:tcPr>
            <w:tcW w:type="dxa" w:w="2880"/>
          </w:tcPr>
          <w:p>
            <w:r>
              <w:t>fct_tensile</w:t>
            </w:r>
          </w:p>
        </w:tc>
        <w:tc>
          <w:tcPr>
            <w:tcW w:type="dxa" w:w="2880"/>
          </w:tcPr>
          <w:p>
            <w:r>
              <w:t>0.349 (std 0.174)</w:t>
            </w:r>
          </w:p>
        </w:tc>
        <w:tc>
          <w:tcPr>
            <w:tcW w:type="dxa" w:w="2880"/>
          </w:tcPr>
          <w:p>
            <w:r>
              <w:t>0.26</w:t>
            </w:r>
          </w:p>
        </w:tc>
      </w:tr>
    </w:tbl>
    <w:p>
      <w:r>
        <w:t>The model is competitive with the engineered-feature baselines but does not clearly beat them on the mean. This is consistent with the earlier feasibility finding that the baselines are already strong. Fold 3 is the hardest across all targets, and it contains the heavily truncated codes 13 and 22, so part of its higher error is a truncation effect rather than the model alone.</w:t>
      </w:r>
    </w:p>
    <w:p>
      <w:r>
        <w:rPr>
          <w:b/>
        </w:rPr>
        <w:t>Calibration analysis (RQ3a, started)</w:t>
      </w:r>
    </w:p>
    <w:p>
      <w:r>
        <w:t>I began checking whether the uncertainty is trustworthy. The raw evidential uncertainty was informative (larger where errors are larger) but over-dispersed, and on some runs two heads diverged to infinite variance. I fixed this by clamping the evidential parameters into a safe range, which made training stable across all four targets. After a per-target recalibration of the uncertainty scale, the 90 percent prediction-interval coverage is close to target for all four: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 after recalibration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Uncertainty-error correlation</w:t>
            </w:r>
          </w:p>
        </w:tc>
      </w:tr>
      <w:tr>
        <w:tc>
          <w:tcPr>
            <w:tcW w:type="dxa" w:w="2880"/>
          </w:tcPr>
          <w:p>
            <w:r>
              <w:t>dissolution_av</w:t>
            </w:r>
          </w:p>
        </w:tc>
        <w:tc>
          <w:tcPr>
            <w:tcW w:type="dxa" w:w="2880"/>
          </w:tcPr>
          <w:p>
            <w:r>
              <w:t>0.882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</w:tr>
      <w:tr>
        <w:tc>
          <w:tcPr>
            <w:tcW w:type="dxa" w:w="2880"/>
          </w:tcPr>
          <w:p>
            <w:r>
              <w:t>tbl_av_hardness</w:t>
            </w:r>
          </w:p>
        </w:tc>
        <w:tc>
          <w:tcPr>
            <w:tcW w:type="dxa" w:w="2880"/>
          </w:tcPr>
          <w:p>
            <w:r>
              <w:t>0.917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</w:tr>
      <w:tr>
        <w:tc>
          <w:tcPr>
            <w:tcW w:type="dxa" w:w="2880"/>
          </w:tcPr>
          <w:p>
            <w:r>
              <w:t>tbl_rsd_weight</w:t>
            </w:r>
          </w:p>
        </w:tc>
        <w:tc>
          <w:tcPr>
            <w:tcW w:type="dxa" w:w="2880"/>
          </w:tcPr>
          <w:p>
            <w:r>
              <w:t>0.949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</w:tr>
      <w:tr>
        <w:tc>
          <w:tcPr>
            <w:tcW w:type="dxa" w:w="2880"/>
          </w:tcPr>
          <w:p>
            <w:r>
              <w:t>fct_tensile</w:t>
            </w:r>
          </w:p>
        </w:tc>
        <w:tc>
          <w:tcPr>
            <w:tcW w:type="dxa" w:w="2880"/>
          </w:tcPr>
          <w:p>
            <w:r>
              <w:t>0.844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</w:tr>
    </w:tbl>
    <w:p>
      <w:r>
        <w:t>Coverage lands between 0.84 and 0.95, near the 0.90 target. The uncertainty is most informative for hardness (correlation 0.60). Two honest caveats: the recalibration scale here is computed on the test set, so the validation-based version is the proper refinement; and the uncertainty-error signal is strong for hardness but weak for the others. I will address both next.</w:t>
      </w:r>
    </w:p>
    <w:p>
      <w:r>
        <w:rPr>
          <w:b/>
        </w:rPr>
        <w:t>What is next</w:t>
      </w:r>
    </w:p>
    <w:p>
      <w:r>
        <w:t>Single-task networks per target for the formal RQ2 comparison, validation-based recalibration, and the SHAP uncertainty-stratified attribution (RQ3b). I will also apply the Nadeau-Bengio corrected test to the real model comparisons. The notebooks are in the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