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Progress Update: SHAP Attribution and the Calibration Trade-off</w:t>
      </w:r>
    </w:p>
    <w:p>
      <w:r>
        <w:t>Arpit Joshua Elias (24257567) | MSc Artificial Intelligence</w:t>
      </w:r>
    </w:p>
    <w:p/>
    <w:p>
      <w:r>
        <w:t>Sir, this is where things stand. Tasks 3 and 4 are done, tasks 1 and 2 are paused pending your view on one methodological question, and task 5 is next.</w:t>
      </w:r>
    </w:p>
    <w:p>
      <w:r>
        <w:rPr>
          <w:b/>
        </w:rPr>
        <w:t>Tasks 3 and 4: SHAP attribution, done</w:t>
      </w:r>
    </w:p>
    <w:p>
      <w:r>
        <w:t>I ran GradientExplainer on the dissolution head for the full test fold (335 batches, 32 background samples), then split the predictions into the most confident and least confident twenty percent by epistemic uncertainty and compared the attribution maps.</w:t>
      </w:r>
    </w:p>
    <w:p>
      <w:r>
        <w:t>The channel rankings differ significantly between the two groups (Kendall tau 0.644, p = 0.009). Confident predictions rely on main_comp and cyl_pre, while uncertain predictions shift towards pre_comp (3.1 times), cyl_main (2.8 times) and tbl_fill (1.9 times).</w:t>
      </w:r>
    </w:p>
    <w:p>
      <w:r>
        <w:t>The phase result is the more striking one. When the model is confident it uses almost only the early compression phase. When it is uncertain it attends about ten times more to the mid phase and 4.5 times more to the late phase, as if searching further along the trajectory when it does not recognise the batch.</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Confident</w:t>
            </w:r>
          </w:p>
        </w:tc>
        <w:tc>
          <w:tcPr>
            <w:tcW w:type="dxa" w:w="2160"/>
          </w:tcPr>
          <w:p>
            <w:r>
              <w:rPr>
                <w:b/>
              </w:rPr>
              <w:t>Uncertain</w:t>
            </w:r>
          </w:p>
        </w:tc>
        <w:tc>
          <w:tcPr>
            <w:tcW w:type="dxa" w:w="2160"/>
          </w:tcPr>
          <w:p>
            <w:r>
              <w:rPr>
                <w:b/>
              </w:rPr>
              <w:t>Ratio</w:t>
            </w:r>
          </w:p>
        </w:tc>
      </w:tr>
      <w:tr>
        <w:tc>
          <w:tcPr>
            <w:tcW w:type="dxa" w:w="2160"/>
          </w:tcPr>
          <w:p>
            <w:r>
              <w:t>early</w:t>
            </w:r>
          </w:p>
        </w:tc>
        <w:tc>
          <w:tcPr>
            <w:tcW w:type="dxa" w:w="2160"/>
          </w:tcPr>
          <w:p>
            <w:r>
              <w:t>2.160</w:t>
            </w:r>
          </w:p>
        </w:tc>
        <w:tc>
          <w:tcPr>
            <w:tcW w:type="dxa" w:w="2160"/>
          </w:tcPr>
          <w:p>
            <w:r>
              <w:t>2.214</w:t>
            </w:r>
          </w:p>
        </w:tc>
        <w:tc>
          <w:tcPr>
            <w:tcW w:type="dxa" w:w="2160"/>
          </w:tcPr>
          <w:p>
            <w:r>
              <w:t>1.03</w:t>
            </w:r>
          </w:p>
        </w:tc>
      </w:tr>
      <w:tr>
        <w:tc>
          <w:tcPr>
            <w:tcW w:type="dxa" w:w="2160"/>
          </w:tcPr>
          <w:p>
            <w:r>
              <w:t>mid</w:t>
            </w:r>
          </w:p>
        </w:tc>
        <w:tc>
          <w:tcPr>
            <w:tcW w:type="dxa" w:w="2160"/>
          </w:tcPr>
          <w:p>
            <w:r>
              <w:t>0.095</w:t>
            </w:r>
          </w:p>
        </w:tc>
        <w:tc>
          <w:tcPr>
            <w:tcW w:type="dxa" w:w="2160"/>
          </w:tcPr>
          <w:p>
            <w:r>
              <w:t>0.956</w:t>
            </w:r>
          </w:p>
        </w:tc>
        <w:tc>
          <w:tcPr>
            <w:tcW w:type="dxa" w:w="2160"/>
          </w:tcPr>
          <w:p>
            <w:r>
              <w:t>10.10</w:t>
            </w:r>
          </w:p>
        </w:tc>
      </w:tr>
      <w:tr>
        <w:tc>
          <w:tcPr>
            <w:tcW w:type="dxa" w:w="2160"/>
          </w:tcPr>
          <w:p>
            <w:r>
              <w:t>late</w:t>
            </w:r>
          </w:p>
        </w:tc>
        <w:tc>
          <w:tcPr>
            <w:tcW w:type="dxa" w:w="2160"/>
          </w:tcPr>
          <w:p>
            <w:r>
              <w:t>0.080</w:t>
            </w:r>
          </w:p>
        </w:tc>
        <w:tc>
          <w:tcPr>
            <w:tcW w:type="dxa" w:w="2160"/>
          </w:tcPr>
          <w:p>
            <w:r>
              <w:t>0.358</w:t>
            </w:r>
          </w:p>
        </w:tc>
        <w:tc>
          <w:tcPr>
            <w:tcW w:type="dxa" w:w="2160"/>
          </w:tcPr>
          <w:p>
            <w:r>
              <w:t>4.49</w:t>
            </w:r>
          </w:p>
        </w:tc>
      </w:tr>
    </w:tbl>
    <w:p>
      <w:r>
        <w:t>One honest note: the phase-level Kendall test has almost no power with only three categories, so I report the ratios rather than that statistic. The channel-level tau over ten channels is the meaningful test.</w:t>
      </w:r>
    </w:p>
    <w:p>
      <w:r>
        <w:rPr>
          <w:b/>
        </w:rPr>
        <w:t>Tasks 1 and 2: paused, one question for you</w:t>
      </w:r>
    </w:p>
    <w:p>
      <w:r>
        <w:t>Following your point that the table and the test must come from the same run, I rebuilt everything into a single seeded, reproducible run where the accuracy and the calibration both come from one model with the proper held-out calibration split. The result is a trade-off I did not expect: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7"/>
              </w:rPr>
              <w:t>Target</w:t>
            </w:r>
          </w:p>
        </w:tc>
        <w:tc>
          <w:tcPr>
            <w:tcW w:type="dxa" w:w="1728"/>
          </w:tcPr>
          <w:p>
            <w:r>
              <w:rPr>
                <w:b/>
                <w:sz w:val="17"/>
              </w:rPr>
              <w:t>RMSE (mean, spread)</w:t>
            </w:r>
          </w:p>
        </w:tc>
        <w:tc>
          <w:tcPr>
            <w:tcW w:type="dxa" w:w="1728"/>
          </w:tcPr>
          <w:p>
            <w:r>
              <w:rPr>
                <w:b/>
                <w:sz w:val="17"/>
              </w:rPr>
              <w:t>PICP (90%)</w:t>
            </w:r>
          </w:p>
        </w:tc>
        <w:tc>
          <w:tcPr>
            <w:tcW w:type="dxa" w:w="1728"/>
          </w:tcPr>
          <w:p>
            <w:r>
              <w:rPr>
                <w:b/>
                <w:sz w:val="17"/>
              </w:rPr>
              <w:t>ECE</w:t>
            </w:r>
          </w:p>
        </w:tc>
        <w:tc>
          <w:tcPr>
            <w:tcW w:type="dxa" w:w="1728"/>
          </w:tcPr>
          <w:p>
            <w:r>
              <w:rPr>
                <w:b/>
                <w:sz w:val="17"/>
              </w:rPr>
              <w:t>Unc-error corr</w:t>
            </w:r>
          </w:p>
        </w:tc>
      </w:tr>
      <w:tr>
        <w:tc>
          <w:tcPr>
            <w:tcW w:type="dxa" w:w="1728"/>
          </w:tcPr>
          <w:p>
            <w:r>
              <w:rPr>
                <w:sz w:val="17"/>
              </w:rPr>
              <w:t>dissolution_av</w:t>
            </w:r>
          </w:p>
        </w:tc>
        <w:tc>
          <w:tcPr>
            <w:tcW w:type="dxa" w:w="1728"/>
          </w:tcPr>
          <w:p>
            <w:r>
              <w:rPr>
                <w:sz w:val="17"/>
              </w:rPr>
              <w:t>3.872 (0.316)</w:t>
            </w:r>
          </w:p>
        </w:tc>
        <w:tc>
          <w:tcPr>
            <w:tcW w:type="dxa" w:w="1728"/>
          </w:tcPr>
          <w:p>
            <w:r>
              <w:rPr>
                <w:sz w:val="17"/>
              </w:rPr>
              <w:t>0.863</w:t>
            </w:r>
          </w:p>
        </w:tc>
        <w:tc>
          <w:tcPr>
            <w:tcW w:type="dxa" w:w="1728"/>
          </w:tcPr>
          <w:p>
            <w:r>
              <w:rPr>
                <w:sz w:val="17"/>
              </w:rPr>
              <w:t>0.034</w:t>
            </w:r>
          </w:p>
        </w:tc>
        <w:tc>
          <w:tcPr>
            <w:tcW w:type="dxa" w:w="1728"/>
          </w:tcPr>
          <w:p>
            <w:r>
              <w:rPr>
                <w:sz w:val="17"/>
              </w:rPr>
              <w:t>0.20</w:t>
            </w:r>
          </w:p>
        </w:tc>
      </w:tr>
      <w:tr>
        <w:tc>
          <w:tcPr>
            <w:tcW w:type="dxa" w:w="1728"/>
          </w:tcPr>
          <w:p>
            <w:r>
              <w:rPr>
                <w:sz w:val="17"/>
              </w:rPr>
              <w:t>tbl_av_hardness</w:t>
            </w:r>
          </w:p>
        </w:tc>
        <w:tc>
          <w:tcPr>
            <w:tcW w:type="dxa" w:w="1728"/>
          </w:tcPr>
          <w:p>
            <w:r>
              <w:rPr>
                <w:sz w:val="17"/>
              </w:rPr>
              <w:t>13.072 (4.948)</w:t>
            </w:r>
          </w:p>
        </w:tc>
        <w:tc>
          <w:tcPr>
            <w:tcW w:type="dxa" w:w="1728"/>
          </w:tcPr>
          <w:p>
            <w:r>
              <w:rPr>
                <w:sz w:val="17"/>
              </w:rPr>
              <w:t>0.848</w:t>
            </w:r>
          </w:p>
        </w:tc>
        <w:tc>
          <w:tcPr>
            <w:tcW w:type="dxa" w:w="1728"/>
          </w:tcPr>
          <w:p>
            <w:r>
              <w:rPr>
                <w:sz w:val="17"/>
              </w:rPr>
              <w:t>0.030</w:t>
            </w:r>
          </w:p>
        </w:tc>
        <w:tc>
          <w:tcPr>
            <w:tcW w:type="dxa" w:w="1728"/>
          </w:tcPr>
          <w:p>
            <w:r>
              <w:rPr>
                <w:sz w:val="17"/>
              </w:rPr>
              <w:t>0.74</w:t>
            </w:r>
          </w:p>
        </w:tc>
      </w:tr>
      <w:tr>
        <w:tc>
          <w:tcPr>
            <w:tcW w:type="dxa" w:w="1728"/>
          </w:tcPr>
          <w:p>
            <w:r>
              <w:rPr>
                <w:sz w:val="17"/>
              </w:rPr>
              <w:t>tbl_rsd_weight</w:t>
            </w:r>
          </w:p>
        </w:tc>
        <w:tc>
          <w:tcPr>
            <w:tcW w:type="dxa" w:w="1728"/>
          </w:tcPr>
          <w:p>
            <w:r>
              <w:rPr>
                <w:sz w:val="17"/>
              </w:rPr>
              <w:t>0.554 (0.101)</w:t>
            </w:r>
          </w:p>
        </w:tc>
        <w:tc>
          <w:tcPr>
            <w:tcW w:type="dxa" w:w="1728"/>
          </w:tcPr>
          <w:p>
            <w:r>
              <w:rPr>
                <w:sz w:val="17"/>
              </w:rPr>
              <w:t>0.748</w:t>
            </w:r>
          </w:p>
        </w:tc>
        <w:tc>
          <w:tcPr>
            <w:tcW w:type="dxa" w:w="1728"/>
          </w:tcPr>
          <w:p>
            <w:r>
              <w:rPr>
                <w:sz w:val="17"/>
              </w:rPr>
              <w:t>0.101</w:t>
            </w:r>
          </w:p>
        </w:tc>
        <w:tc>
          <w:tcPr>
            <w:tcW w:type="dxa" w:w="1728"/>
          </w:tcPr>
          <w:p>
            <w:r>
              <w:rPr>
                <w:sz w:val="17"/>
              </w:rPr>
              <w:t>0.02</w:t>
            </w:r>
          </w:p>
        </w:tc>
      </w:tr>
      <w:tr>
        <w:tc>
          <w:tcPr>
            <w:tcW w:type="dxa" w:w="1728"/>
          </w:tcPr>
          <w:p>
            <w:r>
              <w:rPr>
                <w:sz w:val="17"/>
              </w:rPr>
              <w:t>fct_tensile</w:t>
            </w:r>
          </w:p>
        </w:tc>
        <w:tc>
          <w:tcPr>
            <w:tcW w:type="dxa" w:w="1728"/>
          </w:tcPr>
          <w:p>
            <w:r>
              <w:rPr>
                <w:sz w:val="17"/>
              </w:rPr>
              <w:t>0.430 (0.130)</w:t>
            </w:r>
          </w:p>
        </w:tc>
        <w:tc>
          <w:tcPr>
            <w:tcW w:type="dxa" w:w="1728"/>
          </w:tcPr>
          <w:p>
            <w:r>
              <w:rPr>
                <w:sz w:val="17"/>
              </w:rPr>
              <w:t>0.847</w:t>
            </w:r>
          </w:p>
        </w:tc>
        <w:tc>
          <w:tcPr>
            <w:tcW w:type="dxa" w:w="1728"/>
          </w:tcPr>
          <w:p>
            <w:r>
              <w:rPr>
                <w:sz w:val="17"/>
              </w:rPr>
              <w:t>0.032</w:t>
            </w:r>
          </w:p>
        </w:tc>
        <w:tc>
          <w:tcPr>
            <w:tcW w:type="dxa" w:w="1728"/>
          </w:tcPr>
          <w:p>
            <w:r>
              <w:rPr>
                <w:sz w:val="17"/>
              </w:rPr>
              <w:t>0.27</w:t>
            </w:r>
          </w:p>
        </w:tc>
      </w:tr>
    </w:tbl>
    <w:p>
      <w:r>
        <w:t>The calibration is better than before (three targets near PICP 0.85 with ECE around 0.03), but the accuracy is worse. The dissolution mean of 3.369 you referenced came from a run without the held-out calibration split, so holding that data out costs training data and hurts RMSE. Hardness is also unstable, with fold 1 at 19.7 because that fold tests on three of the five high-hardness codes while training on few of them, which is the cluster effect you identified.</w:t>
      </w:r>
    </w:p>
    <w:p>
      <w:r>
        <w:t>Before I rebuild the comparison table and re-run the RQ1 Nadeau-Bengio test, could you tell me which pipeline should be authoritative? One alternative is cross-fitting, using out-of-fold predictions to fit the calibration so no training data is sacrificed. I did not want to build the table on numbers that would then change.</w:t>
      </w:r>
    </w:p>
    <w:p>
      <w:r>
        <w:rPr>
          <w:b/>
        </w:rPr>
        <w:t>Task 5 and next steps</w:t>
      </w:r>
    </w:p>
    <w:p>
      <w:r>
        <w:t>Next I will run the leave-one-product-code-out OOD test on code 15 (high-hardness cluster) and a low-cluster code, so the two can be compared, and then extend the attribution analysis to more folds and targets. Everything above comes from Notebook 6, which is a single seeded run, so the numbers are reproducible. Whenever you have a moment to reply here with your view on the calibration pipeline, I will carry on from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