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sz w:val="36"/>
        </w:rPr>
        <w:t>From Detection to Verified Replacement: An End-to-End Framework for Post-Quantum Cryptographic Migration of Python Codebases</w:t>
      </w:r>
    </w:p>
    <w:p>
      <w:pPr>
        <w:spacing w:after="40"/>
        <w:jc w:val="center"/>
      </w:pPr>
      <w:r>
        <w:rPr>
          <w:rFonts w:ascii="Times New Roman" w:hAnsi="Times New Roman"/>
          <w:b/>
          <w:i w:val="0"/>
          <w:sz w:val="21"/>
        </w:rPr>
        <w:t>Priyanshu Sen</w:t>
      </w:r>
      <w:r>
        <w:rPr>
          <w:rFonts w:ascii="Times New Roman" w:hAnsi="Times New Roman"/>
          <w:b w:val="0"/>
          <w:i w:val="0"/>
          <w:sz w:val="21"/>
        </w:rPr>
        <w:t xml:space="preserve"> (23BCT0040), </w:t>
      </w:r>
      <w:r>
        <w:rPr>
          <w:rFonts w:ascii="Times New Roman" w:hAnsi="Times New Roman"/>
          <w:b/>
          <w:i w:val="0"/>
          <w:sz w:val="21"/>
        </w:rPr>
        <w:t>Vedansh Trivedi</w:t>
      </w:r>
      <w:r>
        <w:rPr>
          <w:rFonts w:ascii="Times New Roman" w:hAnsi="Times New Roman"/>
          <w:b w:val="0"/>
          <w:i w:val="0"/>
          <w:sz w:val="21"/>
        </w:rPr>
        <w:t xml:space="preserve"> (23BCT0056), </w:t>
      </w:r>
      <w:r>
        <w:rPr>
          <w:rFonts w:ascii="Times New Roman" w:hAnsi="Times New Roman"/>
          <w:b/>
          <w:i w:val="0"/>
          <w:sz w:val="21"/>
        </w:rPr>
        <w:t>Arpit Mittal</w:t>
      </w:r>
      <w:r>
        <w:rPr>
          <w:rFonts w:ascii="Times New Roman" w:hAnsi="Times New Roman"/>
          <w:b w:val="0"/>
          <w:i w:val="0"/>
          <w:sz w:val="21"/>
        </w:rPr>
        <w:t xml:space="preserve"> (23BCI0044)</w:t>
      </w:r>
    </w:p>
    <w:p>
      <w:pPr>
        <w:spacing w:after="40"/>
        <w:jc w:val="center"/>
      </w:pPr>
      <w:r>
        <w:rPr>
          <w:rFonts w:ascii="Times New Roman" w:hAnsi="Times New Roman"/>
          <w:b w:val="0"/>
          <w:i w:val="0"/>
          <w:sz w:val="21"/>
        </w:rPr>
        <w:t>School of Computer Science and Engineering, Vellore Institute of Technology, Vellore, India</w:t>
      </w:r>
    </w:p>
    <w:p>
      <w:pPr>
        <w:spacing w:after="40"/>
        <w:jc w:val="center"/>
      </w:pPr>
      <w:r>
        <w:rPr>
          <w:rFonts w:ascii="Times New Roman" w:hAnsi="Times New Roman"/>
          <w:b w:val="0"/>
          <w:i w:val="0"/>
          <w:sz w:val="21"/>
        </w:rPr>
        <w:t>Team ID: 20106UG02</w:t>
      </w:r>
    </w:p>
    <w:p>
      <w:pPr>
        <w:spacing w:after="120"/>
      </w:pPr>
    </w:p>
    <w:p>
      <w:pPr>
        <w:spacing w:before="80" w:after="160"/>
        <w:ind w:left="360"/>
      </w:pPr>
      <w:r>
        <w:rPr>
          <w:rFonts w:ascii="Times New Roman" w:hAnsi="Times New Roman"/>
          <w:i/>
          <w:color w:val="A03020"/>
          <w:sz w:val="18"/>
        </w:rPr>
        <w:t>[ Insert faculty guide's name, designation and affiliation here before submission. ]</w:t>
      </w:r>
    </w:p>
    <w:p>
      <w:pPr>
        <w:spacing w:before="240" w:after="80"/>
      </w:pPr>
      <w:r>
        <w:rPr>
          <w:rFonts w:ascii="Times New Roman" w:hAnsi="Times New Roman"/>
          <w:b/>
          <w:caps w:val="0"/>
          <w:sz w:val="22"/>
        </w:rPr>
        <w:t>Abstract</w:t>
      </w:r>
    </w:p>
    <w:p>
      <w:pPr>
        <w:spacing w:after="100"/>
        <w:jc w:val="both"/>
      </w:pPr>
      <w:r>
        <w:rPr>
          <w:rFonts w:ascii="Times New Roman" w:hAnsi="Times New Roman"/>
          <w:b w:val="0"/>
          <w:i w:val="0"/>
          <w:sz w:val="20"/>
        </w:rPr>
        <w:t>Public-key cryptography based on integer factorisation and discrete logarithms underpins the confidentiality and authenticity guarantees of practically all deployed software, and all of it falls to a sufficiently capable quantum computer. The National Institute of Standards and Technology closed the algorithmic side of this problem in 2024 by standardising ML-KEM, ML-DSA and SLH-DSA, but the engineering side remains open: an organisation holding a large codebase still has no systematic way to locate its vulnerable cryptography, decide what each occurrence should become, change it, and convince itself that the result still works. Existing efforts treat these as separate concerns — discovery tools that stop at an inventory, guidance documents that describe crypto-agility without prescribing a path, and code-transformation experiments that produce patches nobody has executed.</w:t>
      </w:r>
    </w:p>
    <w:p>
      <w:pPr>
        <w:spacing w:after="100"/>
        <w:jc w:val="both"/>
      </w:pPr>
      <w:r>
        <w:rPr>
          <w:rFonts w:ascii="Times New Roman" w:hAnsi="Times New Roman"/>
          <w:b w:val="0"/>
          <w:i w:val="0"/>
          <w:sz w:val="20"/>
        </w:rPr>
        <w:t>This paper presents a framework that joins them into one pipeline: static detection of quantum-vulnerable primitives, context-sensitive selection of a NIST replacement, rule-based source rewriting onto a compatibility layer, functional verification of the rewritten program, and automated reporting with measured cost figures. We evaluate the detector on a purpose-built labelled benchmark of 29 Python modules containing 38 annotated cryptographic sites, and report precision of 1.00 and recall of 1.00 over the 31 sites within the prototype's stated scope, with no false alarms across six cryptographically clean modules. On a deliberately adversarial set of seven sites reached through wrapper libraries, string parameters and dynamic dispatch, recall is 0.00, which delimits exactly where purely syntactic analysis stops being sufficient. Applied to three sample applications, the pipeline migrated nine of nine detected sites and the rewritten RSA and ECDSA applications executed successfully under real ML-KEM and ML-DSA. Measured on our hardware, migration leaves key generation faster but inflates transmitted material substantially: ML-KEM-768 public keys are 4.0× the size of RSA-2048's, and ML-DSA-65 signatures are 46.6× an ECDSA P-256 signature.</w:t>
      </w:r>
    </w:p>
    <w:p>
      <w:pPr>
        <w:spacing w:after="100"/>
        <w:jc w:val="both"/>
      </w:pPr>
      <w:r>
        <w:rPr>
          <w:rFonts w:ascii="Times New Roman" w:hAnsi="Times New Roman"/>
          <w:b/>
          <w:i w:val="0"/>
          <w:sz w:val="20"/>
        </w:rPr>
        <w:t>Index Terms</w:t>
      </w:r>
      <w:r>
        <w:rPr>
          <w:rFonts w:ascii="Times New Roman" w:hAnsi="Times New Roman"/>
          <w:b w:val="0"/>
          <w:i w:val="0"/>
          <w:sz w:val="20"/>
        </w:rPr>
        <w:t xml:space="preserve"> — post-quantum cryptography, software migration, static analysis, ML-KEM, ML-DSA, crypto-agility, program verification</w:t>
      </w:r>
    </w:p>
    <w:p>
      <w:pPr>
        <w:spacing w:before="240" w:after="80"/>
      </w:pPr>
      <w:r>
        <w:rPr>
          <w:rFonts w:ascii="Times New Roman" w:hAnsi="Times New Roman"/>
          <w:b/>
          <w:caps w:val="0"/>
          <w:sz w:val="22"/>
        </w:rPr>
        <w:t>I. Introduction</w:t>
      </w:r>
    </w:p>
    <w:p>
      <w:pPr>
        <w:spacing w:before="160" w:after="80"/>
      </w:pPr>
      <w:r>
        <w:rPr>
          <w:rFonts w:ascii="Times New Roman" w:hAnsi="Times New Roman"/>
          <w:b/>
          <w:sz w:val="20"/>
        </w:rPr>
        <w:t>A. The problem is no longer which algorithm, but how to get there</w:t>
      </w:r>
    </w:p>
    <w:p>
      <w:pPr>
        <w:spacing w:after="100"/>
        <w:jc w:val="both"/>
      </w:pPr>
      <w:r>
        <w:rPr>
          <w:rFonts w:ascii="Times New Roman" w:hAnsi="Times New Roman"/>
          <w:b w:val="0"/>
          <w:i w:val="0"/>
          <w:sz w:val="20"/>
        </w:rPr>
        <w:t>For three decades the security of digital infrastructure has rested on a small number of public-key constructions — RSA, elliptic-curve cryptography, and Diffie–Hellman — whose hardness assumptions are specific to classical computation. Shor demonstrated in 1994 that a quantum computer able to maintain sufficient coherent operations solves both integer factorisation and the discrete logarithm problem in polynomial time [11]. Every one of those constructions therefore has a known expiry date; what remains uncertain is only the date itself.</w:t>
      </w:r>
    </w:p>
    <w:p>
      <w:pPr>
        <w:spacing w:after="100"/>
        <w:jc w:val="both"/>
      </w:pPr>
      <w:r>
        <w:rPr>
          <w:rFonts w:ascii="Times New Roman" w:hAnsi="Times New Roman"/>
          <w:b w:val="0"/>
          <w:i w:val="0"/>
          <w:sz w:val="20"/>
        </w:rPr>
        <w:t xml:space="preserve">That uncertainty does not make the problem distant. Encrypted traffic captured today can be stored and decrypted once the capability exists, an attack pattern usually described as </w:t>
      </w:r>
      <w:r>
        <w:rPr>
          <w:rFonts w:ascii="Times New Roman" w:hAnsi="Times New Roman"/>
          <w:b w:val="0"/>
          <w:i/>
          <w:sz w:val="20"/>
        </w:rPr>
        <w:t>harvest-now, decrypt-later</w:t>
      </w:r>
      <w:r>
        <w:rPr>
          <w:rFonts w:ascii="Times New Roman" w:hAnsi="Times New Roman"/>
          <w:b w:val="0"/>
          <w:i w:val="0"/>
          <w:sz w:val="20"/>
        </w:rPr>
        <w:t xml:space="preserve"> [9]. Any data whose confidentiality must outlive the arrival of cryptographically relevant quantum hardware — medical records, identity databases, state communications, long-lived financial instruments — is therefore already exposed, regardless of how strong today's cryptography is against today's adversaries.</w:t>
      </w:r>
    </w:p>
    <w:p>
      <w:pPr>
        <w:spacing w:after="100"/>
        <w:jc w:val="both"/>
      </w:pPr>
      <w:r>
        <w:rPr>
          <w:rFonts w:ascii="Times New Roman" w:hAnsi="Times New Roman"/>
          <w:b w:val="0"/>
          <w:i w:val="0"/>
          <w:sz w:val="20"/>
        </w:rPr>
        <w:t>NIST completed the standardisation response in August 2024, publishing FIPS 203 (ML-KEM, for key encapsulation) [1], FIPS 204 (ML-DSA, for digital signatures) [2] and FIPS 205 (SLH-DSA, a stateless hash-based signature scheme) [3]. High-quality implementations followed quickly. The algorithmic question is, for practical purposes, settled.</w:t>
      </w:r>
    </w:p>
    <w:p>
      <w:pPr>
        <w:spacing w:after="100"/>
        <w:jc w:val="both"/>
      </w:pPr>
      <w:r>
        <w:rPr>
          <w:rFonts w:ascii="Times New Roman" w:hAnsi="Times New Roman"/>
          <w:b w:val="0"/>
          <w:i w:val="0"/>
          <w:sz w:val="20"/>
        </w:rPr>
        <w:t xml:space="preserve">The engineering question is not. An organisation that wishes to act on this guidance confronts a different task entirely: finding every place its software performs quantum-vulnerable cryptography, determining what each of those places is actually </w:t>
      </w:r>
      <w:r>
        <w:rPr>
          <w:rFonts w:ascii="Times New Roman" w:hAnsi="Times New Roman"/>
          <w:b w:val="0"/>
          <w:i/>
          <w:sz w:val="20"/>
        </w:rPr>
        <w:t>for</w:t>
      </w:r>
      <w:r>
        <w:rPr>
          <w:rFonts w:ascii="Times New Roman" w:hAnsi="Times New Roman"/>
          <w:b w:val="0"/>
          <w:i w:val="0"/>
          <w:sz w:val="20"/>
        </w:rPr>
        <w:t>, selecting an appropriate replacement, modifying code that was often written years earlier by people who have left, and establishing that the modified system still behaves correctly. None of that is addressed by publishing an algorithm specification.</w:t>
      </w:r>
    </w:p>
    <w:p>
      <w:pPr>
        <w:spacing w:before="160" w:after="80"/>
      </w:pPr>
      <w:r>
        <w:rPr>
          <w:rFonts w:ascii="Times New Roman" w:hAnsi="Times New Roman"/>
          <w:b/>
          <w:sz w:val="20"/>
        </w:rPr>
        <w:t>B. Why this is harder than a find-and-replace</w:t>
      </w:r>
    </w:p>
    <w:p>
      <w:pPr>
        <w:spacing w:after="100"/>
        <w:jc w:val="both"/>
      </w:pPr>
      <w:r>
        <w:rPr>
          <w:rFonts w:ascii="Times New Roman" w:hAnsi="Times New Roman"/>
          <w:b w:val="0"/>
          <w:i w:val="0"/>
          <w:sz w:val="20"/>
        </w:rPr>
        <w:t>Three properties of real codebases make cryptographic migration resistant to mechanical treatment.</w:t>
      </w:r>
    </w:p>
    <w:p>
      <w:pPr>
        <w:spacing w:after="100"/>
        <w:jc w:val="both"/>
      </w:pPr>
      <w:r>
        <w:rPr>
          <w:rFonts w:ascii="Times New Roman" w:hAnsi="Times New Roman"/>
          <w:b w:val="0"/>
          <w:i/>
          <w:sz w:val="20"/>
        </w:rPr>
        <w:t>Cryptographic usage is diffuse.</w:t>
      </w:r>
      <w:r>
        <w:rPr>
          <w:rFonts w:ascii="Times New Roman" w:hAnsi="Times New Roman"/>
          <w:b w:val="0"/>
          <w:i w:val="0"/>
          <w:sz w:val="20"/>
        </w:rPr>
        <w:t xml:space="preserve"> Key generation, serialisation, encryption and signing are rarely colocated. A single logical operation — establishing a session key — may touch a key-management module, a transport module and a configuration file, each written in a different style.</w:t>
      </w:r>
    </w:p>
    <w:p>
      <w:pPr>
        <w:spacing w:after="100"/>
        <w:jc w:val="both"/>
      </w:pPr>
      <w:r>
        <w:rPr>
          <w:rFonts w:ascii="Times New Roman" w:hAnsi="Times New Roman"/>
          <w:b w:val="0"/>
          <w:i/>
          <w:sz w:val="20"/>
        </w:rPr>
        <w:t>Intent is not recorded.</w:t>
      </w:r>
      <w:r>
        <w:rPr>
          <w:rFonts w:ascii="Times New Roman" w:hAnsi="Times New Roman"/>
          <w:b w:val="0"/>
          <w:i w:val="0"/>
          <w:sz w:val="20"/>
        </w:rPr>
        <w:t xml:space="preserve"> A line reading </w:t>
      </w:r>
      <w:r>
        <w:rPr>
          <w:rFonts w:ascii="Consolas" w:hAnsi="Consolas"/>
          <w:b w:val="0"/>
          <w:i w:val="0"/>
          <w:sz w:val="17"/>
        </w:rPr>
        <w:t>rsa.generate_private_key(...)</w:t>
      </w:r>
      <w:r>
        <w:rPr>
          <w:rFonts w:ascii="Times New Roman" w:hAnsi="Times New Roman"/>
          <w:b w:val="0"/>
          <w:i w:val="0"/>
          <w:sz w:val="20"/>
        </w:rPr>
        <w:t xml:space="preserve"> does not say whether the resulting key will encrypt a session secret or sign a release artifact. The distinction is decisive, because a key-encapsulation mechanism and a signature scheme are not interchangeable; substituting one for the other produces code that fails, or worse, code that appears to work while providing no meaningful guarantee.</w:t>
      </w:r>
    </w:p>
    <w:p>
      <w:pPr>
        <w:spacing w:after="100"/>
        <w:jc w:val="both"/>
      </w:pPr>
      <w:r>
        <w:rPr>
          <w:rFonts w:ascii="Times New Roman" w:hAnsi="Times New Roman"/>
          <w:b w:val="0"/>
          <w:i/>
          <w:sz w:val="20"/>
        </w:rPr>
        <w:t>Replacement is not substitution.</w:t>
      </w:r>
      <w:r>
        <w:rPr>
          <w:rFonts w:ascii="Times New Roman" w:hAnsi="Times New Roman"/>
          <w:b w:val="0"/>
          <w:i w:val="0"/>
          <w:sz w:val="20"/>
        </w:rPr>
        <w:t xml:space="preserve"> The post-quantum primitives differ structurally from what they replace. RSA encrypts a short message directly; ML-KEM encapsulates a shared secret and leaves the payload to a symmetric cipher. Diffie–Hellman is symmetric, with both parties deriving the same secret simultaneously; a KEM is directional. These are not API differences that an adapter can hide — in the Diffie–Hellman case the surrounding protocol itself must change.</w:t>
      </w:r>
    </w:p>
    <w:p>
      <w:pPr>
        <w:spacing w:after="100"/>
        <w:jc w:val="both"/>
      </w:pPr>
      <w:r>
        <w:rPr>
          <w:rFonts w:ascii="Times New Roman" w:hAnsi="Times New Roman"/>
          <w:b w:val="0"/>
          <w:i w:val="0"/>
          <w:sz w:val="20"/>
        </w:rPr>
        <w:t>A migration approach that ignores any of these produces either an incomplete inventory or a patch that nobody can trust.</w:t>
      </w:r>
    </w:p>
    <w:p>
      <w:pPr>
        <w:spacing w:before="160" w:after="80"/>
      </w:pPr>
      <w:r>
        <w:rPr>
          <w:rFonts w:ascii="Times New Roman" w:hAnsi="Times New Roman"/>
          <w:b/>
          <w:sz w:val="20"/>
        </w:rPr>
        <w:t>C. Contributions</w:t>
      </w:r>
    </w:p>
    <w:p>
      <w:pPr>
        <w:spacing w:after="100"/>
        <w:jc w:val="both"/>
      </w:pPr>
      <w:r>
        <w:rPr>
          <w:rFonts w:ascii="Times New Roman" w:hAnsi="Times New Roman"/>
          <w:b w:val="0"/>
          <w:i w:val="0"/>
          <w:sz w:val="20"/>
        </w:rPr>
        <w:t>This paper describes the design, implementation and evaluation of a framework that treats migration as a single pipeline rather than a collection of tools. Specifically:</w:t>
      </w:r>
    </w:p>
    <w:p>
      <w:pPr>
        <w:pStyle w:val="ListNumber"/>
        <w:spacing w:after="60"/>
        <w:jc w:val="both"/>
      </w:pPr>
      <w:r>
        <w:rPr>
          <w:rFonts w:ascii="Times New Roman" w:hAnsi="Times New Roman"/>
          <w:b/>
          <w:i w:val="0"/>
          <w:sz w:val="20"/>
        </w:rPr>
        <w:t>A purpose-aware detector.</w:t>
      </w:r>
      <w:r>
        <w:rPr>
          <w:rFonts w:ascii="Times New Roman" w:hAnsi="Times New Roman"/>
          <w:b w:val="0"/>
          <w:i w:val="0"/>
          <w:sz w:val="20"/>
        </w:rPr>
        <w:t xml:space="preserve"> Abstract-syntax-tree analysis locates quantum-vulnerable</w:t>
      </w:r>
    </w:p>
    <w:p>
      <w:pPr>
        <w:spacing w:after="100"/>
        <w:jc w:val="both"/>
      </w:pPr>
      <w:r>
        <w:rPr>
          <w:rFonts w:ascii="Times New Roman" w:hAnsi="Times New Roman"/>
          <w:b w:val="0"/>
          <w:i w:val="0"/>
          <w:sz w:val="20"/>
        </w:rPr>
        <w:t>primitives in Python source and classifies each occurrence by the role it plays — key encapsulation, key exchange, or signature — using evidence drawn from the rest of the enclosing module.</w:t>
      </w:r>
    </w:p>
    <w:p>
      <w:pPr>
        <w:pStyle w:val="ListNumber"/>
        <w:spacing w:after="60"/>
        <w:jc w:val="both"/>
      </w:pPr>
      <w:r>
        <w:rPr>
          <w:rFonts w:ascii="Times New Roman" w:hAnsi="Times New Roman"/>
          <w:b/>
          <w:i w:val="0"/>
          <w:sz w:val="20"/>
        </w:rPr>
        <w:t>A context-sensitive recommendation engine.</w:t>
      </w:r>
      <w:r>
        <w:rPr>
          <w:rFonts w:ascii="Times New Roman" w:hAnsi="Times New Roman"/>
          <w:b w:val="0"/>
          <w:i w:val="0"/>
          <w:sz w:val="20"/>
        </w:rPr>
        <w:t xml:space="preserve"> Each finding is mapped to a specific</w:t>
      </w:r>
    </w:p>
    <w:p>
      <w:pPr>
        <w:spacing w:after="100"/>
        <w:jc w:val="both"/>
      </w:pPr>
      <w:r>
        <w:rPr>
          <w:rFonts w:ascii="Times New Roman" w:hAnsi="Times New Roman"/>
          <w:b w:val="0"/>
          <w:i w:val="0"/>
          <w:sz w:val="20"/>
        </w:rPr>
        <w:t>NIST parameter set using the detected purpose, a configurable target security category, and strength signals recovered from the classical parameters, with a written justification attached to every decision.</w:t>
      </w:r>
    </w:p>
    <w:p>
      <w:pPr>
        <w:pStyle w:val="ListNumber"/>
        <w:spacing w:after="60"/>
        <w:jc w:val="both"/>
      </w:pPr>
      <w:r>
        <w:rPr>
          <w:rFonts w:ascii="Times New Roman" w:hAnsi="Times New Roman"/>
          <w:b/>
          <w:i w:val="0"/>
          <w:sz w:val="20"/>
        </w:rPr>
        <w:t>Rewriting onto a compatibility layer.</w:t>
      </w:r>
      <w:r>
        <w:rPr>
          <w:rFonts w:ascii="Times New Roman" w:hAnsi="Times New Roman"/>
          <w:b w:val="0"/>
          <w:i w:val="0"/>
          <w:sz w:val="20"/>
        </w:rPr>
        <w:t xml:space="preserve"> Source transformations redirect classical</w:t>
      </w:r>
    </w:p>
    <w:p>
      <w:pPr>
        <w:spacing w:after="100"/>
        <w:jc w:val="both"/>
      </w:pPr>
      <w:r>
        <w:rPr>
          <w:rFonts w:ascii="Times New Roman" w:hAnsi="Times New Roman"/>
          <w:b w:val="0"/>
          <w:i w:val="0"/>
          <w:sz w:val="20"/>
        </w:rPr>
        <w:t>calls to a shim that preserves the classical object model while performing ML-KEM or ML-DSA operations underneath, keeping the rewrites local and auditable.</w:t>
      </w:r>
    </w:p>
    <w:p>
      <w:pPr>
        <w:pStyle w:val="ListNumber"/>
        <w:spacing w:after="60"/>
        <w:jc w:val="both"/>
      </w:pPr>
      <w:r>
        <w:rPr>
          <w:rFonts w:ascii="Times New Roman" w:hAnsi="Times New Roman"/>
          <w:b/>
          <w:i w:val="0"/>
          <w:sz w:val="20"/>
        </w:rPr>
        <w:t>Verification as a pipeline stage, not an afterthought.</w:t>
      </w:r>
      <w:r>
        <w:rPr>
          <w:rFonts w:ascii="Times New Roman" w:hAnsi="Times New Roman"/>
          <w:b w:val="0"/>
          <w:i w:val="0"/>
          <w:sz w:val="20"/>
        </w:rPr>
        <w:t xml:space="preserve"> The framework runs</w:t>
      </w:r>
    </w:p>
    <w:p>
      <w:pPr>
        <w:spacing w:after="100"/>
        <w:jc w:val="both"/>
      </w:pPr>
      <w:r>
        <w:rPr>
          <w:rFonts w:ascii="Times New Roman" w:hAnsi="Times New Roman"/>
          <w:b w:val="0"/>
          <w:i w:val="0"/>
          <w:sz w:val="20"/>
        </w:rPr>
        <w:t>round-trip and negative cryptographic tests and then executes the migrated program. Nothing is reported as migrated unless a rule actually fired, and nothing is reported as working unless it ran.</w:t>
      </w:r>
    </w:p>
    <w:p>
      <w:pPr>
        <w:pStyle w:val="ListNumber"/>
        <w:spacing w:after="60"/>
        <w:jc w:val="both"/>
      </w:pPr>
      <w:r>
        <w:rPr>
          <w:rFonts w:ascii="Times New Roman" w:hAnsi="Times New Roman"/>
          <w:b/>
          <w:i w:val="0"/>
          <w:sz w:val="20"/>
        </w:rPr>
        <w:t>A labelled detection benchmark and measured results.</w:t>
      </w:r>
      <w:r>
        <w:rPr>
          <w:rFonts w:ascii="Times New Roman" w:hAnsi="Times New Roman"/>
          <w:b w:val="0"/>
          <w:i w:val="0"/>
          <w:sz w:val="20"/>
        </w:rPr>
        <w:t xml:space="preserve"> We publish a 29-module corpus</w:t>
      </w:r>
    </w:p>
    <w:p>
      <w:pPr>
        <w:spacing w:after="100"/>
        <w:jc w:val="both"/>
      </w:pPr>
      <w:r>
        <w:rPr>
          <w:rFonts w:ascii="Times New Roman" w:hAnsi="Times New Roman"/>
          <w:b w:val="0"/>
          <w:i w:val="0"/>
          <w:sz w:val="20"/>
        </w:rPr>
        <w:t>with 38 expert-annotated cryptographic sites, partitioned into in-scope and deliberately adversarial subsets, together with the measured precision, recall and purpose-classification accuracy of our detector on it.</w:t>
      </w:r>
    </w:p>
    <w:p>
      <w:pPr>
        <w:spacing w:after="100"/>
        <w:jc w:val="both"/>
      </w:pPr>
      <w:r>
        <w:rPr>
          <w:rFonts w:ascii="Times New Roman" w:hAnsi="Times New Roman"/>
          <w:b w:val="0"/>
          <w:i w:val="0"/>
          <w:sz w:val="20"/>
        </w:rPr>
        <w:t>We are explicit about what this prototype does not yet do. Migration is driven by mechanical rules; the generative-model component that would handle code our rules cannot match is designed for but not implemented, and is discussed as future work rather than claimed as a result.</w:t>
      </w:r>
    </w:p>
    <w:p>
      <w:pPr>
        <w:spacing w:before="240" w:after="80"/>
      </w:pPr>
      <w:r>
        <w:rPr>
          <w:rFonts w:ascii="Times New Roman" w:hAnsi="Times New Roman"/>
          <w:b/>
          <w:caps w:val="0"/>
          <w:sz w:val="22"/>
        </w:rPr>
        <w:t>II. Background</w:t>
      </w:r>
    </w:p>
    <w:p>
      <w:pPr>
        <w:spacing w:before="160" w:after="80"/>
      </w:pPr>
      <w:r>
        <w:rPr>
          <w:rFonts w:ascii="Times New Roman" w:hAnsi="Times New Roman"/>
          <w:b/>
          <w:sz w:val="20"/>
        </w:rPr>
        <w:t>A. What quantum computation actually breaks</w:t>
      </w:r>
    </w:p>
    <w:p>
      <w:pPr>
        <w:spacing w:after="100"/>
        <w:jc w:val="both"/>
      </w:pPr>
      <w:r>
        <w:rPr>
          <w:rFonts w:ascii="Times New Roman" w:hAnsi="Times New Roman"/>
          <w:b w:val="0"/>
          <w:i w:val="0"/>
          <w:sz w:val="20"/>
        </w:rPr>
        <w:t>It is worth being precise, because the threat is often stated too broadly. Shor's algorithm attacks problems with hidden periodic structure, which covers factorisation and discrete logarithms and therefore RSA, finite-field Diffie–Hellman, and all elliptic-curve schemes including ECDSA, ECDH, Ed25519 and X25519. Symmetric primitives are affected only by Grover's quadratic speedup, which is answered by increasing key lengths; AES-256 and SHA-384 remain appropriate. Consequently the migration problem is confined to public-key cryptography — a smaller target than "all cryptography", but one that is embedded far more deeply in application logic.</w:t>
      </w:r>
    </w:p>
    <w:p>
      <w:pPr>
        <w:spacing w:before="160" w:after="80"/>
      </w:pPr>
      <w:r>
        <w:rPr>
          <w:rFonts w:ascii="Times New Roman" w:hAnsi="Times New Roman"/>
          <w:b/>
          <w:sz w:val="20"/>
        </w:rPr>
        <w:t>B. The standardised replacements</w:t>
      </w:r>
    </w:p>
    <w:p>
      <w:pPr>
        <w:spacing w:after="100"/>
        <w:jc w:val="both"/>
      </w:pPr>
      <w:r>
        <w:rPr>
          <w:rFonts w:ascii="Times New Roman" w:hAnsi="Times New Roman"/>
          <w:b/>
          <w:i w:val="0"/>
          <w:sz w:val="20"/>
        </w:rPr>
        <w:t>ML-KEM</w:t>
      </w:r>
      <w:r>
        <w:rPr>
          <w:rFonts w:ascii="Times New Roman" w:hAnsi="Times New Roman"/>
          <w:b w:val="0"/>
          <w:i w:val="0"/>
          <w:sz w:val="20"/>
        </w:rPr>
        <w:t xml:space="preserve"> (FIPS 203) is a module-lattice key-encapsulation mechanism, defined at three parameter sets corresponding to NIST security categories 1, 3 and 5. It does not encrypt arbitrary messages. It produces a ciphertext and a shared secret, with the payload protected by a symmetric cipher keyed from that secret.</w:t>
      </w:r>
    </w:p>
    <w:p>
      <w:pPr>
        <w:spacing w:after="100"/>
        <w:jc w:val="both"/>
      </w:pPr>
      <w:r>
        <w:rPr>
          <w:rFonts w:ascii="Times New Roman" w:hAnsi="Times New Roman"/>
          <w:b/>
          <w:i w:val="0"/>
          <w:sz w:val="20"/>
        </w:rPr>
        <w:t>ML-DSA</w:t>
      </w:r>
      <w:r>
        <w:rPr>
          <w:rFonts w:ascii="Times New Roman" w:hAnsi="Times New Roman"/>
          <w:b w:val="0"/>
          <w:i w:val="0"/>
          <w:sz w:val="20"/>
        </w:rPr>
        <w:t xml:space="preserve"> (FIPS 204) is a module-lattice signature scheme at categories 2, 3 and 5. It is a drop-in replacement for ECDSA or RSA-PSS at the level of the operation, though not at the level of message size.</w:t>
      </w:r>
    </w:p>
    <w:p>
      <w:pPr>
        <w:spacing w:after="100"/>
        <w:jc w:val="both"/>
      </w:pPr>
      <w:r>
        <w:rPr>
          <w:rFonts w:ascii="Times New Roman" w:hAnsi="Times New Roman"/>
          <w:b/>
          <w:i w:val="0"/>
          <w:sz w:val="20"/>
        </w:rPr>
        <w:t>SLH-DSA</w:t>
      </w:r>
      <w:r>
        <w:rPr>
          <w:rFonts w:ascii="Times New Roman" w:hAnsi="Times New Roman"/>
          <w:b w:val="0"/>
          <w:i w:val="0"/>
          <w:sz w:val="20"/>
        </w:rPr>
        <w:t xml:space="preserve"> (FIPS 205) is a stateless hash-based signature scheme whose security rests only on hash-function assumptions. Its conservative security comes at the cost of large signatures and slow signing, making it appropriate for infrequent, long-lived signatures such as firmware and root certificates.</w:t>
      </w:r>
    </w:p>
    <w:p>
      <w:pPr>
        <w:spacing w:after="100"/>
        <w:jc w:val="both"/>
      </w:pPr>
      <w:r>
        <w:rPr>
          <w:rFonts w:ascii="Times New Roman" w:hAnsi="Times New Roman"/>
          <w:b w:val="0"/>
          <w:i w:val="0"/>
          <w:sz w:val="20"/>
        </w:rPr>
        <w:t>Table I gives the sizes we measured for every parameter set, alongside the classical baselines. These are not quoted figures; they are byte lengths produced by the implementations our framework drives.</w:t>
      </w:r>
    </w:p>
    <w:p>
      <w:pPr>
        <w:spacing w:after="100"/>
        <w:jc w:val="both"/>
      </w:pPr>
      <w:r>
        <w:rPr>
          <w:rFonts w:ascii="Times New Roman" w:hAnsi="Times New Roman"/>
          <w:b/>
          <w:i w:val="0"/>
          <w:sz w:val="20"/>
        </w:rPr>
        <w:t>TABLE I. MEASURED KEY AND OUTPUT SIZES (BYTES)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fill="E8E8E8"/>
          </w:tcPr>
          <w:p>
            <w:r/>
            <w:r>
              <w:rPr>
                <w:rFonts w:ascii="Times New Roman" w:hAnsi="Times New Roman"/>
                <w:b/>
                <w:i w:val="0"/>
                <w:sz w:val="17"/>
              </w:rPr>
              <w:t>Scheme</w:t>
            </w:r>
          </w:p>
        </w:tc>
        <w:tc>
          <w:tcPr>
            <w:tcW w:type="dxa" w:w="2016"/>
            <w:shd w:val="clear" w:fill="E8E8E8"/>
          </w:tcPr>
          <w:p>
            <w:r/>
            <w:r>
              <w:rPr>
                <w:rFonts w:ascii="Times New Roman" w:hAnsi="Times New Roman"/>
                <w:b/>
                <w:i w:val="0"/>
                <w:sz w:val="17"/>
              </w:rPr>
              <w:t>Category</w:t>
            </w:r>
          </w:p>
        </w:tc>
        <w:tc>
          <w:tcPr>
            <w:tcW w:type="dxa" w:w="2016"/>
            <w:shd w:val="clear" w:fill="E8E8E8"/>
          </w:tcPr>
          <w:p>
            <w:r/>
            <w:r>
              <w:rPr>
                <w:rFonts w:ascii="Times New Roman" w:hAnsi="Times New Roman"/>
                <w:b/>
                <w:i w:val="0"/>
                <w:sz w:val="17"/>
              </w:rPr>
              <w:t>Public key</w:t>
            </w:r>
          </w:p>
        </w:tc>
        <w:tc>
          <w:tcPr>
            <w:tcW w:type="dxa" w:w="2016"/>
            <w:shd w:val="clear" w:fill="E8E8E8"/>
          </w:tcPr>
          <w:p>
            <w:r/>
            <w:r>
              <w:rPr>
                <w:rFonts w:ascii="Times New Roman" w:hAnsi="Times New Roman"/>
                <w:b/>
                <w:i w:val="0"/>
                <w:sz w:val="17"/>
              </w:rPr>
              <w:t>Secret key</w:t>
            </w:r>
          </w:p>
        </w:tc>
        <w:tc>
          <w:tcPr>
            <w:tcW w:type="dxa" w:w="2016"/>
            <w:shd w:val="clear" w:fill="E8E8E8"/>
          </w:tcPr>
          <w:p>
            <w:r/>
            <w:r>
              <w:rPr>
                <w:rFonts w:ascii="Times New Roman" w:hAnsi="Times New Roman"/>
                <w:b/>
                <w:i w:val="0"/>
                <w:sz w:val="17"/>
              </w:rPr>
              <w:t>Ciphertext / signature</w:t>
            </w:r>
          </w:p>
        </w:tc>
      </w:tr>
      <w:tr>
        <w:tc>
          <w:tcPr>
            <w:tcW w:type="dxa" w:w="2016"/>
          </w:tcPr>
          <w:p>
            <w:r/>
            <w:r>
              <w:rPr>
                <w:rFonts w:ascii="Times New Roman" w:hAnsi="Times New Roman"/>
                <w:b w:val="0"/>
                <w:i w:val="0"/>
                <w:sz w:val="17"/>
              </w:rPr>
              <w:t>ML-KEM-512</w:t>
            </w:r>
          </w:p>
        </w:tc>
        <w:tc>
          <w:tcPr>
            <w:tcW w:type="dxa" w:w="2016"/>
          </w:tcPr>
          <w:p>
            <w:r/>
            <w:r>
              <w:rPr>
                <w:rFonts w:ascii="Times New Roman" w:hAnsi="Times New Roman"/>
                <w:b w:val="0"/>
                <w:i w:val="0"/>
                <w:sz w:val="17"/>
              </w:rPr>
              <w:t>1</w:t>
            </w:r>
          </w:p>
        </w:tc>
        <w:tc>
          <w:tcPr>
            <w:tcW w:type="dxa" w:w="2016"/>
          </w:tcPr>
          <w:p>
            <w:r/>
            <w:r>
              <w:rPr>
                <w:rFonts w:ascii="Times New Roman" w:hAnsi="Times New Roman"/>
                <w:b w:val="0"/>
                <w:i w:val="0"/>
                <w:sz w:val="17"/>
              </w:rPr>
              <w:t>800</w:t>
            </w:r>
          </w:p>
        </w:tc>
        <w:tc>
          <w:tcPr>
            <w:tcW w:type="dxa" w:w="2016"/>
          </w:tcPr>
          <w:p>
            <w:r/>
            <w:r>
              <w:rPr>
                <w:rFonts w:ascii="Times New Roman" w:hAnsi="Times New Roman"/>
                <w:b w:val="0"/>
                <w:i w:val="0"/>
                <w:sz w:val="17"/>
              </w:rPr>
              <w:t>1,632</w:t>
            </w:r>
          </w:p>
        </w:tc>
        <w:tc>
          <w:tcPr>
            <w:tcW w:type="dxa" w:w="2016"/>
          </w:tcPr>
          <w:p>
            <w:r/>
            <w:r>
              <w:rPr>
                <w:rFonts w:ascii="Times New Roman" w:hAnsi="Times New Roman"/>
                <w:b w:val="0"/>
                <w:i w:val="0"/>
                <w:sz w:val="17"/>
              </w:rPr>
              <w:t>768</w:t>
            </w:r>
          </w:p>
        </w:tc>
      </w:tr>
      <w:tr>
        <w:tc>
          <w:tcPr>
            <w:tcW w:type="dxa" w:w="2016"/>
          </w:tcPr>
          <w:p>
            <w:r/>
            <w:r>
              <w:rPr>
                <w:rFonts w:ascii="Times New Roman" w:hAnsi="Times New Roman"/>
                <w:b w:val="0"/>
                <w:i w:val="0"/>
                <w:sz w:val="17"/>
              </w:rPr>
              <w:t>ML-KEM-768</w:t>
            </w:r>
          </w:p>
        </w:tc>
        <w:tc>
          <w:tcPr>
            <w:tcW w:type="dxa" w:w="2016"/>
          </w:tcPr>
          <w:p>
            <w:r/>
            <w:r>
              <w:rPr>
                <w:rFonts w:ascii="Times New Roman" w:hAnsi="Times New Roman"/>
                <w:b w:val="0"/>
                <w:i w:val="0"/>
                <w:sz w:val="17"/>
              </w:rPr>
              <w:t>3</w:t>
            </w:r>
          </w:p>
        </w:tc>
        <w:tc>
          <w:tcPr>
            <w:tcW w:type="dxa" w:w="2016"/>
          </w:tcPr>
          <w:p>
            <w:r/>
            <w:r>
              <w:rPr>
                <w:rFonts w:ascii="Times New Roman" w:hAnsi="Times New Roman"/>
                <w:b w:val="0"/>
                <w:i w:val="0"/>
                <w:sz w:val="17"/>
              </w:rPr>
              <w:t>1,184</w:t>
            </w:r>
          </w:p>
        </w:tc>
        <w:tc>
          <w:tcPr>
            <w:tcW w:type="dxa" w:w="2016"/>
          </w:tcPr>
          <w:p>
            <w:r/>
            <w:r>
              <w:rPr>
                <w:rFonts w:ascii="Times New Roman" w:hAnsi="Times New Roman"/>
                <w:b w:val="0"/>
                <w:i w:val="0"/>
                <w:sz w:val="17"/>
              </w:rPr>
              <w:t>2,400</w:t>
            </w:r>
          </w:p>
        </w:tc>
        <w:tc>
          <w:tcPr>
            <w:tcW w:type="dxa" w:w="2016"/>
          </w:tcPr>
          <w:p>
            <w:r/>
            <w:r>
              <w:rPr>
                <w:rFonts w:ascii="Times New Roman" w:hAnsi="Times New Roman"/>
                <w:b w:val="0"/>
                <w:i w:val="0"/>
                <w:sz w:val="17"/>
              </w:rPr>
              <w:t>1,088</w:t>
            </w:r>
          </w:p>
        </w:tc>
      </w:tr>
      <w:tr>
        <w:tc>
          <w:tcPr>
            <w:tcW w:type="dxa" w:w="2016"/>
          </w:tcPr>
          <w:p>
            <w:r/>
            <w:r>
              <w:rPr>
                <w:rFonts w:ascii="Times New Roman" w:hAnsi="Times New Roman"/>
                <w:b w:val="0"/>
                <w:i w:val="0"/>
                <w:sz w:val="17"/>
              </w:rPr>
              <w:t>ML-KEM-1024</w:t>
            </w:r>
          </w:p>
        </w:tc>
        <w:tc>
          <w:tcPr>
            <w:tcW w:type="dxa" w:w="2016"/>
          </w:tcPr>
          <w:p>
            <w:r/>
            <w:r>
              <w:rPr>
                <w:rFonts w:ascii="Times New Roman" w:hAnsi="Times New Roman"/>
                <w:b w:val="0"/>
                <w:i w:val="0"/>
                <w:sz w:val="17"/>
              </w:rPr>
              <w:t>5</w:t>
            </w:r>
          </w:p>
        </w:tc>
        <w:tc>
          <w:tcPr>
            <w:tcW w:type="dxa" w:w="2016"/>
          </w:tcPr>
          <w:p>
            <w:r/>
            <w:r>
              <w:rPr>
                <w:rFonts w:ascii="Times New Roman" w:hAnsi="Times New Roman"/>
                <w:b w:val="0"/>
                <w:i w:val="0"/>
                <w:sz w:val="17"/>
              </w:rPr>
              <w:t>1,568</w:t>
            </w:r>
          </w:p>
        </w:tc>
        <w:tc>
          <w:tcPr>
            <w:tcW w:type="dxa" w:w="2016"/>
          </w:tcPr>
          <w:p>
            <w:r/>
            <w:r>
              <w:rPr>
                <w:rFonts w:ascii="Times New Roman" w:hAnsi="Times New Roman"/>
                <w:b w:val="0"/>
                <w:i w:val="0"/>
                <w:sz w:val="17"/>
              </w:rPr>
              <w:t>3,168</w:t>
            </w:r>
          </w:p>
        </w:tc>
        <w:tc>
          <w:tcPr>
            <w:tcW w:type="dxa" w:w="2016"/>
          </w:tcPr>
          <w:p>
            <w:r/>
            <w:r>
              <w:rPr>
                <w:rFonts w:ascii="Times New Roman" w:hAnsi="Times New Roman"/>
                <w:b w:val="0"/>
                <w:i w:val="0"/>
                <w:sz w:val="17"/>
              </w:rPr>
              <w:t>1,568</w:t>
            </w:r>
          </w:p>
        </w:tc>
      </w:tr>
      <w:tr>
        <w:tc>
          <w:tcPr>
            <w:tcW w:type="dxa" w:w="2016"/>
          </w:tcPr>
          <w:p>
            <w:r/>
            <w:r>
              <w:rPr>
                <w:rFonts w:ascii="Times New Roman" w:hAnsi="Times New Roman"/>
                <w:b w:val="0"/>
                <w:i w:val="0"/>
                <w:sz w:val="17"/>
              </w:rPr>
              <w:t>ML-DSA-44</w:t>
            </w:r>
          </w:p>
        </w:tc>
        <w:tc>
          <w:tcPr>
            <w:tcW w:type="dxa" w:w="2016"/>
          </w:tcPr>
          <w:p>
            <w:r/>
            <w:r>
              <w:rPr>
                <w:rFonts w:ascii="Times New Roman" w:hAnsi="Times New Roman"/>
                <w:b w:val="0"/>
                <w:i w:val="0"/>
                <w:sz w:val="17"/>
              </w:rPr>
              <w:t>2</w:t>
            </w:r>
          </w:p>
        </w:tc>
        <w:tc>
          <w:tcPr>
            <w:tcW w:type="dxa" w:w="2016"/>
          </w:tcPr>
          <w:p>
            <w:r/>
            <w:r>
              <w:rPr>
                <w:rFonts w:ascii="Times New Roman" w:hAnsi="Times New Roman"/>
                <w:b w:val="0"/>
                <w:i w:val="0"/>
                <w:sz w:val="17"/>
              </w:rPr>
              <w:t>1,312</w:t>
            </w:r>
          </w:p>
        </w:tc>
        <w:tc>
          <w:tcPr>
            <w:tcW w:type="dxa" w:w="2016"/>
          </w:tcPr>
          <w:p>
            <w:r/>
            <w:r>
              <w:rPr>
                <w:rFonts w:ascii="Times New Roman" w:hAnsi="Times New Roman"/>
                <w:b w:val="0"/>
                <w:i w:val="0"/>
                <w:sz w:val="17"/>
              </w:rPr>
              <w:t>2,560</w:t>
            </w:r>
          </w:p>
        </w:tc>
        <w:tc>
          <w:tcPr>
            <w:tcW w:type="dxa" w:w="2016"/>
          </w:tcPr>
          <w:p>
            <w:r/>
            <w:r>
              <w:rPr>
                <w:rFonts w:ascii="Times New Roman" w:hAnsi="Times New Roman"/>
                <w:b w:val="0"/>
                <w:i w:val="0"/>
                <w:sz w:val="17"/>
              </w:rPr>
              <w:t>2,420</w:t>
            </w:r>
          </w:p>
        </w:tc>
      </w:tr>
      <w:tr>
        <w:tc>
          <w:tcPr>
            <w:tcW w:type="dxa" w:w="2016"/>
          </w:tcPr>
          <w:p>
            <w:r/>
            <w:r>
              <w:rPr>
                <w:rFonts w:ascii="Times New Roman" w:hAnsi="Times New Roman"/>
                <w:b w:val="0"/>
                <w:i w:val="0"/>
                <w:sz w:val="17"/>
              </w:rPr>
              <w:t>ML-DSA-65</w:t>
            </w:r>
          </w:p>
        </w:tc>
        <w:tc>
          <w:tcPr>
            <w:tcW w:type="dxa" w:w="2016"/>
          </w:tcPr>
          <w:p>
            <w:r/>
            <w:r>
              <w:rPr>
                <w:rFonts w:ascii="Times New Roman" w:hAnsi="Times New Roman"/>
                <w:b w:val="0"/>
                <w:i w:val="0"/>
                <w:sz w:val="17"/>
              </w:rPr>
              <w:t>3</w:t>
            </w:r>
          </w:p>
        </w:tc>
        <w:tc>
          <w:tcPr>
            <w:tcW w:type="dxa" w:w="2016"/>
          </w:tcPr>
          <w:p>
            <w:r/>
            <w:r>
              <w:rPr>
                <w:rFonts w:ascii="Times New Roman" w:hAnsi="Times New Roman"/>
                <w:b w:val="0"/>
                <w:i w:val="0"/>
                <w:sz w:val="17"/>
              </w:rPr>
              <w:t>1,952</w:t>
            </w:r>
          </w:p>
        </w:tc>
        <w:tc>
          <w:tcPr>
            <w:tcW w:type="dxa" w:w="2016"/>
          </w:tcPr>
          <w:p>
            <w:r/>
            <w:r>
              <w:rPr>
                <w:rFonts w:ascii="Times New Roman" w:hAnsi="Times New Roman"/>
                <w:b w:val="0"/>
                <w:i w:val="0"/>
                <w:sz w:val="17"/>
              </w:rPr>
              <w:t>4,032</w:t>
            </w:r>
          </w:p>
        </w:tc>
        <w:tc>
          <w:tcPr>
            <w:tcW w:type="dxa" w:w="2016"/>
          </w:tcPr>
          <w:p>
            <w:r/>
            <w:r>
              <w:rPr>
                <w:rFonts w:ascii="Times New Roman" w:hAnsi="Times New Roman"/>
                <w:b w:val="0"/>
                <w:i w:val="0"/>
                <w:sz w:val="17"/>
              </w:rPr>
              <w:t>3,309</w:t>
            </w:r>
          </w:p>
        </w:tc>
      </w:tr>
      <w:tr>
        <w:tc>
          <w:tcPr>
            <w:tcW w:type="dxa" w:w="2016"/>
          </w:tcPr>
          <w:p>
            <w:r/>
            <w:r>
              <w:rPr>
                <w:rFonts w:ascii="Times New Roman" w:hAnsi="Times New Roman"/>
                <w:b w:val="0"/>
                <w:i w:val="0"/>
                <w:sz w:val="17"/>
              </w:rPr>
              <w:t>ML-DSA-87</w:t>
            </w:r>
          </w:p>
        </w:tc>
        <w:tc>
          <w:tcPr>
            <w:tcW w:type="dxa" w:w="2016"/>
          </w:tcPr>
          <w:p>
            <w:r/>
            <w:r>
              <w:rPr>
                <w:rFonts w:ascii="Times New Roman" w:hAnsi="Times New Roman"/>
                <w:b w:val="0"/>
                <w:i w:val="0"/>
                <w:sz w:val="17"/>
              </w:rPr>
              <w:t>5</w:t>
            </w:r>
          </w:p>
        </w:tc>
        <w:tc>
          <w:tcPr>
            <w:tcW w:type="dxa" w:w="2016"/>
          </w:tcPr>
          <w:p>
            <w:r/>
            <w:r>
              <w:rPr>
                <w:rFonts w:ascii="Times New Roman" w:hAnsi="Times New Roman"/>
                <w:b w:val="0"/>
                <w:i w:val="0"/>
                <w:sz w:val="17"/>
              </w:rPr>
              <w:t>2,592</w:t>
            </w:r>
          </w:p>
        </w:tc>
        <w:tc>
          <w:tcPr>
            <w:tcW w:type="dxa" w:w="2016"/>
          </w:tcPr>
          <w:p>
            <w:r/>
            <w:r>
              <w:rPr>
                <w:rFonts w:ascii="Times New Roman" w:hAnsi="Times New Roman"/>
                <w:b w:val="0"/>
                <w:i w:val="0"/>
                <w:sz w:val="17"/>
              </w:rPr>
              <w:t>4,896</w:t>
            </w:r>
          </w:p>
        </w:tc>
        <w:tc>
          <w:tcPr>
            <w:tcW w:type="dxa" w:w="2016"/>
          </w:tcPr>
          <w:p>
            <w:r/>
            <w:r>
              <w:rPr>
                <w:rFonts w:ascii="Times New Roman" w:hAnsi="Times New Roman"/>
                <w:b w:val="0"/>
                <w:i w:val="0"/>
                <w:sz w:val="17"/>
              </w:rPr>
              <w:t>4,627</w:t>
            </w:r>
          </w:p>
        </w:tc>
      </w:tr>
      <w:tr>
        <w:tc>
          <w:tcPr>
            <w:tcW w:type="dxa" w:w="2016"/>
          </w:tcPr>
          <w:p>
            <w:r/>
            <w:r>
              <w:rPr>
                <w:rFonts w:ascii="Times New Roman" w:hAnsi="Times New Roman"/>
                <w:b w:val="0"/>
                <w:i w:val="0"/>
                <w:sz w:val="17"/>
              </w:rPr>
              <w:t>RSA-2048 (classical)</w:t>
            </w:r>
          </w:p>
        </w:tc>
        <w:tc>
          <w:tcPr>
            <w:tcW w:type="dxa" w:w="2016"/>
          </w:tcPr>
          <w:p>
            <w:r/>
            <w:r>
              <w:rPr>
                <w:rFonts w:ascii="Times New Roman" w:hAnsi="Times New Roman"/>
                <w:b w:val="0"/>
                <w:i w:val="0"/>
                <w:sz w:val="17"/>
              </w:rPr>
              <w:t>—</w:t>
            </w:r>
          </w:p>
        </w:tc>
        <w:tc>
          <w:tcPr>
            <w:tcW w:type="dxa" w:w="2016"/>
          </w:tcPr>
          <w:p>
            <w:r/>
            <w:r>
              <w:rPr>
                <w:rFonts w:ascii="Times New Roman" w:hAnsi="Times New Roman"/>
                <w:b w:val="0"/>
                <w:i w:val="0"/>
                <w:sz w:val="17"/>
              </w:rPr>
              <w:t>294</w:t>
            </w:r>
          </w:p>
        </w:tc>
        <w:tc>
          <w:tcPr>
            <w:tcW w:type="dxa" w:w="2016"/>
          </w:tcPr>
          <w:p>
            <w:r/>
            <w:r>
              <w:rPr>
                <w:rFonts w:ascii="Times New Roman" w:hAnsi="Times New Roman"/>
                <w:b w:val="0"/>
                <w:i w:val="0"/>
                <w:sz w:val="17"/>
              </w:rPr>
              <w:t>—</w:t>
            </w:r>
          </w:p>
        </w:tc>
        <w:tc>
          <w:tcPr>
            <w:tcW w:type="dxa" w:w="2016"/>
          </w:tcPr>
          <w:p>
            <w:r/>
            <w:r>
              <w:rPr>
                <w:rFonts w:ascii="Times New Roman" w:hAnsi="Times New Roman"/>
                <w:b w:val="0"/>
                <w:i w:val="0"/>
                <w:sz w:val="17"/>
              </w:rPr>
              <w:t>256</w:t>
            </w:r>
          </w:p>
        </w:tc>
      </w:tr>
      <w:tr>
        <w:tc>
          <w:tcPr>
            <w:tcW w:type="dxa" w:w="2016"/>
          </w:tcPr>
          <w:p>
            <w:r/>
            <w:r>
              <w:rPr>
                <w:rFonts w:ascii="Times New Roman" w:hAnsi="Times New Roman"/>
                <w:b w:val="0"/>
                <w:i w:val="0"/>
                <w:sz w:val="17"/>
              </w:rPr>
              <w:t>ECDSA P-256 (classical)</w:t>
            </w:r>
          </w:p>
        </w:tc>
        <w:tc>
          <w:tcPr>
            <w:tcW w:type="dxa" w:w="2016"/>
          </w:tcPr>
          <w:p>
            <w:r/>
            <w:r>
              <w:rPr>
                <w:rFonts w:ascii="Times New Roman" w:hAnsi="Times New Roman"/>
                <w:b w:val="0"/>
                <w:i w:val="0"/>
                <w:sz w:val="17"/>
              </w:rPr>
              <w:t>—</w:t>
            </w:r>
          </w:p>
        </w:tc>
        <w:tc>
          <w:tcPr>
            <w:tcW w:type="dxa" w:w="2016"/>
          </w:tcPr>
          <w:p>
            <w:r/>
            <w:r>
              <w:rPr>
                <w:rFonts w:ascii="Times New Roman" w:hAnsi="Times New Roman"/>
                <w:b w:val="0"/>
                <w:i w:val="0"/>
                <w:sz w:val="17"/>
              </w:rPr>
              <w:t>91</w:t>
            </w:r>
          </w:p>
        </w:tc>
        <w:tc>
          <w:tcPr>
            <w:tcW w:type="dxa" w:w="2016"/>
          </w:tcPr>
          <w:p>
            <w:r/>
            <w:r>
              <w:rPr>
                <w:rFonts w:ascii="Times New Roman" w:hAnsi="Times New Roman"/>
                <w:b w:val="0"/>
                <w:i w:val="0"/>
                <w:sz w:val="17"/>
              </w:rPr>
              <w:t>—</w:t>
            </w:r>
          </w:p>
        </w:tc>
        <w:tc>
          <w:tcPr>
            <w:tcW w:type="dxa" w:w="2016"/>
          </w:tcPr>
          <w:p>
            <w:r/>
            <w:r>
              <w:rPr>
                <w:rFonts w:ascii="Times New Roman" w:hAnsi="Times New Roman"/>
                <w:b w:val="0"/>
                <w:i w:val="0"/>
                <w:sz w:val="17"/>
              </w:rPr>
              <w:t>71</w:t>
            </w:r>
          </w:p>
        </w:tc>
      </w:tr>
    </w:tbl>
    <w:p>
      <w:pPr>
        <w:spacing w:after="120"/>
      </w:pPr>
    </w:p>
    <w:p>
      <w:pPr>
        <w:spacing w:after="100"/>
        <w:jc w:val="both"/>
      </w:pPr>
      <w:r>
        <w:rPr>
          <w:rFonts w:ascii="Times New Roman" w:hAnsi="Times New Roman"/>
          <w:b w:val="0"/>
          <w:i w:val="0"/>
          <w:sz w:val="20"/>
        </w:rPr>
        <w:t>Classical public keys are given in DER SubjectPublicKeyInfo encoding; ECDSA signature length varies by one or two bytes between runs because DER encodes variable-length integers.</w:t>
      </w:r>
    </w:p>
    <w:p>
      <w:pPr>
        <w:spacing w:before="160" w:after="80"/>
      </w:pPr>
      <w:r>
        <w:rPr>
          <w:rFonts w:ascii="Times New Roman" w:hAnsi="Times New Roman"/>
          <w:b/>
          <w:sz w:val="20"/>
        </w:rPr>
        <w:t>C. Crypto-agility and why it does not solve this</w:t>
      </w:r>
    </w:p>
    <w:p>
      <w:pPr>
        <w:spacing w:after="100"/>
        <w:jc w:val="both"/>
      </w:pPr>
      <w:r>
        <w:rPr>
          <w:rFonts w:ascii="Times New Roman" w:hAnsi="Times New Roman"/>
          <w:b w:val="0"/>
          <w:i w:val="0"/>
          <w:sz w:val="20"/>
        </w:rPr>
        <w:t>The standard architectural advice is crypto-agility: isolate cryptographic operations behind an interface so that algorithms can be swapped without touching application code. The advice is sound and we follow it in our own design. It is also, for the installed base, unhelpful. Systems that were written with crypto-agility in mind are precisely the systems that do not have a migration problem. The code that needs migrating is the code that hard-wired its primitives, and recommending that it should have been written differently does not move it forward.</w:t>
      </w:r>
    </w:p>
    <w:p>
      <w:pPr>
        <w:spacing w:before="240" w:after="80"/>
      </w:pPr>
      <w:r>
        <w:rPr>
          <w:rFonts w:ascii="Times New Roman" w:hAnsi="Times New Roman"/>
          <w:b/>
          <w:caps w:val="0"/>
          <w:sz w:val="22"/>
        </w:rPr>
        <w:t>III. Related Work and Research Gap</w:t>
      </w:r>
    </w:p>
    <w:p>
      <w:pPr>
        <w:spacing w:after="100"/>
        <w:jc w:val="both"/>
      </w:pPr>
      <w:r>
        <w:rPr>
          <w:rFonts w:ascii="Times New Roman" w:hAnsi="Times New Roman"/>
          <w:b w:val="0"/>
          <w:i w:val="0"/>
          <w:sz w:val="20"/>
        </w:rPr>
        <w:t>Existing work clusters into four groups, each of which solves part of the problem.</w:t>
      </w:r>
    </w:p>
    <w:p>
      <w:pPr>
        <w:spacing w:after="100"/>
        <w:jc w:val="both"/>
      </w:pPr>
      <w:r>
        <w:rPr>
          <w:rFonts w:ascii="Times New Roman" w:hAnsi="Times New Roman"/>
          <w:b/>
          <w:i w:val="0"/>
          <w:sz w:val="20"/>
        </w:rPr>
        <w:t>Cryptographic discovery.</w:t>
      </w:r>
      <w:r>
        <w:rPr>
          <w:rFonts w:ascii="Times New Roman" w:hAnsi="Times New Roman"/>
          <w:b w:val="0"/>
          <w:i w:val="0"/>
          <w:sz w:val="20"/>
        </w:rPr>
        <w:t xml:space="preserve"> Tools and guidance exist for producing a cryptographic bill of materials — an inventory of where cryptography appears in a system. NIST's National Cybersecurity Center of Excellence identifies discovery as the necessary first step of any migration programme [4]. Inventory, however, is where these efforts stop. Knowing that line 42 calls RSA does not indicate what should replace it, and produces no code.</w:t>
      </w:r>
    </w:p>
    <w:p>
      <w:pPr>
        <w:spacing w:after="100"/>
        <w:jc w:val="both"/>
      </w:pPr>
      <w:r>
        <w:rPr>
          <w:rFonts w:ascii="Times New Roman" w:hAnsi="Times New Roman"/>
          <w:b/>
          <w:i w:val="0"/>
          <w:sz w:val="20"/>
        </w:rPr>
        <w:t>Standards and migration guidance.</w:t>
      </w:r>
      <w:r>
        <w:rPr>
          <w:rFonts w:ascii="Times New Roman" w:hAnsi="Times New Roman"/>
          <w:b w:val="0"/>
          <w:i w:val="0"/>
          <w:sz w:val="20"/>
        </w:rPr>
        <w:t xml:space="preserve"> NIST's preparatory guidance [7] and national directives such as CNSA 2.0 establish timelines and set crypto-agility as an objective. These documents are, by design, prescriptive about goals and silent about implementation. They tell an organisation that it must migrate, not how to migrate a specific repository.</w:t>
      </w:r>
    </w:p>
    <w:p>
      <w:pPr>
        <w:spacing w:after="100"/>
        <w:jc w:val="both"/>
      </w:pPr>
      <w:r>
        <w:rPr>
          <w:rFonts w:ascii="Times New Roman" w:hAnsi="Times New Roman"/>
          <w:b/>
          <w:i w:val="0"/>
          <w:sz w:val="20"/>
        </w:rPr>
        <w:t>Post-quantum implementations.</w:t>
      </w:r>
      <w:r>
        <w:rPr>
          <w:rFonts w:ascii="Times New Roman" w:hAnsi="Times New Roman"/>
          <w:b w:val="0"/>
          <w:i w:val="0"/>
          <w:sz w:val="20"/>
        </w:rPr>
        <w:t xml:space="preserve"> The Open Quantum Safe project and its liboqs library [10] made the new primitives broadly available well before standardisation concluded, and pure-Python implementations now exist for ML-KEM and ML-DSA [5], [6]. This work supplies the destination of a migration without addressing the journey.</w:t>
      </w:r>
    </w:p>
    <w:p>
      <w:pPr>
        <w:spacing w:after="100"/>
        <w:jc w:val="both"/>
      </w:pPr>
      <w:r>
        <w:rPr>
          <w:rFonts w:ascii="Times New Roman" w:hAnsi="Times New Roman"/>
          <w:b/>
          <w:i w:val="0"/>
          <w:sz w:val="20"/>
        </w:rPr>
        <w:t>Language models for code transformation.</w:t>
      </w:r>
      <w:r>
        <w:rPr>
          <w:rFonts w:ascii="Times New Roman" w:hAnsi="Times New Roman"/>
          <w:b w:val="0"/>
          <w:i w:val="0"/>
          <w:sz w:val="20"/>
        </w:rPr>
        <w:t xml:space="preserve"> A growing literature applies large language models to source-to-source transformation tasks [8]. Results are encouraging on isolated functions, and uniformly carry the same caveat: the output requires human verification, because a plausible-looking patch and a correct one are indistinguishable without execution. Applied naively to cryptographic code, where a silent failure may produce something that runs but protects nothing, this caveat is disqualifying rather than cautionary.</w:t>
      </w:r>
    </w:p>
    <w:p>
      <w:pPr>
        <w:spacing w:after="100"/>
        <w:jc w:val="both"/>
      </w:pPr>
      <w:r>
        <w:rPr>
          <w:rFonts w:ascii="Times New Roman" w:hAnsi="Times New Roman"/>
          <w:b/>
          <w:i w:val="0"/>
          <w:sz w:val="20"/>
        </w:rPr>
        <w:t>The gap.</w:t>
      </w:r>
      <w:r>
        <w:rPr>
          <w:rFonts w:ascii="Times New Roman" w:hAnsi="Times New Roman"/>
          <w:b w:val="0"/>
          <w:i w:val="0"/>
          <w:sz w:val="20"/>
        </w:rPr>
        <w:t xml:space="preserve"> No existing system connects these pieces. Discovery tools do not recommend; guidance does not transform; implementations do not migrate; transformation research does not verify. The framework described here is an attempt to close that loop, and the verification stage in particular is what distinguishes it: the correctness of a migrated cryptographic system is established by running it, not by inspecting the diff.</w:t>
      </w:r>
    </w:p>
    <w:p>
      <w:pPr>
        <w:spacing w:before="80" w:after="160"/>
        <w:ind w:left="360"/>
      </w:pPr>
      <w:r>
        <w:rPr>
          <w:rFonts w:ascii="Times New Roman" w:hAnsi="Times New Roman"/>
          <w:i/>
          <w:color w:val="A03020"/>
          <w:sz w:val="18"/>
        </w:rPr>
        <w:t>[ Note for submission: replace the bracketed citations in this section with the specific papers from your literature survey, and expand the LLM paragraph with the two or three most relevant recent works you identified. ]</w:t>
      </w:r>
    </w:p>
    <w:p>
      <w:pPr>
        <w:spacing w:before="240" w:after="80"/>
      </w:pPr>
      <w:r>
        <w:rPr>
          <w:rFonts w:ascii="Times New Roman" w:hAnsi="Times New Roman"/>
          <w:b/>
          <w:caps w:val="0"/>
          <w:sz w:val="22"/>
        </w:rPr>
        <w:t>IV. Framework Design</w:t>
      </w:r>
    </w:p>
    <w:p>
      <w:pPr>
        <w:spacing w:before="160" w:after="80"/>
      </w:pPr>
      <w:r>
        <w:rPr>
          <w:rFonts w:ascii="Times New Roman" w:hAnsi="Times New Roman"/>
          <w:b/>
          <w:sz w:val="20"/>
        </w:rPr>
        <w:t>A. Pipeline structure</w:t>
      </w:r>
    </w:p>
    <w:p>
      <w:pPr>
        <w:spacing w:after="100"/>
        <w:jc w:val="both"/>
      </w:pPr>
      <w:r>
        <w:rPr>
          <w:rFonts w:ascii="Times New Roman" w:hAnsi="Times New Roman"/>
          <w:b w:val="0"/>
          <w:i w:val="0"/>
          <w:sz w:val="20"/>
        </w:rPr>
        <w:t>The framework is organised as six stages, each a separate module communicating through explicit data structures:</w:t>
      </w:r>
    </w:p>
    <w:p>
      <w:pPr>
        <w:spacing w:after="160"/>
        <w:ind w:left="280"/>
      </w:pPr>
      <w:r>
        <w:rPr>
          <w:rFonts w:ascii="Consolas" w:hAnsi="Consolas"/>
          <w:sz w:val="16"/>
        </w:rPr>
        <w:t>source tree</w:t>
        <w:br/>
        <w:t xml:space="preserve">    │</w:t>
        <w:br/>
        <w:t xml:space="preserve">    ├─▶ (1) Detection        → list[Finding]</w:t>
        <w:br/>
        <w:t xml:space="preserve">    ├─▶ (2) Static analysis  → import and dependency map</w:t>
        <w:br/>
        <w:t xml:space="preserve">    ├─▶ (3) Context          → target security category, scheme preference</w:t>
        <w:br/>
        <w:t xml:space="preserve">    ├─▶ (4) Recommendation   → list[Recommendation]</w:t>
        <w:br/>
        <w:t xml:space="preserve">    ├─▶ (5) Migration        → migrated source tree + list[MigrationResult]</w:t>
        <w:br/>
        <w:t xml:space="preserve">    ├─▶ (6) Verification     → check name → pass/fail</w:t>
        <w:br/>
        <w:t xml:space="preserve">    └─▶ (7) Reporting        → JSON, Markdown, HTML + measured benchmark</w:t>
      </w:r>
    </w:p>
    <w:p>
      <w:pPr>
        <w:spacing w:after="100"/>
        <w:jc w:val="both"/>
      </w:pPr>
      <w:r>
        <w:rPr>
          <w:rFonts w:ascii="Times New Roman" w:hAnsi="Times New Roman"/>
          <w:b w:val="0"/>
          <w:i w:val="0"/>
          <w:sz w:val="20"/>
        </w:rPr>
        <w:t xml:space="preserve">Four record types carry state between stages. A </w:t>
      </w:r>
      <w:r>
        <w:rPr>
          <w:rFonts w:ascii="Consolas" w:hAnsi="Consolas"/>
          <w:b w:val="0"/>
          <w:i w:val="0"/>
          <w:sz w:val="17"/>
        </w:rPr>
        <w:t>Finding</w:t>
      </w:r>
      <w:r>
        <w:rPr>
          <w:rFonts w:ascii="Times New Roman" w:hAnsi="Times New Roman"/>
          <w:b w:val="0"/>
          <w:i w:val="0"/>
          <w:sz w:val="20"/>
        </w:rPr>
        <w:t xml:space="preserve"> records a located occurrence (file, line, algorithm family, purpose, the matched construct, and the owning library). A </w:t>
      </w:r>
      <w:r>
        <w:rPr>
          <w:rFonts w:ascii="Consolas" w:hAnsi="Consolas"/>
          <w:b w:val="0"/>
          <w:i w:val="0"/>
          <w:sz w:val="17"/>
        </w:rPr>
        <w:t>Recommendation</w:t>
      </w:r>
      <w:r>
        <w:rPr>
          <w:rFonts w:ascii="Times New Roman" w:hAnsi="Times New Roman"/>
          <w:b w:val="0"/>
          <w:i w:val="0"/>
          <w:sz w:val="20"/>
        </w:rPr>
        <w:t xml:space="preserve"> pairs a finding with a chosen parameter set, the governing FIPS document, the security category, and a human-readable justification. A </w:t>
      </w:r>
      <w:r>
        <w:rPr>
          <w:rFonts w:ascii="Consolas" w:hAnsi="Consolas"/>
          <w:b w:val="0"/>
          <w:i w:val="0"/>
          <w:sz w:val="17"/>
        </w:rPr>
        <w:t>MigrationResult</w:t>
      </w:r>
      <w:r>
        <w:rPr>
          <w:rFonts w:ascii="Times New Roman" w:hAnsi="Times New Roman"/>
          <w:b w:val="0"/>
          <w:i w:val="0"/>
          <w:sz w:val="20"/>
        </w:rPr>
        <w:t xml:space="preserve"> records what happened to one finding, including the specific rules that fired and whether human attention is still required. A </w:t>
      </w:r>
      <w:r>
        <w:rPr>
          <w:rFonts w:ascii="Consolas" w:hAnsi="Consolas"/>
          <w:b w:val="0"/>
          <w:i w:val="0"/>
          <w:sz w:val="17"/>
        </w:rPr>
        <w:t>Report</w:t>
      </w:r>
      <w:r>
        <w:rPr>
          <w:rFonts w:ascii="Times New Roman" w:hAnsi="Times New Roman"/>
          <w:b w:val="0"/>
          <w:i w:val="0"/>
          <w:sz w:val="20"/>
        </w:rPr>
        <w:t xml:space="preserve"> aggregates all of the above with verification outcomes and benchmark measurements.</w:t>
      </w:r>
    </w:p>
    <w:p>
      <w:pPr>
        <w:spacing w:after="100"/>
        <w:jc w:val="both"/>
      </w:pPr>
      <w:r>
        <w:rPr>
          <w:rFonts w:ascii="Times New Roman" w:hAnsi="Times New Roman"/>
          <w:b w:val="0"/>
          <w:i w:val="0"/>
          <w:sz w:val="20"/>
        </w:rPr>
        <w:t>Keeping these types explicit matters for a reason beyond tidiness: it makes it structurally impossible for the reporting stage to claim an outcome that an earlier stage did not produce.</w:t>
      </w:r>
    </w:p>
    <w:p>
      <w:pPr>
        <w:spacing w:before="160" w:after="80"/>
      </w:pPr>
      <w:r>
        <w:rPr>
          <w:rFonts w:ascii="Times New Roman" w:hAnsi="Times New Roman"/>
          <w:b/>
          <w:sz w:val="20"/>
        </w:rPr>
        <w:t>B. Detection</w:t>
      </w:r>
    </w:p>
    <w:p>
      <w:pPr>
        <w:spacing w:after="100"/>
        <w:jc w:val="both"/>
      </w:pPr>
      <w:r>
        <w:rPr>
          <w:rFonts w:ascii="Times New Roman" w:hAnsi="Times New Roman"/>
          <w:b w:val="0"/>
          <w:i w:val="0"/>
          <w:sz w:val="20"/>
        </w:rPr>
        <w:t xml:space="preserve">Detection is primarily syntactic but not textual. Each module is parsed into an abstract syntax tree; call and attribute nodes are flattened into dotted names and matched against a pattern index covering RSA, elliptic-curve and Diffie–Hellman constructs across the </w:t>
      </w:r>
      <w:r>
        <w:rPr>
          <w:rFonts w:ascii="Consolas" w:hAnsi="Consolas"/>
          <w:b w:val="0"/>
          <w:i w:val="0"/>
          <w:sz w:val="17"/>
        </w:rPr>
        <w:t>cryptography</w:t>
      </w:r>
      <w:r>
        <w:rPr>
          <w:rFonts w:ascii="Times New Roman" w:hAnsi="Times New Roman"/>
          <w:b w:val="0"/>
          <w:i w:val="0"/>
          <w:sz w:val="20"/>
        </w:rPr>
        <w:t xml:space="preserve">, PyCryptodome and </w:t>
      </w:r>
      <w:r>
        <w:rPr>
          <w:rFonts w:ascii="Consolas" w:hAnsi="Consolas"/>
          <w:b w:val="0"/>
          <w:i w:val="0"/>
          <w:sz w:val="17"/>
        </w:rPr>
        <w:t>ecdsa</w:t>
      </w:r>
      <w:r>
        <w:rPr>
          <w:rFonts w:ascii="Times New Roman" w:hAnsi="Times New Roman"/>
          <w:b w:val="0"/>
          <w:i w:val="0"/>
          <w:sz w:val="20"/>
        </w:rPr>
        <w:t xml:space="preserve"> libraries.</w:t>
      </w:r>
    </w:p>
    <w:p>
      <w:pPr>
        <w:spacing w:after="100"/>
        <w:jc w:val="both"/>
      </w:pPr>
      <w:r>
        <w:rPr>
          <w:rFonts w:ascii="Times New Roman" w:hAnsi="Times New Roman"/>
          <w:b w:val="0"/>
          <w:i w:val="0"/>
          <w:sz w:val="20"/>
        </w:rPr>
        <w:t>Two refinements proved necessary in practice.</w:t>
      </w:r>
    </w:p>
    <w:p>
      <w:pPr>
        <w:spacing w:after="100"/>
        <w:jc w:val="both"/>
      </w:pPr>
      <w:r>
        <w:rPr>
          <w:rFonts w:ascii="Times New Roman" w:hAnsi="Times New Roman"/>
          <w:b w:val="0"/>
          <w:i/>
          <w:sz w:val="20"/>
        </w:rPr>
        <w:t>Alias resolution.</w:t>
      </w:r>
      <w:r>
        <w:rPr>
          <w:rFonts w:ascii="Times New Roman" w:hAnsi="Times New Roman"/>
          <w:b w:val="0"/>
          <w:i w:val="0"/>
          <w:sz w:val="20"/>
        </w:rPr>
        <w:t xml:space="preserve"> A module may import a primitive under another name. Matching the written name alone misses </w:t>
      </w:r>
      <w:r>
        <w:rPr>
          <w:rFonts w:ascii="Consolas" w:hAnsi="Consolas"/>
          <w:b w:val="0"/>
          <w:i w:val="0"/>
          <w:sz w:val="17"/>
        </w:rPr>
        <w:t>from ... import rsa as asym_rsa</w:t>
      </w:r>
      <w:r>
        <w:rPr>
          <w:rFonts w:ascii="Times New Roman" w:hAnsi="Times New Roman"/>
          <w:b w:val="0"/>
          <w:i w:val="0"/>
          <w:sz w:val="20"/>
        </w:rPr>
        <w:t xml:space="preserve"> entirely. The detector therefore records the import table for each module and, when a dotted name does not match directly, re-resolves its root through that table before retrying the lookup. This also handles importing a function directly rather than its module.</w:t>
      </w:r>
    </w:p>
    <w:p>
      <w:pPr>
        <w:spacing w:after="100"/>
        <w:jc w:val="both"/>
      </w:pPr>
      <w:r>
        <w:rPr>
          <w:rFonts w:ascii="Times New Roman" w:hAnsi="Times New Roman"/>
          <w:b w:val="0"/>
          <w:i/>
          <w:sz w:val="20"/>
        </w:rPr>
        <w:t>Scope of the textual fallback.</w:t>
      </w:r>
      <w:r>
        <w:rPr>
          <w:rFonts w:ascii="Times New Roman" w:hAnsi="Times New Roman"/>
          <w:b w:val="0"/>
          <w:i w:val="0"/>
          <w:sz w:val="20"/>
        </w:rPr>
        <w:t xml:space="preserve"> A regular-expression sweep handles modules that fail to parse, which a purely AST-based analyser would otherwise skip in silence. An early version ran this sweep on every module as a second opinion. Evaluation showed this to be a mistake: on parseable files it contributed no detections the AST pass had missed, while matching crypto names inside docstrings, string constants and import statements. The sweep is now a genuine fallback, used only when parsing fails.</w:t>
      </w:r>
    </w:p>
    <w:p>
      <w:pPr>
        <w:spacing w:before="160" w:after="80"/>
      </w:pPr>
      <w:r>
        <w:rPr>
          <w:rFonts w:ascii="Times New Roman" w:hAnsi="Times New Roman"/>
          <w:b/>
          <w:sz w:val="20"/>
        </w:rPr>
        <w:t>C. Purpose classification</w:t>
      </w:r>
    </w:p>
    <w:p>
      <w:pPr>
        <w:spacing w:after="100"/>
        <w:jc w:val="both"/>
      </w:pPr>
      <w:r>
        <w:rPr>
          <w:rFonts w:ascii="Times New Roman" w:hAnsi="Times New Roman"/>
          <w:b w:val="0"/>
          <w:i w:val="0"/>
          <w:sz w:val="20"/>
        </w:rPr>
        <w:t xml:space="preserve">The detector assigns each finding one of three purposes — </w:t>
      </w:r>
      <w:r>
        <w:rPr>
          <w:rFonts w:ascii="Consolas" w:hAnsi="Consolas"/>
          <w:b w:val="0"/>
          <w:i w:val="0"/>
          <w:sz w:val="17"/>
        </w:rPr>
        <w:t>kem</w:t>
      </w:r>
      <w:r>
        <w:rPr>
          <w:rFonts w:ascii="Times New Roman" w:hAnsi="Times New Roman"/>
          <w:b w:val="0"/>
          <w:i w:val="0"/>
          <w:sz w:val="20"/>
        </w:rPr>
        <w:t xml:space="preserve">, </w:t>
      </w:r>
      <w:r>
        <w:rPr>
          <w:rFonts w:ascii="Consolas" w:hAnsi="Consolas"/>
          <w:b w:val="0"/>
          <w:i w:val="0"/>
          <w:sz w:val="17"/>
        </w:rPr>
        <w:t>key_exchange</w:t>
      </w:r>
      <w:r>
        <w:rPr>
          <w:rFonts w:ascii="Times New Roman" w:hAnsi="Times New Roman"/>
          <w:b w:val="0"/>
          <w:i w:val="0"/>
          <w:sz w:val="20"/>
        </w:rPr>
        <w:t xml:space="preserve">, or </w:t>
      </w:r>
      <w:r>
        <w:rPr>
          <w:rFonts w:ascii="Consolas" w:hAnsi="Consolas"/>
          <w:b w:val="0"/>
          <w:i w:val="0"/>
          <w:sz w:val="17"/>
        </w:rPr>
        <w:t>signature</w:t>
      </w:r>
      <w:r>
        <w:rPr>
          <w:rFonts w:ascii="Times New Roman" w:hAnsi="Times New Roman"/>
          <w:b w:val="0"/>
          <w:i w:val="0"/>
          <w:sz w:val="20"/>
        </w:rPr>
        <w:t xml:space="preserve"> — because the recommendation depends on it entirely.</w:t>
      </w:r>
    </w:p>
    <w:p>
      <w:pPr>
        <w:spacing w:after="100"/>
        <w:jc w:val="both"/>
      </w:pPr>
      <w:r>
        <w:rPr>
          <w:rFonts w:ascii="Times New Roman" w:hAnsi="Times New Roman"/>
          <w:b w:val="0"/>
          <w:i w:val="0"/>
          <w:sz w:val="20"/>
        </w:rPr>
        <w:t xml:space="preserve">Most constructs determine their own purpose: OAEP padding indicates key transport, PSS padding indicates signing, </w:t>
      </w:r>
      <w:r>
        <w:rPr>
          <w:rFonts w:ascii="Consolas" w:hAnsi="Consolas"/>
          <w:b w:val="0"/>
          <w:i w:val="0"/>
          <w:sz w:val="17"/>
        </w:rPr>
        <w:t>ECDH</w:t>
      </w:r>
      <w:r>
        <w:rPr>
          <w:rFonts w:ascii="Times New Roman" w:hAnsi="Times New Roman"/>
          <w:b w:val="0"/>
          <w:i w:val="0"/>
          <w:sz w:val="20"/>
        </w:rPr>
        <w:t xml:space="preserve"> indicates agreement. Key </w:t>
      </w:r>
      <w:r>
        <w:rPr>
          <w:rFonts w:ascii="Times New Roman" w:hAnsi="Times New Roman"/>
          <w:b w:val="0"/>
          <w:i/>
          <w:sz w:val="20"/>
        </w:rPr>
        <w:t>generation</w:t>
      </w:r>
      <w:r>
        <w:rPr>
          <w:rFonts w:ascii="Times New Roman" w:hAnsi="Times New Roman"/>
          <w:b w:val="0"/>
          <w:i w:val="0"/>
          <w:sz w:val="20"/>
        </w:rPr>
        <w:t xml:space="preserve"> does not. The pattern table must assign </w:t>
      </w:r>
      <w:r>
        <w:rPr>
          <w:rFonts w:ascii="Consolas" w:hAnsi="Consolas"/>
          <w:b w:val="0"/>
          <w:i w:val="0"/>
          <w:sz w:val="17"/>
        </w:rPr>
        <w:t>rsa.generate_private_key</w:t>
      </w:r>
      <w:r>
        <w:rPr>
          <w:rFonts w:ascii="Times New Roman" w:hAnsi="Times New Roman"/>
          <w:b w:val="0"/>
          <w:i w:val="0"/>
          <w:sz w:val="20"/>
        </w:rPr>
        <w:t xml:space="preserve"> and </w:t>
      </w:r>
      <w:r>
        <w:rPr>
          <w:rFonts w:ascii="Consolas" w:hAnsi="Consolas"/>
          <w:b w:val="0"/>
          <w:i w:val="0"/>
          <w:sz w:val="17"/>
        </w:rPr>
        <w:t>ec.generate_private_key</w:t>
      </w:r>
      <w:r>
        <w:rPr>
          <w:rFonts w:ascii="Times New Roman" w:hAnsi="Times New Roman"/>
          <w:b w:val="0"/>
          <w:i w:val="0"/>
          <w:sz w:val="20"/>
        </w:rPr>
        <w:t xml:space="preserve"> some default, but the true purpose is a property of the surrounding module.</w:t>
      </w:r>
    </w:p>
    <w:p>
      <w:pPr>
        <w:spacing w:after="100"/>
        <w:jc w:val="both"/>
      </w:pPr>
      <w:r>
        <w:rPr>
          <w:rFonts w:ascii="Times New Roman" w:hAnsi="Times New Roman"/>
          <w:b w:val="0"/>
          <w:i w:val="0"/>
          <w:sz w:val="20"/>
        </w:rPr>
        <w:t>The detector therefore performs a second pass over each module's findings and reassigns generation sites based on how the key is subsequently used: an RSA key in a module that only signs is reclassified as a signature key, and an elliptic-curve key in a module that only performs agreement is reclassified as key exchange. Both rules were added in response to misclassifications surfaced by the benchmark described in Section VI.</w:t>
      </w:r>
    </w:p>
    <w:p>
      <w:pPr>
        <w:spacing w:before="160" w:after="80"/>
      </w:pPr>
      <w:r>
        <w:rPr>
          <w:rFonts w:ascii="Times New Roman" w:hAnsi="Times New Roman"/>
          <w:b/>
          <w:sz w:val="20"/>
        </w:rPr>
        <w:t>D. Recommendation</w:t>
      </w:r>
    </w:p>
    <w:p>
      <w:pPr>
        <w:spacing w:after="100"/>
        <w:jc w:val="both"/>
      </w:pPr>
      <w:r>
        <w:rPr>
          <w:rFonts w:ascii="Times New Roman" w:hAnsi="Times New Roman"/>
          <w:b w:val="0"/>
          <w:i w:val="0"/>
          <w:sz w:val="20"/>
        </w:rPr>
        <w:t xml:space="preserve">Recommendation combines three inputs. The </w:t>
      </w:r>
      <w:r>
        <w:rPr>
          <w:rFonts w:ascii="Times New Roman" w:hAnsi="Times New Roman"/>
          <w:b w:val="0"/>
          <w:i/>
          <w:sz w:val="20"/>
        </w:rPr>
        <w:t>purpose</w:t>
      </w:r>
      <w:r>
        <w:rPr>
          <w:rFonts w:ascii="Times New Roman" w:hAnsi="Times New Roman"/>
          <w:b w:val="0"/>
          <w:i w:val="0"/>
          <w:sz w:val="20"/>
        </w:rPr>
        <w:t xml:space="preserve"> selects the family: key encapsulation and key exchange map to ML-KEM, signatures to ML-DSA, or to SLH-DSA where a deployment explicitly prefers hash-based signatures. The </w:t>
      </w:r>
      <w:r>
        <w:rPr>
          <w:rFonts w:ascii="Times New Roman" w:hAnsi="Times New Roman"/>
          <w:b w:val="0"/>
          <w:i/>
          <w:sz w:val="20"/>
        </w:rPr>
        <w:t>target security category</w:t>
      </w:r>
      <w:r>
        <w:rPr>
          <w:rFonts w:ascii="Times New Roman" w:hAnsi="Times New Roman"/>
          <w:b w:val="0"/>
          <w:i w:val="0"/>
          <w:sz w:val="20"/>
        </w:rPr>
        <w:t xml:space="preserve">, read from an optional </w:t>
      </w:r>
      <w:r>
        <w:rPr>
          <w:rFonts w:ascii="Consolas" w:hAnsi="Consolas"/>
          <w:b w:val="0"/>
          <w:i w:val="0"/>
          <w:sz w:val="17"/>
        </w:rPr>
        <w:t>pqc.config.json</w:t>
      </w:r>
      <w:r>
        <w:rPr>
          <w:rFonts w:ascii="Times New Roman" w:hAnsi="Times New Roman"/>
          <w:b w:val="0"/>
          <w:i w:val="0"/>
          <w:sz w:val="20"/>
        </w:rPr>
        <w:t xml:space="preserve"> beside the code or defaulting to category 3, selects the parameter set. Finally, a </w:t>
      </w:r>
      <w:r>
        <w:rPr>
          <w:rFonts w:ascii="Times New Roman" w:hAnsi="Times New Roman"/>
          <w:b w:val="0"/>
          <w:i/>
          <w:sz w:val="20"/>
        </w:rPr>
        <w:t>scoring pass</w:t>
      </w:r>
      <w:r>
        <w:rPr>
          <w:rFonts w:ascii="Times New Roman" w:hAnsi="Times New Roman"/>
          <w:b w:val="0"/>
          <w:i w:val="0"/>
          <w:sz w:val="20"/>
        </w:rPr>
        <w:t xml:space="preserve"> raises the target when the classical parameters imply a stronger requirement than the configured default — an RSA modulus of 4096 bits or a P-521 curve both push the recommendation to category 5.</w:t>
      </w:r>
    </w:p>
    <w:p>
      <w:pPr>
        <w:spacing w:after="100"/>
        <w:jc w:val="both"/>
      </w:pPr>
      <w:r>
        <w:rPr>
          <w:rFonts w:ascii="Times New Roman" w:hAnsi="Times New Roman"/>
          <w:b w:val="0"/>
          <w:i w:val="0"/>
          <w:sz w:val="20"/>
        </w:rPr>
        <w:t>Every recommendation carries a justification string naming the construct, the reason the family was chosen, the resulting category, and any scoring signals that applied. This is not cosmetic: a migration proposal that a security engineer cannot audit is a migration proposal that will not be accepted.</w:t>
      </w:r>
    </w:p>
    <w:p>
      <w:pPr>
        <w:spacing w:before="160" w:after="80"/>
      </w:pPr>
      <w:r>
        <w:rPr>
          <w:rFonts w:ascii="Times New Roman" w:hAnsi="Times New Roman"/>
          <w:b/>
          <w:sz w:val="20"/>
        </w:rPr>
        <w:t>E. Migration and the compatibility layer</w:t>
      </w:r>
    </w:p>
    <w:p>
      <w:pPr>
        <w:spacing w:after="100"/>
        <w:jc w:val="both"/>
      </w:pPr>
      <w:r>
        <w:rPr>
          <w:rFonts w:ascii="Times New Roman" w:hAnsi="Times New Roman"/>
          <w:b w:val="0"/>
          <w:i w:val="0"/>
          <w:sz w:val="20"/>
        </w:rPr>
        <w:t>Migration never modifies the input. It writes a transformed copy of the source tree, leaving the original untouched, which makes the entire stage trivially reversible.</w:t>
      </w:r>
    </w:p>
    <w:p>
      <w:pPr>
        <w:spacing w:after="100"/>
        <w:jc w:val="both"/>
      </w:pPr>
      <w:r>
        <w:rPr>
          <w:rFonts w:ascii="Times New Roman" w:hAnsi="Times New Roman"/>
          <w:b w:val="0"/>
          <w:i w:val="0"/>
          <w:sz w:val="20"/>
        </w:rPr>
        <w:t xml:space="preserve">Transformations are small, independent, auditable rules. Imports of supported </w:t>
      </w:r>
      <w:r>
        <w:rPr>
          <w:rFonts w:ascii="Consolas" w:hAnsi="Consolas"/>
          <w:b w:val="0"/>
          <w:i w:val="0"/>
          <w:sz w:val="17"/>
        </w:rPr>
        <w:t>cryptography</w:t>
      </w:r>
      <w:r>
        <w:rPr>
          <w:rFonts w:ascii="Times New Roman" w:hAnsi="Times New Roman"/>
          <w:b w:val="0"/>
          <w:i w:val="0"/>
          <w:sz w:val="20"/>
        </w:rPr>
        <w:t xml:space="preserve"> names are redirected to a shim module; RSA, EC and DH generation calls have their argument lists replaced with the chosen algorithm identifier. Each rewritten file is prefixed with a header recording which rules fired and which algorithms were selected.</w:t>
      </w:r>
    </w:p>
    <w:p>
      <w:pPr>
        <w:spacing w:after="100"/>
        <w:jc w:val="both"/>
      </w:pPr>
      <w:r>
        <w:rPr>
          <w:rFonts w:ascii="Times New Roman" w:hAnsi="Times New Roman"/>
          <w:b w:val="0"/>
          <w:i w:val="0"/>
          <w:sz w:val="20"/>
        </w:rPr>
        <w:t xml:space="preserve">The shim is what keeps the rewrites small. It exposes objects shaped like their classical counterparts — </w:t>
      </w:r>
      <w:r>
        <w:rPr>
          <w:rFonts w:ascii="Consolas" w:hAnsi="Consolas"/>
          <w:b w:val="0"/>
          <w:i w:val="0"/>
          <w:sz w:val="17"/>
        </w:rPr>
        <w:t>generate_private_key</w:t>
      </w:r>
      <w:r>
        <w:rPr>
          <w:rFonts w:ascii="Times New Roman" w:hAnsi="Times New Roman"/>
          <w:b w:val="0"/>
          <w:i w:val="0"/>
          <w:sz w:val="20"/>
        </w:rPr>
        <w:t xml:space="preserve">, </w:t>
      </w:r>
      <w:r>
        <w:rPr>
          <w:rFonts w:ascii="Consolas" w:hAnsi="Consolas"/>
          <w:b w:val="0"/>
          <w:i w:val="0"/>
          <w:sz w:val="17"/>
        </w:rPr>
        <w:t>public_key()</w:t>
      </w:r>
      <w:r>
        <w:rPr>
          <w:rFonts w:ascii="Times New Roman" w:hAnsi="Times New Roman"/>
          <w:b w:val="0"/>
          <w:i w:val="0"/>
          <w:sz w:val="20"/>
        </w:rPr>
        <w:t xml:space="preserve">, </w:t>
      </w:r>
      <w:r>
        <w:rPr>
          <w:rFonts w:ascii="Consolas" w:hAnsi="Consolas"/>
          <w:b w:val="0"/>
          <w:i w:val="0"/>
          <w:sz w:val="17"/>
        </w:rPr>
        <w:t>encrypt</w:t>
      </w:r>
      <w:r>
        <w:rPr>
          <w:rFonts w:ascii="Times New Roman" w:hAnsi="Times New Roman"/>
          <w:b w:val="0"/>
          <w:i w:val="0"/>
          <w:sz w:val="20"/>
        </w:rPr>
        <w:t>/</w:t>
      </w:r>
      <w:r>
        <w:rPr>
          <w:rFonts w:ascii="Consolas" w:hAnsi="Consolas"/>
          <w:b w:val="0"/>
          <w:i w:val="0"/>
          <w:sz w:val="17"/>
        </w:rPr>
        <w:t>decrypt</w:t>
      </w:r>
      <w:r>
        <w:rPr>
          <w:rFonts w:ascii="Times New Roman" w:hAnsi="Times New Roman"/>
          <w:b w:val="0"/>
          <w:i w:val="0"/>
          <w:sz w:val="20"/>
        </w:rPr>
        <w:t xml:space="preserve">, </w:t>
      </w:r>
      <w:r>
        <w:rPr>
          <w:rFonts w:ascii="Consolas" w:hAnsi="Consolas"/>
          <w:b w:val="0"/>
          <w:i w:val="0"/>
          <w:sz w:val="17"/>
        </w:rPr>
        <w:t>sign</w:t>
      </w:r>
      <w:r>
        <w:rPr>
          <w:rFonts w:ascii="Times New Roman" w:hAnsi="Times New Roman"/>
          <w:b w:val="0"/>
          <w:i w:val="0"/>
          <w:sz w:val="20"/>
        </w:rPr>
        <w:t>/</w:t>
      </w:r>
      <w:r>
        <w:rPr>
          <w:rFonts w:ascii="Consolas" w:hAnsi="Consolas"/>
          <w:b w:val="0"/>
          <w:i w:val="0"/>
          <w:sz w:val="17"/>
        </w:rPr>
        <w:t>verify</w:t>
      </w:r>
      <w:r>
        <w:rPr>
          <w:rFonts w:ascii="Times New Roman" w:hAnsi="Times New Roman"/>
          <w:b w:val="0"/>
          <w:i w:val="0"/>
          <w:sz w:val="20"/>
        </w:rPr>
        <w:t xml:space="preserve">, </w:t>
      </w:r>
      <w:r>
        <w:rPr>
          <w:rFonts w:ascii="Consolas" w:hAnsi="Consolas"/>
          <w:b w:val="0"/>
          <w:i w:val="0"/>
          <w:sz w:val="17"/>
        </w:rPr>
        <w:t>private_bytes</w:t>
      </w:r>
      <w:r>
        <w:rPr>
          <w:rFonts w:ascii="Times New Roman" w:hAnsi="Times New Roman"/>
          <w:b w:val="0"/>
          <w:i w:val="0"/>
          <w:sz w:val="20"/>
        </w:rPr>
        <w:t xml:space="preserve"> — so that call sites need not change, while the operations underneath are post-quantum. Classical arguments that have no post-quantum meaning, such as padding modes and hash selections for signature schemes that handle their own hashing, are accepted and ignored.</w:t>
      </w:r>
    </w:p>
    <w:p>
      <w:pPr>
        <w:spacing w:after="100"/>
        <w:jc w:val="both"/>
      </w:pPr>
      <w:r>
        <w:rPr>
          <w:rFonts w:ascii="Times New Roman" w:hAnsi="Times New Roman"/>
          <w:b w:val="0"/>
          <w:i w:val="0"/>
          <w:sz w:val="20"/>
        </w:rPr>
        <w:t xml:space="preserve">The one case where this strategy legitimately fails is instructive. RSA key transport maps cleanly onto ML-KEM: the shim encapsulates to the recipient's key and protects the payload with AES-256-GCM under the resulting shared secret, preserving </w:t>
      </w:r>
      <w:r>
        <w:rPr>
          <w:rFonts w:ascii="Consolas" w:hAnsi="Consolas"/>
          <w:b w:val="0"/>
          <w:i w:val="0"/>
          <w:sz w:val="17"/>
        </w:rPr>
        <w:t>encrypt</w:t>
      </w:r>
      <w:r>
        <w:rPr>
          <w:rFonts w:ascii="Times New Roman" w:hAnsi="Times New Roman"/>
          <w:b w:val="0"/>
          <w:i w:val="0"/>
          <w:sz w:val="20"/>
        </w:rPr>
        <w:t>/</w:t>
      </w:r>
      <w:r>
        <w:rPr>
          <w:rFonts w:ascii="Consolas" w:hAnsi="Consolas"/>
          <w:b w:val="0"/>
          <w:i w:val="0"/>
          <w:sz w:val="17"/>
        </w:rPr>
        <w:t>decrypt</w:t>
      </w:r>
      <w:r>
        <w:rPr>
          <w:rFonts w:ascii="Times New Roman" w:hAnsi="Times New Roman"/>
          <w:b w:val="0"/>
          <w:i w:val="0"/>
          <w:sz w:val="20"/>
        </w:rPr>
        <w:t xml:space="preserve"> semantics. Diffie–Hellman does not map cleanly, because its symmetry is essential — both parties derive the same secret from one exchange, whereas a KEM requires one party to encapsulate and the other to decapsulate. No adapter can hide this; the protocol must change. The framework therefore migrates DH parameter generation, annotates each exchange site with the required restructuring, marks the file as requiring manual review, and declines to execute it during verification. It does not report the file as successfully migrated.</w:t>
      </w:r>
    </w:p>
    <w:p>
      <w:pPr>
        <w:spacing w:after="100"/>
        <w:jc w:val="both"/>
      </w:pPr>
      <w:r>
        <w:rPr>
          <w:rFonts w:ascii="Times New Roman" w:hAnsi="Times New Roman"/>
          <w:b w:val="0"/>
          <w:i w:val="0"/>
          <w:sz w:val="20"/>
        </w:rPr>
        <w:t>We regard this behaviour as a design result rather than a shortcoming. A migration tool that silently produced something plausible here would be considerably more dangerous than one that stops and says so.</w:t>
      </w:r>
    </w:p>
    <w:p>
      <w:pPr>
        <w:spacing w:before="160" w:after="80"/>
      </w:pPr>
      <w:r>
        <w:rPr>
          <w:rFonts w:ascii="Times New Roman" w:hAnsi="Times New Roman"/>
          <w:b/>
          <w:sz w:val="20"/>
        </w:rPr>
        <w:t>F. Backend abstraction</w:t>
      </w:r>
    </w:p>
    <w:p>
      <w:pPr>
        <w:spacing w:after="100"/>
        <w:jc w:val="both"/>
      </w:pPr>
      <w:r>
        <w:rPr>
          <w:rFonts w:ascii="Times New Roman" w:hAnsi="Times New Roman"/>
          <w:b w:val="0"/>
          <w:i w:val="0"/>
          <w:sz w:val="20"/>
        </w:rPr>
        <w:t>All post-quantum operations pass through a single interface exposing key generation, encapsulation, decapsulation, signing and verification. Two backends implement it: liboqs where available, and pure-Python ML-KEM and ML-DSA otherwise. Selection is automatic and overridable. Requesting an algorithm the active backend cannot provide — SLH-DSA on the pure-Python backend — raises an explicit error rather than silently substituting a different scheme.</w:t>
      </w:r>
    </w:p>
    <w:p>
      <w:pPr>
        <w:spacing w:before="160" w:after="80"/>
      </w:pPr>
      <w:r>
        <w:rPr>
          <w:rFonts w:ascii="Times New Roman" w:hAnsi="Times New Roman"/>
          <w:b/>
          <w:sz w:val="20"/>
        </w:rPr>
        <w:t>G. Verification</w:t>
      </w:r>
    </w:p>
    <w:p>
      <w:pPr>
        <w:spacing w:after="100"/>
        <w:jc w:val="both"/>
      </w:pPr>
      <w:r>
        <w:rPr>
          <w:rFonts w:ascii="Times New Roman" w:hAnsi="Times New Roman"/>
          <w:b w:val="0"/>
          <w:i w:val="0"/>
          <w:sz w:val="20"/>
        </w:rPr>
        <w:t>The verification stage asks two separate questions.</w:t>
      </w:r>
    </w:p>
    <w:p>
      <w:pPr>
        <w:spacing w:after="100"/>
        <w:jc w:val="both"/>
      </w:pPr>
      <w:r>
        <w:rPr>
          <w:rFonts w:ascii="Times New Roman" w:hAnsi="Times New Roman"/>
          <w:b w:val="0"/>
          <w:i/>
          <w:sz w:val="20"/>
        </w:rPr>
        <w:t>Do the primitives work?</w:t>
      </w:r>
      <w:r>
        <w:rPr>
          <w:rFonts w:ascii="Times New Roman" w:hAnsi="Times New Roman"/>
          <w:b w:val="0"/>
          <w:i w:val="0"/>
          <w:sz w:val="20"/>
        </w:rPr>
        <w:t xml:space="preserve"> For each recommended algorithm the framework performs a full round trip and the corresponding negative tests: that a KEM's shared secret survives encapsulation and decapsulation, and that decapsulating with a foreign key does not recover it; that a signature verifies, and that a tampered message and a wrong public key are both rejected.</w:t>
      </w:r>
    </w:p>
    <w:p>
      <w:pPr>
        <w:spacing w:after="100"/>
        <w:jc w:val="both"/>
      </w:pPr>
      <w:r>
        <w:rPr>
          <w:rFonts w:ascii="Times New Roman" w:hAnsi="Times New Roman"/>
          <w:b w:val="0"/>
          <w:i w:val="0"/>
          <w:sz w:val="20"/>
        </w:rPr>
        <w:t>The negative tests carry most of the evidential weight. A verification stage that only confirms successful paths cannot distinguish working cryptography from a stub that returns success.</w:t>
      </w:r>
    </w:p>
    <w:p>
      <w:pPr>
        <w:spacing w:after="100"/>
        <w:jc w:val="both"/>
      </w:pPr>
      <w:r>
        <w:rPr>
          <w:rFonts w:ascii="Times New Roman" w:hAnsi="Times New Roman"/>
          <w:b w:val="0"/>
          <w:i/>
          <w:sz w:val="20"/>
        </w:rPr>
        <w:t>Does the migrated program work?</w:t>
      </w:r>
      <w:r>
        <w:rPr>
          <w:rFonts w:ascii="Times New Roman" w:hAnsi="Times New Roman"/>
          <w:b w:val="0"/>
          <w:i w:val="0"/>
          <w:sz w:val="20"/>
        </w:rPr>
        <w:t xml:space="preserve"> The framework executes each migrated application and records its exit status. This is the strongest available evidence that a transformation preserved behaviour, and it is what we mean by verified replacement as opposed to proposed replacement.</w:t>
      </w:r>
    </w:p>
    <w:p>
      <w:pPr>
        <w:spacing w:before="160" w:after="80"/>
      </w:pPr>
      <w:r>
        <w:rPr>
          <w:rFonts w:ascii="Times New Roman" w:hAnsi="Times New Roman"/>
          <w:b/>
          <w:sz w:val="20"/>
        </w:rPr>
        <w:t>H. Reporting</w:t>
      </w:r>
    </w:p>
    <w:p>
      <w:pPr>
        <w:spacing w:after="100"/>
        <w:jc w:val="both"/>
      </w:pPr>
      <w:r>
        <w:rPr>
          <w:rFonts w:ascii="Times New Roman" w:hAnsi="Times New Roman"/>
          <w:b w:val="0"/>
          <w:i w:val="0"/>
          <w:sz w:val="20"/>
        </w:rPr>
        <w:t>The final stage emits JSON, Markdown and HTML containing findings, recommendations with justifications, migration outcomes, verification results, dependency analysis, and a benchmark measured at report time on the machine generating the report. No performance figure in the output is stored or inherited from literature.</w:t>
      </w:r>
    </w:p>
    <w:p>
      <w:pPr>
        <w:spacing w:before="240" w:after="80"/>
      </w:pPr>
      <w:r>
        <w:rPr>
          <w:rFonts w:ascii="Times New Roman" w:hAnsi="Times New Roman"/>
          <w:b/>
          <w:caps w:val="0"/>
          <w:sz w:val="22"/>
        </w:rPr>
        <w:t>V. Implementation</w:t>
      </w:r>
    </w:p>
    <w:p>
      <w:pPr>
        <w:spacing w:after="100"/>
        <w:jc w:val="both"/>
      </w:pPr>
      <w:r>
        <w:rPr>
          <w:rFonts w:ascii="Times New Roman" w:hAnsi="Times New Roman"/>
          <w:b w:val="0"/>
          <w:i w:val="0"/>
          <w:sz w:val="20"/>
        </w:rPr>
        <w:t>The prototype is approximately 3,200 lines of Python across 26 modules, with 700 lines of tests. It is installable as a package and driven by a single command-line interface exposing each stage individually (</w:t>
      </w:r>
      <w:r>
        <w:rPr>
          <w:rFonts w:ascii="Consolas" w:hAnsi="Consolas"/>
          <w:b w:val="0"/>
          <w:i w:val="0"/>
          <w:sz w:val="17"/>
        </w:rPr>
        <w:t>scan</w:t>
      </w:r>
      <w:r>
        <w:rPr>
          <w:rFonts w:ascii="Times New Roman" w:hAnsi="Times New Roman"/>
          <w:b w:val="0"/>
          <w:i w:val="0"/>
          <w:sz w:val="20"/>
        </w:rPr>
        <w:t xml:space="preserve">, </w:t>
      </w:r>
      <w:r>
        <w:rPr>
          <w:rFonts w:ascii="Consolas" w:hAnsi="Consolas"/>
          <w:b w:val="0"/>
          <w:i w:val="0"/>
          <w:sz w:val="17"/>
        </w:rPr>
        <w:t>recommend</w:t>
      </w:r>
      <w:r>
        <w:rPr>
          <w:rFonts w:ascii="Times New Roman" w:hAnsi="Times New Roman"/>
          <w:b w:val="0"/>
          <w:i w:val="0"/>
          <w:sz w:val="20"/>
        </w:rPr>
        <w:t xml:space="preserve">, </w:t>
      </w:r>
      <w:r>
        <w:rPr>
          <w:rFonts w:ascii="Consolas" w:hAnsi="Consolas"/>
          <w:b w:val="0"/>
          <w:i w:val="0"/>
          <w:sz w:val="17"/>
        </w:rPr>
        <w:t>migrate</w:t>
      </w:r>
      <w:r>
        <w:rPr>
          <w:rFonts w:ascii="Times New Roman" w:hAnsi="Times New Roman"/>
          <w:b w:val="0"/>
          <w:i w:val="0"/>
          <w:sz w:val="20"/>
        </w:rPr>
        <w:t xml:space="preserve">, </w:t>
      </w:r>
      <w:r>
        <w:rPr>
          <w:rFonts w:ascii="Consolas" w:hAnsi="Consolas"/>
          <w:b w:val="0"/>
          <w:i w:val="0"/>
          <w:sz w:val="17"/>
        </w:rPr>
        <w:t>verify</w:t>
      </w:r>
      <w:r>
        <w:rPr>
          <w:rFonts w:ascii="Times New Roman" w:hAnsi="Times New Roman"/>
          <w:b w:val="0"/>
          <w:i w:val="0"/>
          <w:sz w:val="20"/>
        </w:rPr>
        <w:t xml:space="preserve">, </w:t>
      </w:r>
      <w:r>
        <w:rPr>
          <w:rFonts w:ascii="Consolas" w:hAnsi="Consolas"/>
          <w:b w:val="0"/>
          <w:i w:val="0"/>
          <w:sz w:val="17"/>
        </w:rPr>
        <w:t>report</w:t>
      </w:r>
      <w:r>
        <w:rPr>
          <w:rFonts w:ascii="Times New Roman" w:hAnsi="Times New Roman"/>
          <w:b w:val="0"/>
          <w:i w:val="0"/>
          <w:sz w:val="20"/>
        </w:rPr>
        <w:t xml:space="preserve">) and a composite </w:t>
      </w:r>
      <w:r>
        <w:rPr>
          <w:rFonts w:ascii="Consolas" w:hAnsi="Consolas"/>
          <w:b w:val="0"/>
          <w:i w:val="0"/>
          <w:sz w:val="17"/>
        </w:rPr>
        <w:t>run</w:t>
      </w:r>
      <w:r>
        <w:rPr>
          <w:rFonts w:ascii="Times New Roman" w:hAnsi="Times New Roman"/>
          <w:b w:val="0"/>
          <w:i w:val="0"/>
          <w:sz w:val="20"/>
        </w:rPr>
        <w:t xml:space="preserve"> command that executes the whole pipeline.</w:t>
      </w:r>
    </w:p>
    <w:p>
      <w:pPr>
        <w:spacing w:after="100"/>
        <w:jc w:val="both"/>
      </w:pPr>
      <w:r>
        <w:rPr>
          <w:rFonts w:ascii="Times New Roman" w:hAnsi="Times New Roman"/>
          <w:b w:val="0"/>
          <w:i w:val="0"/>
          <w:sz w:val="20"/>
        </w:rPr>
        <w:t xml:space="preserve">Post-quantum operations are provided by </w:t>
      </w:r>
      <w:r>
        <w:rPr>
          <w:rFonts w:ascii="Consolas" w:hAnsi="Consolas"/>
          <w:b w:val="0"/>
          <w:i w:val="0"/>
          <w:sz w:val="17"/>
        </w:rPr>
        <w:t>kyber-py</w:t>
      </w:r>
      <w:r>
        <w:rPr>
          <w:rFonts w:ascii="Times New Roman" w:hAnsi="Times New Roman"/>
          <w:b w:val="0"/>
          <w:i w:val="0"/>
          <w:sz w:val="20"/>
        </w:rPr>
        <w:t xml:space="preserve"> 1.2.0 (ML-KEM) and </w:t>
      </w:r>
      <w:r>
        <w:rPr>
          <w:rFonts w:ascii="Consolas" w:hAnsi="Consolas"/>
          <w:b w:val="0"/>
          <w:i w:val="0"/>
          <w:sz w:val="17"/>
        </w:rPr>
        <w:t>dilithium-py</w:t>
      </w:r>
      <w:r>
        <w:rPr>
          <w:rFonts w:ascii="Times New Roman" w:hAnsi="Times New Roman"/>
          <w:b w:val="0"/>
          <w:i w:val="0"/>
          <w:sz w:val="20"/>
        </w:rPr>
        <w:t xml:space="preserve"> 1.4.0 (ML-DSA) [5], [6], with liboqs supported as the preferred backend. Classical cryptography in the sample applications and the classical benchmark baselines use PyCA </w:t>
      </w:r>
      <w:r>
        <w:rPr>
          <w:rFonts w:ascii="Consolas" w:hAnsi="Consolas"/>
          <w:b w:val="0"/>
          <w:i w:val="0"/>
          <w:sz w:val="17"/>
        </w:rPr>
        <w:t>cryptography</w:t>
      </w:r>
      <w:r>
        <w:rPr>
          <w:rFonts w:ascii="Times New Roman" w:hAnsi="Times New Roman"/>
          <w:b w:val="0"/>
          <w:i w:val="0"/>
          <w:sz w:val="20"/>
        </w:rPr>
        <w:t xml:space="preserve"> 50.0.1. Detection relies on the Python standard library's </w:t>
      </w:r>
      <w:r>
        <w:rPr>
          <w:rFonts w:ascii="Consolas" w:hAnsi="Consolas"/>
          <w:b w:val="0"/>
          <w:i w:val="0"/>
          <w:sz w:val="17"/>
        </w:rPr>
        <w:t>ast</w:t>
      </w:r>
      <w:r>
        <w:rPr>
          <w:rFonts w:ascii="Times New Roman" w:hAnsi="Times New Roman"/>
          <w:b w:val="0"/>
          <w:i w:val="0"/>
          <w:sz w:val="20"/>
        </w:rPr>
        <w:t xml:space="preserve"> module. The test suite comprises 70 tests executing in approximately 3.5 seconds.</w:t>
      </w:r>
    </w:p>
    <w:p>
      <w:pPr>
        <w:spacing w:after="100"/>
        <w:jc w:val="both"/>
      </w:pPr>
      <w:r>
        <w:rPr>
          <w:rFonts w:ascii="Times New Roman" w:hAnsi="Times New Roman"/>
          <w:b w:val="0"/>
          <w:i w:val="0"/>
          <w:sz w:val="20"/>
        </w:rPr>
        <w:t>Three deliberately small sample applications accompany the framework: an RSA-OAEP session-key transport service, an ECDSA release-signing service, and a finite-field Diffie–Hellman handshake. They are intentionally idiomatic rather than contrived, and serve as the end-to-end demonstration targets in Section VI-C.</w:t>
      </w:r>
    </w:p>
    <w:p>
      <w:pPr>
        <w:spacing w:before="240" w:after="80"/>
      </w:pPr>
      <w:r>
        <w:rPr>
          <w:rFonts w:ascii="Times New Roman" w:hAnsi="Times New Roman"/>
          <w:b/>
          <w:caps w:val="0"/>
          <w:sz w:val="22"/>
        </w:rPr>
        <w:t>VI. Evaluation</w:t>
      </w:r>
    </w:p>
    <w:p>
      <w:pPr>
        <w:spacing w:after="100"/>
        <w:jc w:val="both"/>
      </w:pPr>
      <w:r>
        <w:rPr>
          <w:rFonts w:ascii="Times New Roman" w:hAnsi="Times New Roman"/>
          <w:b w:val="0"/>
          <w:i w:val="0"/>
          <w:sz w:val="20"/>
        </w:rPr>
        <w:t xml:space="preserve">We address four questions. </w:t>
      </w:r>
      <w:r>
        <w:rPr>
          <w:rFonts w:ascii="Times New Roman" w:hAnsi="Times New Roman"/>
          <w:b/>
          <w:i w:val="0"/>
          <w:sz w:val="20"/>
        </w:rPr>
        <w:t>RQ1:</w:t>
      </w:r>
      <w:r>
        <w:rPr>
          <w:rFonts w:ascii="Times New Roman" w:hAnsi="Times New Roman"/>
          <w:b w:val="0"/>
          <w:i w:val="0"/>
          <w:sz w:val="20"/>
        </w:rPr>
        <w:t xml:space="preserve"> how accurately does the detector locate quantum-vulnerable cryptography? </w:t>
      </w:r>
      <w:r>
        <w:rPr>
          <w:rFonts w:ascii="Times New Roman" w:hAnsi="Times New Roman"/>
          <w:b/>
          <w:i w:val="0"/>
          <w:sz w:val="20"/>
        </w:rPr>
        <w:t>RQ2:</w:t>
      </w:r>
      <w:r>
        <w:rPr>
          <w:rFonts w:ascii="Times New Roman" w:hAnsi="Times New Roman"/>
          <w:b w:val="0"/>
          <w:i w:val="0"/>
          <w:sz w:val="20"/>
        </w:rPr>
        <w:t xml:space="preserve"> does it correctly infer what that cryptography is for? </w:t>
      </w:r>
      <w:r>
        <w:rPr>
          <w:rFonts w:ascii="Times New Roman" w:hAnsi="Times New Roman"/>
          <w:b/>
          <w:i w:val="0"/>
          <w:sz w:val="20"/>
        </w:rPr>
        <w:t>RQ3:</w:t>
      </w:r>
      <w:r>
        <w:rPr>
          <w:rFonts w:ascii="Times New Roman" w:hAnsi="Times New Roman"/>
          <w:b w:val="0"/>
          <w:i w:val="0"/>
          <w:sz w:val="20"/>
        </w:rPr>
        <w:t xml:space="preserve"> does the pipeline produce migrated code that actually runs? </w:t>
      </w:r>
      <w:r>
        <w:rPr>
          <w:rFonts w:ascii="Times New Roman" w:hAnsi="Times New Roman"/>
          <w:b/>
          <w:i w:val="0"/>
          <w:sz w:val="20"/>
        </w:rPr>
        <w:t>RQ4:</w:t>
      </w:r>
      <w:r>
        <w:rPr>
          <w:rFonts w:ascii="Times New Roman" w:hAnsi="Times New Roman"/>
          <w:b w:val="0"/>
          <w:i w:val="0"/>
          <w:sz w:val="20"/>
        </w:rPr>
        <w:t xml:space="preserve"> what does migration cost?</w:t>
      </w:r>
    </w:p>
    <w:p>
      <w:pPr>
        <w:spacing w:after="100"/>
        <w:jc w:val="both"/>
      </w:pPr>
      <w:r>
        <w:rPr>
          <w:rFonts w:ascii="Times New Roman" w:hAnsi="Times New Roman"/>
          <w:b w:val="0"/>
          <w:i w:val="0"/>
          <w:sz w:val="20"/>
        </w:rPr>
        <w:t>All measurements were taken on an Intel 12th-generation x86-64 laptop running Windows 11 and CPython 3.11.9, using the pure-Python backend.</w:t>
      </w:r>
    </w:p>
    <w:p>
      <w:pPr>
        <w:spacing w:before="160" w:after="80"/>
      </w:pPr>
      <w:r>
        <w:rPr>
          <w:rFonts w:ascii="Times New Roman" w:hAnsi="Times New Roman"/>
          <w:b/>
          <w:sz w:val="20"/>
        </w:rPr>
        <w:t>A. RQ1: Detection accuracy</w:t>
      </w:r>
    </w:p>
    <w:p>
      <w:pPr>
        <w:spacing w:after="100"/>
        <w:jc w:val="both"/>
      </w:pPr>
      <w:r>
        <w:rPr>
          <w:rFonts w:ascii="Times New Roman" w:hAnsi="Times New Roman"/>
          <w:b/>
          <w:i w:val="0"/>
          <w:sz w:val="20"/>
        </w:rPr>
        <w:t>Benchmark construction.</w:t>
      </w:r>
      <w:r>
        <w:rPr>
          <w:rFonts w:ascii="Times New Roman" w:hAnsi="Times New Roman"/>
          <w:b w:val="0"/>
          <w:i w:val="0"/>
          <w:sz w:val="20"/>
        </w:rPr>
        <w:t xml:space="preserve"> No standard benchmark exists for this task, so we built one. It comprises 29 Python modules in three groups: 18 </w:t>
      </w:r>
      <w:r>
        <w:rPr>
          <w:rFonts w:ascii="Times New Roman" w:hAnsi="Times New Roman"/>
          <w:b w:val="0"/>
          <w:i/>
          <w:sz w:val="20"/>
        </w:rPr>
        <w:t>in-scope</w:t>
      </w:r>
      <w:r>
        <w:rPr>
          <w:rFonts w:ascii="Times New Roman" w:hAnsi="Times New Roman"/>
          <w:b w:val="0"/>
          <w:i w:val="0"/>
          <w:sz w:val="20"/>
        </w:rPr>
        <w:t xml:space="preserve"> modules using RSA, ECC or Diffie–Hellman directly through the three targeted libraries; 5 </w:t>
      </w:r>
      <w:r>
        <w:rPr>
          <w:rFonts w:ascii="Times New Roman" w:hAnsi="Times New Roman"/>
          <w:b w:val="0"/>
          <w:i/>
          <w:sz w:val="20"/>
        </w:rPr>
        <w:t>extended</w:t>
      </w:r>
      <w:r>
        <w:rPr>
          <w:rFonts w:ascii="Times New Roman" w:hAnsi="Times New Roman"/>
          <w:b w:val="0"/>
          <w:i w:val="0"/>
          <w:sz w:val="20"/>
        </w:rPr>
        <w:t xml:space="preserve"> modules in which genuinely vulnerable cryptography is reached indirectly; and 6 </w:t>
      </w:r>
      <w:r>
        <w:rPr>
          <w:rFonts w:ascii="Times New Roman" w:hAnsi="Times New Roman"/>
          <w:b w:val="0"/>
          <w:i/>
          <w:sz w:val="20"/>
        </w:rPr>
        <w:t>clean</w:t>
      </w:r>
      <w:r>
        <w:rPr>
          <w:rFonts w:ascii="Times New Roman" w:hAnsi="Times New Roman"/>
          <w:b w:val="0"/>
          <w:i w:val="0"/>
          <w:sz w:val="20"/>
        </w:rPr>
        <w:t xml:space="preserve"> modules containing no vulnerable public-key cryptography at all. The clean group is essential — a detector evaluated only on positive cases cannot be shown to be precise.</w:t>
      </w:r>
    </w:p>
    <w:p>
      <w:pPr>
        <w:spacing w:after="100"/>
        <w:jc w:val="both"/>
      </w:pPr>
      <w:r>
        <w:rPr>
          <w:rFonts w:ascii="Times New Roman" w:hAnsi="Times New Roman"/>
          <w:b w:val="0"/>
          <w:i w:val="0"/>
          <w:sz w:val="20"/>
        </w:rPr>
        <w:t>Ground truth is embedded in the corpus itself. Every line a cryptographer would flag carries a trailing annotation naming the expected algorithm family, purpose and scope. Because the detector's AST pass ignores comments and its fallback strips them, the labels cannot influence the measurement. The corpus contains 38 annotated sites: 31 in scope and 7 extended.</w:t>
      </w:r>
    </w:p>
    <w:p>
      <w:pPr>
        <w:spacing w:after="100"/>
        <w:jc w:val="both"/>
      </w:pPr>
      <w:r>
        <w:rPr>
          <w:rFonts w:ascii="Times New Roman" w:hAnsi="Times New Roman"/>
          <w:b/>
          <w:i w:val="0"/>
          <w:sz w:val="20"/>
        </w:rPr>
        <w:t>Scoring.</w:t>
      </w:r>
      <w:r>
        <w:rPr>
          <w:rFonts w:ascii="Times New Roman" w:hAnsi="Times New Roman"/>
          <w:b w:val="0"/>
          <w:i w:val="0"/>
          <w:sz w:val="20"/>
        </w:rPr>
        <w:t xml:space="preserve"> A detection is counted at (file, line, algorithm family) granularity, so a tool is neither rewarded nor penalised for how finely it decomposes a single site — </w:t>
      </w:r>
      <w:r>
        <w:rPr>
          <w:rFonts w:ascii="Consolas" w:hAnsi="Consolas"/>
          <w:b w:val="0"/>
          <w:i w:val="0"/>
          <w:sz w:val="17"/>
        </w:rPr>
        <w:t>ec.generate_private_key(ec.SECP256R1())</w:t>
      </w:r>
      <w:r>
        <w:rPr>
          <w:rFonts w:ascii="Times New Roman" w:hAnsi="Times New Roman"/>
          <w:b w:val="0"/>
          <w:i w:val="0"/>
          <w:sz w:val="20"/>
        </w:rPr>
        <w:t xml:space="preserve"> counts once. Precision is computed over every flag raised against sites of either scope, so detecting an extended site is never penalised. Recall is reported separately for each scope.</w:t>
      </w:r>
    </w:p>
    <w:p>
      <w:pPr>
        <w:spacing w:after="100"/>
        <w:jc w:val="both"/>
      </w:pPr>
      <w:r>
        <w:rPr>
          <w:rFonts w:ascii="Times New Roman" w:hAnsi="Times New Roman"/>
          <w:b/>
          <w:i w:val="0"/>
          <w:sz w:val="20"/>
        </w:rPr>
        <w:t>Results.</w:t>
      </w:r>
      <w:r>
        <w:rPr>
          <w:rFonts w:ascii="Times New Roman" w:hAnsi="Times New Roman"/>
          <w:b w:val="0"/>
          <w:i w:val="0"/>
          <w:sz w:val="20"/>
        </w:rPr>
        <w:t xml:space="preserve"> Table II reports the outcome.</w:t>
      </w:r>
    </w:p>
    <w:p>
      <w:pPr>
        <w:spacing w:after="100"/>
        <w:jc w:val="both"/>
      </w:pPr>
      <w:r>
        <w:rPr>
          <w:rFonts w:ascii="Times New Roman" w:hAnsi="Times New Roman"/>
          <w:b/>
          <w:i w:val="0"/>
          <w:sz w:val="20"/>
        </w:rPr>
        <w:t>TABLE II. DETECTION PERFORMANCE</w:t>
      </w:r>
    </w:p>
    <w:tbl>
      <w:tblPr>
        <w:tblStyle w:val="TableGrid"/>
        <w:tblW w:type="auto" w:w="0"/>
        <w:jc w:val="center"/>
        <w:tblLook w:firstColumn="1" w:firstRow="1" w:lastColumn="0" w:lastRow="0" w:noHBand="0" w:noVBand="1" w:val="04A0"/>
      </w:tblPr>
      <w:tblGrid>
        <w:gridCol w:w="5040"/>
        <w:gridCol w:w="5040"/>
      </w:tblGrid>
      <w:tr>
        <w:tc>
          <w:tcPr>
            <w:tcW w:type="dxa" w:w="5040"/>
            <w:shd w:val="clear" w:fill="E8E8E8"/>
          </w:tcPr>
          <w:p>
            <w:r/>
            <w:r>
              <w:rPr>
                <w:rFonts w:ascii="Times New Roman" w:hAnsi="Times New Roman"/>
                <w:b/>
                <w:i w:val="0"/>
                <w:sz w:val="17"/>
              </w:rPr>
              <w:t>Metric</w:t>
            </w:r>
          </w:p>
        </w:tc>
        <w:tc>
          <w:tcPr>
            <w:tcW w:type="dxa" w:w="5040"/>
            <w:shd w:val="clear" w:fill="E8E8E8"/>
          </w:tcPr>
          <w:p>
            <w:r/>
            <w:r>
              <w:rPr>
                <w:rFonts w:ascii="Times New Roman" w:hAnsi="Times New Roman"/>
                <w:b/>
                <w:i w:val="0"/>
                <w:sz w:val="17"/>
              </w:rPr>
              <w:t>Value</w:t>
            </w:r>
          </w:p>
        </w:tc>
      </w:tr>
      <w:tr>
        <w:tc>
          <w:tcPr>
            <w:tcW w:type="dxa" w:w="5040"/>
          </w:tcPr>
          <w:p>
            <w:r/>
            <w:r>
              <w:rPr>
                <w:rFonts w:ascii="Times New Roman" w:hAnsi="Times New Roman"/>
                <w:b w:val="0"/>
                <w:i w:val="0"/>
                <w:sz w:val="17"/>
              </w:rPr>
              <w:t>Flags raised</w:t>
            </w:r>
          </w:p>
        </w:tc>
        <w:tc>
          <w:tcPr>
            <w:tcW w:type="dxa" w:w="5040"/>
          </w:tcPr>
          <w:p>
            <w:r/>
            <w:r>
              <w:rPr>
                <w:rFonts w:ascii="Times New Roman" w:hAnsi="Times New Roman"/>
                <w:b w:val="0"/>
                <w:i w:val="0"/>
                <w:sz w:val="17"/>
              </w:rPr>
              <w:t>31</w:t>
            </w:r>
          </w:p>
        </w:tc>
      </w:tr>
      <w:tr>
        <w:tc>
          <w:tcPr>
            <w:tcW w:type="dxa" w:w="5040"/>
          </w:tcPr>
          <w:p>
            <w:r/>
            <w:r>
              <w:rPr>
                <w:rFonts w:ascii="Times New Roman" w:hAnsi="Times New Roman"/>
                <w:b w:val="0"/>
                <w:i w:val="0"/>
                <w:sz w:val="17"/>
              </w:rPr>
              <w:t>Precision (all flags)</w:t>
            </w:r>
          </w:p>
        </w:tc>
        <w:tc>
          <w:tcPr>
            <w:tcW w:type="dxa" w:w="5040"/>
          </w:tcPr>
          <w:p>
            <w:r/>
            <w:r>
              <w:rPr>
                <w:rFonts w:ascii="Times New Roman" w:hAnsi="Times New Roman"/>
                <w:b/>
                <w:i w:val="0"/>
                <w:sz w:val="17"/>
              </w:rPr>
              <w:t>1.000</w:t>
            </w:r>
          </w:p>
        </w:tc>
      </w:tr>
      <w:tr>
        <w:tc>
          <w:tcPr>
            <w:tcW w:type="dxa" w:w="5040"/>
          </w:tcPr>
          <w:p>
            <w:r/>
            <w:r>
              <w:rPr>
                <w:rFonts w:ascii="Times New Roman" w:hAnsi="Times New Roman"/>
                <w:b w:val="0"/>
                <w:i w:val="0"/>
                <w:sz w:val="17"/>
              </w:rPr>
              <w:t>Recall, in-scope (31 sites)</w:t>
            </w:r>
          </w:p>
        </w:tc>
        <w:tc>
          <w:tcPr>
            <w:tcW w:type="dxa" w:w="5040"/>
          </w:tcPr>
          <w:p>
            <w:r/>
            <w:r>
              <w:rPr>
                <w:rFonts w:ascii="Times New Roman" w:hAnsi="Times New Roman"/>
                <w:b/>
                <w:i w:val="0"/>
                <w:sz w:val="17"/>
              </w:rPr>
              <w:t>1.000</w:t>
            </w:r>
          </w:p>
        </w:tc>
      </w:tr>
      <w:tr>
        <w:tc>
          <w:tcPr>
            <w:tcW w:type="dxa" w:w="5040"/>
          </w:tcPr>
          <w:p>
            <w:r/>
            <w:r>
              <w:rPr>
                <w:rFonts w:ascii="Times New Roman" w:hAnsi="Times New Roman"/>
                <w:b w:val="0"/>
                <w:i w:val="0"/>
                <w:sz w:val="17"/>
              </w:rPr>
              <w:t>F1, in-scope</w:t>
            </w:r>
          </w:p>
        </w:tc>
        <w:tc>
          <w:tcPr>
            <w:tcW w:type="dxa" w:w="5040"/>
          </w:tcPr>
          <w:p>
            <w:r/>
            <w:r>
              <w:rPr>
                <w:rFonts w:ascii="Times New Roman" w:hAnsi="Times New Roman"/>
                <w:b/>
                <w:i w:val="0"/>
                <w:sz w:val="17"/>
              </w:rPr>
              <w:t>1.000</w:t>
            </w:r>
          </w:p>
        </w:tc>
      </w:tr>
      <w:tr>
        <w:tc>
          <w:tcPr>
            <w:tcW w:type="dxa" w:w="5040"/>
          </w:tcPr>
          <w:p>
            <w:r/>
            <w:r>
              <w:rPr>
                <w:rFonts w:ascii="Times New Roman" w:hAnsi="Times New Roman"/>
                <w:b w:val="0"/>
                <w:i w:val="0"/>
                <w:sz w:val="17"/>
              </w:rPr>
              <w:t>Recall, extended (7 sites)</w:t>
            </w:r>
          </w:p>
        </w:tc>
        <w:tc>
          <w:tcPr>
            <w:tcW w:type="dxa" w:w="5040"/>
          </w:tcPr>
          <w:p>
            <w:r/>
            <w:r>
              <w:rPr>
                <w:rFonts w:ascii="Times New Roman" w:hAnsi="Times New Roman"/>
                <w:b/>
                <w:i w:val="0"/>
                <w:sz w:val="17"/>
              </w:rPr>
              <w:t>0.000</w:t>
            </w:r>
          </w:p>
        </w:tc>
      </w:tr>
      <w:tr>
        <w:tc>
          <w:tcPr>
            <w:tcW w:type="dxa" w:w="5040"/>
          </w:tcPr>
          <w:p>
            <w:r/>
            <w:r>
              <w:rPr>
                <w:rFonts w:ascii="Times New Roman" w:hAnsi="Times New Roman"/>
                <w:b w:val="0"/>
                <w:i w:val="0"/>
                <w:sz w:val="17"/>
              </w:rPr>
              <w:t>Clean modules with false alarms</w:t>
            </w:r>
          </w:p>
        </w:tc>
        <w:tc>
          <w:tcPr>
            <w:tcW w:type="dxa" w:w="5040"/>
          </w:tcPr>
          <w:p>
            <w:r/>
            <w:r>
              <w:rPr>
                <w:rFonts w:ascii="Times New Roman" w:hAnsi="Times New Roman"/>
                <w:b w:val="0"/>
                <w:i w:val="0"/>
                <w:sz w:val="17"/>
              </w:rPr>
              <w:t>0 of 6</w:t>
            </w:r>
          </w:p>
        </w:tc>
      </w:tr>
    </w:tbl>
    <w:p>
      <w:pPr>
        <w:spacing w:after="120"/>
      </w:pPr>
    </w:p>
    <w:p>
      <w:pPr>
        <w:spacing w:after="100"/>
        <w:jc w:val="both"/>
      </w:pPr>
      <w:r>
        <w:rPr>
          <w:rFonts w:ascii="Times New Roman" w:hAnsi="Times New Roman"/>
          <w:b/>
          <w:i w:val="0"/>
          <w:sz w:val="20"/>
        </w:rPr>
        <w:t>TABLE III. IN-SCOPE PERFORMANCE BY ALGORITHM FAMILY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val="clear" w:fill="E8E8E8"/>
          </w:tcPr>
          <w:p>
            <w:r/>
            <w:r>
              <w:rPr>
                <w:rFonts w:ascii="Times New Roman" w:hAnsi="Times New Roman"/>
                <w:b/>
                <w:i w:val="0"/>
                <w:sz w:val="17"/>
              </w:rPr>
              <w:t>Family</w:t>
            </w:r>
          </w:p>
        </w:tc>
        <w:tc>
          <w:tcPr>
            <w:tcW w:type="dxa" w:w="2016"/>
            <w:shd w:val="clear" w:fill="E8E8E8"/>
          </w:tcPr>
          <w:p>
            <w:r/>
            <w:r>
              <w:rPr>
                <w:rFonts w:ascii="Times New Roman" w:hAnsi="Times New Roman"/>
                <w:b/>
                <w:i w:val="0"/>
                <w:sz w:val="17"/>
              </w:rPr>
              <w:t>Sites</w:t>
            </w:r>
          </w:p>
        </w:tc>
        <w:tc>
          <w:tcPr>
            <w:tcW w:type="dxa" w:w="2016"/>
            <w:shd w:val="clear" w:fill="E8E8E8"/>
          </w:tcPr>
          <w:p>
            <w:r/>
            <w:r>
              <w:rPr>
                <w:rFonts w:ascii="Times New Roman" w:hAnsi="Times New Roman"/>
                <w:b/>
                <w:i w:val="0"/>
                <w:sz w:val="17"/>
              </w:rPr>
              <w:t>Precision</w:t>
            </w:r>
          </w:p>
        </w:tc>
        <w:tc>
          <w:tcPr>
            <w:tcW w:type="dxa" w:w="2016"/>
            <w:shd w:val="clear" w:fill="E8E8E8"/>
          </w:tcPr>
          <w:p>
            <w:r/>
            <w:r>
              <w:rPr>
                <w:rFonts w:ascii="Times New Roman" w:hAnsi="Times New Roman"/>
                <w:b/>
                <w:i w:val="0"/>
                <w:sz w:val="17"/>
              </w:rPr>
              <w:t>Recall</w:t>
            </w:r>
          </w:p>
        </w:tc>
        <w:tc>
          <w:tcPr>
            <w:tcW w:type="dxa" w:w="2016"/>
            <w:shd w:val="clear" w:fill="E8E8E8"/>
          </w:tcPr>
          <w:p>
            <w:r/>
            <w:r>
              <w:rPr>
                <w:rFonts w:ascii="Times New Roman" w:hAnsi="Times New Roman"/>
                <w:b/>
                <w:i w:val="0"/>
                <w:sz w:val="17"/>
              </w:rPr>
              <w:t>F1</w:t>
            </w:r>
          </w:p>
        </w:tc>
      </w:tr>
      <w:tr>
        <w:tc>
          <w:tcPr>
            <w:tcW w:type="dxa" w:w="2016"/>
          </w:tcPr>
          <w:p>
            <w:r/>
            <w:r>
              <w:rPr>
                <w:rFonts w:ascii="Times New Roman" w:hAnsi="Times New Roman"/>
                <w:b w:val="0"/>
                <w:i w:val="0"/>
                <w:sz w:val="17"/>
              </w:rPr>
              <w:t>RSA</w:t>
            </w:r>
          </w:p>
        </w:tc>
        <w:tc>
          <w:tcPr>
            <w:tcW w:type="dxa" w:w="2016"/>
          </w:tcPr>
          <w:p>
            <w:r/>
            <w:r>
              <w:rPr>
                <w:rFonts w:ascii="Times New Roman" w:hAnsi="Times New Roman"/>
                <w:b w:val="0"/>
                <w:i w:val="0"/>
                <w:sz w:val="17"/>
              </w:rPr>
              <w:t>15</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r>
      <w:tr>
        <w:tc>
          <w:tcPr>
            <w:tcW w:type="dxa" w:w="2016"/>
          </w:tcPr>
          <w:p>
            <w:r/>
            <w:r>
              <w:rPr>
                <w:rFonts w:ascii="Times New Roman" w:hAnsi="Times New Roman"/>
                <w:b w:val="0"/>
                <w:i w:val="0"/>
                <w:sz w:val="17"/>
              </w:rPr>
              <w:t>ECC</w:t>
            </w:r>
          </w:p>
        </w:tc>
        <w:tc>
          <w:tcPr>
            <w:tcW w:type="dxa" w:w="2016"/>
          </w:tcPr>
          <w:p>
            <w:r/>
            <w:r>
              <w:rPr>
                <w:rFonts w:ascii="Times New Roman" w:hAnsi="Times New Roman"/>
                <w:b w:val="0"/>
                <w:i w:val="0"/>
                <w:sz w:val="17"/>
              </w:rPr>
              <w:t>14</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r>
      <w:tr>
        <w:tc>
          <w:tcPr>
            <w:tcW w:type="dxa" w:w="2016"/>
          </w:tcPr>
          <w:p>
            <w:r/>
            <w:r>
              <w:rPr>
                <w:rFonts w:ascii="Times New Roman" w:hAnsi="Times New Roman"/>
                <w:b w:val="0"/>
                <w:i w:val="0"/>
                <w:sz w:val="17"/>
              </w:rPr>
              <w:t>Diffie–Hellman</w:t>
            </w:r>
          </w:p>
        </w:tc>
        <w:tc>
          <w:tcPr>
            <w:tcW w:type="dxa" w:w="2016"/>
          </w:tcPr>
          <w:p>
            <w:r/>
            <w:r>
              <w:rPr>
                <w:rFonts w:ascii="Times New Roman" w:hAnsi="Times New Roman"/>
                <w:b w:val="0"/>
                <w:i w:val="0"/>
                <w:sz w:val="17"/>
              </w:rPr>
              <w:t>2</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c>
          <w:tcPr>
            <w:tcW w:type="dxa" w:w="2016"/>
          </w:tcPr>
          <w:p>
            <w:r/>
            <w:r>
              <w:rPr>
                <w:rFonts w:ascii="Times New Roman" w:hAnsi="Times New Roman"/>
                <w:b w:val="0"/>
                <w:i w:val="0"/>
                <w:sz w:val="17"/>
              </w:rPr>
              <w:t>1.000</w:t>
            </w:r>
          </w:p>
        </w:tc>
      </w:tr>
    </w:tbl>
    <w:p>
      <w:pPr>
        <w:spacing w:after="120"/>
      </w:pPr>
    </w:p>
    <w:p>
      <w:pPr>
        <w:spacing w:after="100"/>
        <w:jc w:val="both"/>
      </w:pPr>
      <w:r>
        <w:rPr>
          <w:rFonts w:ascii="Times New Roman" w:hAnsi="Times New Roman"/>
          <w:b w:val="0"/>
          <w:i w:val="0"/>
          <w:sz w:val="20"/>
        </w:rPr>
        <w:t xml:space="preserve">Within its stated scope the detector missed nothing and raised no false alarms, including on modules specifically constructed to mislead it: one containing identifiers such as </w:t>
      </w:r>
      <w:r>
        <w:rPr>
          <w:rFonts w:ascii="Consolas" w:hAnsi="Consolas"/>
          <w:b w:val="0"/>
          <w:i w:val="0"/>
          <w:sz w:val="17"/>
        </w:rPr>
        <w:t>ECDSALogFormatter</w:t>
      </w:r>
      <w:r>
        <w:rPr>
          <w:rFonts w:ascii="Times New Roman" w:hAnsi="Times New Roman"/>
          <w:b w:val="0"/>
          <w:i w:val="0"/>
          <w:sz w:val="20"/>
        </w:rPr>
        <w:t xml:space="preserve"> and </w:t>
      </w:r>
      <w:r>
        <w:rPr>
          <w:rFonts w:ascii="Consolas" w:hAnsi="Consolas"/>
          <w:b w:val="0"/>
          <w:i w:val="0"/>
          <w:sz w:val="17"/>
        </w:rPr>
        <w:t>generate_private_key_id</w:t>
      </w:r>
      <w:r>
        <w:rPr>
          <w:rFonts w:ascii="Times New Roman" w:hAnsi="Times New Roman"/>
          <w:b w:val="0"/>
          <w:i w:val="0"/>
          <w:sz w:val="20"/>
        </w:rPr>
        <w:t xml:space="preserve"> that resemble cryptography without being cryptography, and one whose docstrings and string constants discuss </w:t>
      </w:r>
      <w:r>
        <w:rPr>
          <w:rFonts w:ascii="Consolas" w:hAnsi="Consolas"/>
          <w:b w:val="0"/>
          <w:i w:val="0"/>
          <w:sz w:val="17"/>
        </w:rPr>
        <w:t>rsa.generate_private_key</w:t>
      </w:r>
      <w:r>
        <w:rPr>
          <w:rFonts w:ascii="Times New Roman" w:hAnsi="Times New Roman"/>
          <w:b w:val="0"/>
          <w:i w:val="0"/>
          <w:sz w:val="20"/>
        </w:rPr>
        <w:t xml:space="preserve"> and </w:t>
      </w:r>
      <w:r>
        <w:rPr>
          <w:rFonts w:ascii="Consolas" w:hAnsi="Consolas"/>
          <w:b w:val="0"/>
          <w:i w:val="0"/>
          <w:sz w:val="17"/>
        </w:rPr>
        <w:t>dh.generate_parameters</w:t>
      </w:r>
      <w:r>
        <w:rPr>
          <w:rFonts w:ascii="Times New Roman" w:hAnsi="Times New Roman"/>
          <w:b w:val="0"/>
          <w:i w:val="0"/>
          <w:sz w:val="20"/>
        </w:rPr>
        <w:t xml:space="preserve"> without calling them.</w:t>
      </w:r>
    </w:p>
    <w:p>
      <w:pPr>
        <w:spacing w:after="100"/>
        <w:jc w:val="both"/>
      </w:pPr>
      <w:r>
        <w:rPr>
          <w:rFonts w:ascii="Times New Roman" w:hAnsi="Times New Roman"/>
          <w:b w:val="0"/>
          <w:i w:val="0"/>
          <w:sz w:val="20"/>
        </w:rPr>
        <w:t>These numbers should be read with Section VII-A in mind. The benchmark was authored by the same team that built the detector, and it is small. It establishes that the pattern index, alias resolution and purpose refinement behave as designed on idiomatic code; it does not establish that detection is a solved problem.</w:t>
      </w:r>
    </w:p>
    <w:p>
      <w:pPr>
        <w:spacing w:after="100"/>
        <w:jc w:val="both"/>
      </w:pPr>
      <w:r>
        <w:rPr>
          <w:rFonts w:ascii="Times New Roman" w:hAnsi="Times New Roman"/>
          <w:b/>
          <w:i w:val="0"/>
          <w:sz w:val="20"/>
        </w:rPr>
        <w:t>The extended set is the informative result.</w:t>
      </w:r>
      <w:r>
        <w:rPr>
          <w:rFonts w:ascii="Times New Roman" w:hAnsi="Times New Roman"/>
          <w:b w:val="0"/>
          <w:i w:val="0"/>
          <w:sz w:val="20"/>
        </w:rPr>
        <w:t xml:space="preserve"> Recall of 0.000 across all seven adversarial sites is not a defect to be apologised for but a measurement of where syntactic analysis ends. The seven misses fall into three categories:</w:t>
      </w:r>
    </w:p>
    <w:p>
      <w:pPr>
        <w:pStyle w:val="ListBullet"/>
        <w:spacing w:after="60"/>
        <w:jc w:val="both"/>
      </w:pPr>
      <w:r>
        <w:rPr>
          <w:rFonts w:ascii="Times New Roman" w:hAnsi="Times New Roman"/>
          <w:b w:val="0"/>
          <w:i/>
          <w:sz w:val="20"/>
        </w:rPr>
        <w:t>Algorithm selected by a value, not an API</w:t>
      </w:r>
      <w:r>
        <w:rPr>
          <w:rFonts w:ascii="Times New Roman" w:hAnsi="Times New Roman"/>
          <w:b w:val="0"/>
          <w:i w:val="0"/>
          <w:sz w:val="20"/>
        </w:rPr>
        <w:t xml:space="preserve"> — </w:t>
      </w:r>
      <w:r>
        <w:rPr>
          <w:rFonts w:ascii="Consolas" w:hAnsi="Consolas"/>
          <w:b w:val="0"/>
          <w:i w:val="0"/>
          <w:sz w:val="17"/>
        </w:rPr>
        <w:t>jwt.encode(claims, key, algorithm="RS256")</w:t>
      </w:r>
    </w:p>
    <w:p>
      <w:pPr>
        <w:spacing w:after="100"/>
        <w:jc w:val="both"/>
      </w:pPr>
      <w:r>
        <w:rPr>
          <w:rFonts w:ascii="Times New Roman" w:hAnsi="Times New Roman"/>
          <w:b w:val="0"/>
          <w:i w:val="0"/>
          <w:sz w:val="20"/>
        </w:rPr>
        <w:t>performs RSA signing, but nothing in the call graph names RSA. Detecting it requires reasoning about the semantics of a library's string parameters.</w:t>
      </w:r>
    </w:p>
    <w:p>
      <w:pPr>
        <w:pStyle w:val="ListBullet"/>
        <w:spacing w:after="60"/>
        <w:jc w:val="both"/>
      </w:pPr>
      <w:r>
        <w:rPr>
          <w:rFonts w:ascii="Times New Roman" w:hAnsi="Times New Roman"/>
          <w:b w:val="0"/>
          <w:i/>
          <w:sz w:val="20"/>
        </w:rPr>
        <w:t>Cryptography behind a wrapper library</w:t>
      </w:r>
      <w:r>
        <w:rPr>
          <w:rFonts w:ascii="Times New Roman" w:hAnsi="Times New Roman"/>
          <w:b w:val="0"/>
          <w:i w:val="0"/>
          <w:sz w:val="20"/>
        </w:rPr>
        <w:t xml:space="preserve"> — </w:t>
      </w:r>
      <w:r>
        <w:rPr>
          <w:rFonts w:ascii="Consolas" w:hAnsi="Consolas"/>
          <w:b w:val="0"/>
          <w:i w:val="0"/>
          <w:sz w:val="17"/>
        </w:rPr>
        <w:t>paramiko.RSAKey.generate(2048)</w:t>
      </w:r>
      <w:r>
        <w:rPr>
          <w:rFonts w:ascii="Times New Roman" w:hAnsi="Times New Roman"/>
          <w:b w:val="0"/>
          <w:i w:val="0"/>
          <w:sz w:val="20"/>
        </w:rPr>
        <w:t xml:space="preserve"> and pyOpenSSL's</w:t>
      </w:r>
    </w:p>
    <w:p>
      <w:pPr>
        <w:spacing w:after="100"/>
        <w:jc w:val="both"/>
      </w:pPr>
      <w:r>
        <w:rPr>
          <w:rFonts w:ascii="Consolas" w:hAnsi="Consolas"/>
          <w:b w:val="0"/>
          <w:i w:val="0"/>
          <w:sz w:val="17"/>
        </w:rPr>
        <w:t>generate_key(crypto.TYPE_RSA, 2048)</w:t>
      </w:r>
      <w:r>
        <w:rPr>
          <w:rFonts w:ascii="Times New Roman" w:hAnsi="Times New Roman"/>
          <w:b w:val="0"/>
          <w:i w:val="0"/>
          <w:sz w:val="20"/>
        </w:rPr>
        <w:t xml:space="preserve"> are vulnerable but belong to libraries outside the prototype's declared scope. These are addressable by extending the pattern index, and are the cheapest of the three to fix.</w:t>
      </w:r>
    </w:p>
    <w:p>
      <w:pPr>
        <w:pStyle w:val="ListBullet"/>
        <w:spacing w:after="60"/>
        <w:jc w:val="both"/>
      </w:pPr>
      <w:r>
        <w:rPr>
          <w:rFonts w:ascii="Times New Roman" w:hAnsi="Times New Roman"/>
          <w:b w:val="0"/>
          <w:i/>
          <w:sz w:val="20"/>
        </w:rPr>
        <w:t>Indirection and dynamic dispatch</w:t>
      </w:r>
      <w:r>
        <w:rPr>
          <w:rFonts w:ascii="Times New Roman" w:hAnsi="Times New Roman"/>
          <w:b w:val="0"/>
          <w:i w:val="0"/>
          <w:sz w:val="20"/>
        </w:rPr>
        <w:t xml:space="preserve"> — </w:t>
      </w:r>
      <w:r>
        <w:rPr>
          <w:rFonts w:ascii="Consolas" w:hAnsi="Consolas"/>
          <w:b w:val="0"/>
          <w:i w:val="0"/>
          <w:sz w:val="17"/>
        </w:rPr>
        <w:t>getattr(rsa, FACTORY)</w:t>
      </w:r>
      <w:r>
        <w:rPr>
          <w:rFonts w:ascii="Times New Roman" w:hAnsi="Times New Roman"/>
          <w:b w:val="0"/>
          <w:i w:val="0"/>
          <w:sz w:val="20"/>
        </w:rPr>
        <w:t xml:space="preserve"> and a call through a</w:t>
      </w:r>
    </w:p>
    <w:p>
      <w:pPr>
        <w:spacing w:after="100"/>
        <w:jc w:val="both"/>
      </w:pPr>
      <w:r>
        <w:rPr>
          <w:rFonts w:ascii="Times New Roman" w:hAnsi="Times New Roman"/>
          <w:b w:val="0"/>
          <w:i w:val="0"/>
          <w:sz w:val="20"/>
        </w:rPr>
        <w:t>module-level alias bound earlier both defeat name-based matching. Closing these requires dataflow analysis, or the semantic reasoning that motivates the model-assisted component discussed in Section VIII.</w:t>
      </w:r>
    </w:p>
    <w:p>
      <w:pPr>
        <w:spacing w:after="100"/>
        <w:jc w:val="both"/>
      </w:pPr>
      <w:r>
        <w:rPr>
          <w:rFonts w:ascii="Times New Roman" w:hAnsi="Times New Roman"/>
          <w:b/>
          <w:i w:val="0"/>
          <w:sz w:val="20"/>
        </w:rPr>
        <w:t>Defects surfaced by the benchmark.</w:t>
      </w:r>
      <w:r>
        <w:rPr>
          <w:rFonts w:ascii="Times New Roman" w:hAnsi="Times New Roman"/>
          <w:b w:val="0"/>
          <w:i w:val="0"/>
          <w:sz w:val="20"/>
        </w:rPr>
        <w:t xml:space="preserve"> Building the benchmark was not merely a measurement exercise; it changed the detector. The first run produced precision 0.871 and recall 0.964, and attributing each error identified three genuine defects: the textual fallback firing on string literals and import lines (four false positives), aliased imports being invisible (one false negative), and elliptic-curve keys used for agreement being misclassified as signing keys. Alias resolution, restricting the fallback to unparseable files, and the elliptic-curve purpose refinement described in Section IV-C all originate here. A coverage gap in Ed25519 and X25519 — elliptic-curve schemes equally broken by Shor — was also closed. The results in Table II are post-fix, and the benchmark now runs as part of the test suite so that the reported figures cannot regress unnoticed.</w:t>
      </w:r>
    </w:p>
    <w:p>
      <w:pPr>
        <w:spacing w:before="160" w:after="80"/>
      </w:pPr>
      <w:r>
        <w:rPr>
          <w:rFonts w:ascii="Times New Roman" w:hAnsi="Times New Roman"/>
          <w:b/>
          <w:sz w:val="20"/>
        </w:rPr>
        <w:t>B. RQ2: Purpose classification</w:t>
      </w:r>
    </w:p>
    <w:p>
      <w:pPr>
        <w:spacing w:after="100"/>
        <w:jc w:val="both"/>
      </w:pPr>
      <w:r>
        <w:rPr>
          <w:rFonts w:ascii="Times New Roman" w:hAnsi="Times New Roman"/>
          <w:b w:val="0"/>
          <w:i w:val="0"/>
          <w:sz w:val="20"/>
        </w:rPr>
        <w:t>Purpose was evaluated on the 31 correctly located in-scope sites against the expert annotation. All 31 were classified correctly (accuracy 1.000), including the two cases the per-module refinement exists for: an RSA key used exclusively for PSS signing, and an elliptic-curve key used exclusively for ECDH agreement. Before the refinement described in Section IV-C, the latter was classified as a signature key, which would have produced an ML-DSA recommendation for a key-exchange site — a recommendation that is not merely suboptimal but unusable.</w:t>
      </w:r>
    </w:p>
    <w:p>
      <w:pPr>
        <w:spacing w:before="160" w:after="80"/>
      </w:pPr>
      <w:r>
        <w:rPr>
          <w:rFonts w:ascii="Times New Roman" w:hAnsi="Times New Roman"/>
          <w:b/>
          <w:sz w:val="20"/>
        </w:rPr>
        <w:t>C. RQ3: End-to-end migration</w:t>
      </w:r>
    </w:p>
    <w:p>
      <w:pPr>
        <w:spacing w:after="100"/>
        <w:jc w:val="both"/>
      </w:pPr>
      <w:r>
        <w:rPr>
          <w:rFonts w:ascii="Times New Roman" w:hAnsi="Times New Roman"/>
          <w:b w:val="0"/>
          <w:i w:val="0"/>
          <w:sz w:val="20"/>
        </w:rPr>
        <w:t>Table IV summarises the complete pipeline applied to the three sample applications.</w:t>
      </w:r>
    </w:p>
    <w:p>
      <w:pPr>
        <w:spacing w:after="100"/>
        <w:jc w:val="both"/>
      </w:pPr>
      <w:r>
        <w:rPr>
          <w:rFonts w:ascii="Times New Roman" w:hAnsi="Times New Roman"/>
          <w:b/>
          <w:i w:val="0"/>
          <w:sz w:val="20"/>
        </w:rPr>
        <w:t>TABLE IV. END-TO-END PIPELINE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fill="E8E8E8"/>
          </w:tcPr>
          <w:p>
            <w:r/>
            <w:r>
              <w:rPr>
                <w:rFonts w:ascii="Times New Roman" w:hAnsi="Times New Roman"/>
                <w:b/>
                <w:i w:val="0"/>
                <w:sz w:val="17"/>
              </w:rPr>
              <w:t>Application</w:t>
            </w:r>
          </w:p>
        </w:tc>
        <w:tc>
          <w:tcPr>
            <w:tcW w:type="dxa" w:w="1680"/>
            <w:shd w:val="clear" w:fill="E8E8E8"/>
          </w:tcPr>
          <w:p>
            <w:r/>
            <w:r>
              <w:rPr>
                <w:rFonts w:ascii="Times New Roman" w:hAnsi="Times New Roman"/>
                <w:b/>
                <w:i w:val="0"/>
                <w:sz w:val="17"/>
              </w:rPr>
              <w:t>Sites</w:t>
            </w:r>
          </w:p>
        </w:tc>
        <w:tc>
          <w:tcPr>
            <w:tcW w:type="dxa" w:w="1680"/>
            <w:shd w:val="clear" w:fill="E8E8E8"/>
          </w:tcPr>
          <w:p>
            <w:r/>
            <w:r>
              <w:rPr>
                <w:rFonts w:ascii="Times New Roman" w:hAnsi="Times New Roman"/>
                <w:b/>
                <w:i w:val="0"/>
                <w:sz w:val="17"/>
              </w:rPr>
              <w:t>Recommendation</w:t>
            </w:r>
          </w:p>
        </w:tc>
        <w:tc>
          <w:tcPr>
            <w:tcW w:type="dxa" w:w="1680"/>
            <w:shd w:val="clear" w:fill="E8E8E8"/>
          </w:tcPr>
          <w:p>
            <w:r/>
            <w:r>
              <w:rPr>
                <w:rFonts w:ascii="Times New Roman" w:hAnsi="Times New Roman"/>
                <w:b/>
                <w:i w:val="0"/>
                <w:sz w:val="17"/>
              </w:rPr>
              <w:t>Migrated</w:t>
            </w:r>
          </w:p>
        </w:tc>
        <w:tc>
          <w:tcPr>
            <w:tcW w:type="dxa" w:w="1680"/>
            <w:shd w:val="clear" w:fill="E8E8E8"/>
          </w:tcPr>
          <w:p>
            <w:r/>
            <w:r>
              <w:rPr>
                <w:rFonts w:ascii="Times New Roman" w:hAnsi="Times New Roman"/>
                <w:b/>
                <w:i w:val="0"/>
                <w:sz w:val="17"/>
              </w:rPr>
              <w:t>Manual review</w:t>
            </w:r>
          </w:p>
        </w:tc>
        <w:tc>
          <w:tcPr>
            <w:tcW w:type="dxa" w:w="1680"/>
            <w:shd w:val="clear" w:fill="E8E8E8"/>
          </w:tcPr>
          <w:p>
            <w:r/>
            <w:r>
              <w:rPr>
                <w:rFonts w:ascii="Times New Roman" w:hAnsi="Times New Roman"/>
                <w:b/>
                <w:i w:val="0"/>
                <w:sz w:val="17"/>
              </w:rPr>
              <w:t>Verification</w:t>
            </w:r>
          </w:p>
        </w:tc>
      </w:tr>
      <w:tr>
        <w:tc>
          <w:tcPr>
            <w:tcW w:type="dxa" w:w="1680"/>
          </w:tcPr>
          <w:p>
            <w:r/>
            <w:r>
              <w:rPr>
                <w:rFonts w:ascii="Times New Roman" w:hAnsi="Times New Roman"/>
                <w:b w:val="0"/>
                <w:i w:val="0"/>
                <w:sz w:val="17"/>
              </w:rPr>
              <w:t>RSA key transport</w:t>
            </w:r>
          </w:p>
        </w:tc>
        <w:tc>
          <w:tcPr>
            <w:tcW w:type="dxa" w:w="1680"/>
          </w:tcPr>
          <w:p>
            <w:r/>
            <w:r>
              <w:rPr>
                <w:rFonts w:ascii="Times New Roman" w:hAnsi="Times New Roman"/>
                <w:b w:val="0"/>
                <w:i w:val="0"/>
                <w:sz w:val="17"/>
              </w:rPr>
              <w:t>4 (2 files)</w:t>
            </w:r>
          </w:p>
        </w:tc>
        <w:tc>
          <w:tcPr>
            <w:tcW w:type="dxa" w:w="1680"/>
          </w:tcPr>
          <w:p>
            <w:r/>
            <w:r>
              <w:rPr>
                <w:rFonts w:ascii="Times New Roman" w:hAnsi="Times New Roman"/>
                <w:b w:val="0"/>
                <w:i w:val="0"/>
                <w:sz w:val="17"/>
              </w:rPr>
              <w:t>ML-KEM-768, FIPS 203</w:t>
            </w:r>
          </w:p>
        </w:tc>
        <w:tc>
          <w:tcPr>
            <w:tcW w:type="dxa" w:w="1680"/>
          </w:tcPr>
          <w:p>
            <w:r/>
            <w:r>
              <w:rPr>
                <w:rFonts w:ascii="Times New Roman" w:hAnsi="Times New Roman"/>
                <w:b w:val="0"/>
                <w:i w:val="0"/>
                <w:sz w:val="17"/>
              </w:rPr>
              <w:t>4 / 4</w:t>
            </w:r>
          </w:p>
        </w:tc>
        <w:tc>
          <w:tcPr>
            <w:tcW w:type="dxa" w:w="1680"/>
          </w:tcPr>
          <w:p>
            <w:r/>
            <w:r>
              <w:rPr>
                <w:rFonts w:ascii="Times New Roman" w:hAnsi="Times New Roman"/>
                <w:b w:val="0"/>
                <w:i w:val="0"/>
                <w:sz w:val="17"/>
              </w:rPr>
              <w:t>0</w:t>
            </w:r>
          </w:p>
        </w:tc>
        <w:tc>
          <w:tcPr>
            <w:tcW w:type="dxa" w:w="1680"/>
          </w:tcPr>
          <w:p>
            <w:r/>
            <w:r>
              <w:rPr>
                <w:rFonts w:ascii="Times New Roman" w:hAnsi="Times New Roman"/>
                <w:b w:val="0"/>
                <w:i w:val="0"/>
                <w:sz w:val="17"/>
              </w:rPr>
              <w:t>4 / 4 passed</w:t>
            </w:r>
          </w:p>
        </w:tc>
      </w:tr>
      <w:tr>
        <w:tc>
          <w:tcPr>
            <w:tcW w:type="dxa" w:w="1680"/>
          </w:tcPr>
          <w:p>
            <w:r/>
            <w:r>
              <w:rPr>
                <w:rFonts w:ascii="Times New Roman" w:hAnsi="Times New Roman"/>
                <w:b w:val="0"/>
                <w:i w:val="0"/>
                <w:sz w:val="17"/>
              </w:rPr>
              <w:t>ECDSA signing</w:t>
            </w:r>
          </w:p>
        </w:tc>
        <w:tc>
          <w:tcPr>
            <w:tcW w:type="dxa" w:w="1680"/>
          </w:tcPr>
          <w:p>
            <w:r/>
            <w:r>
              <w:rPr>
                <w:rFonts w:ascii="Times New Roman" w:hAnsi="Times New Roman"/>
                <w:b w:val="0"/>
                <w:i w:val="0"/>
                <w:sz w:val="17"/>
              </w:rPr>
              <w:t>4 (1 file)</w:t>
            </w:r>
          </w:p>
        </w:tc>
        <w:tc>
          <w:tcPr>
            <w:tcW w:type="dxa" w:w="1680"/>
          </w:tcPr>
          <w:p>
            <w:r/>
            <w:r>
              <w:rPr>
                <w:rFonts w:ascii="Times New Roman" w:hAnsi="Times New Roman"/>
                <w:b w:val="0"/>
                <w:i w:val="0"/>
                <w:sz w:val="17"/>
              </w:rPr>
              <w:t>ML-DSA-65, FIPS 204</w:t>
            </w:r>
          </w:p>
        </w:tc>
        <w:tc>
          <w:tcPr>
            <w:tcW w:type="dxa" w:w="1680"/>
          </w:tcPr>
          <w:p>
            <w:r/>
            <w:r>
              <w:rPr>
                <w:rFonts w:ascii="Times New Roman" w:hAnsi="Times New Roman"/>
                <w:b w:val="0"/>
                <w:i w:val="0"/>
                <w:sz w:val="17"/>
              </w:rPr>
              <w:t>4 / 4</w:t>
            </w:r>
          </w:p>
        </w:tc>
        <w:tc>
          <w:tcPr>
            <w:tcW w:type="dxa" w:w="1680"/>
          </w:tcPr>
          <w:p>
            <w:r/>
            <w:r>
              <w:rPr>
                <w:rFonts w:ascii="Times New Roman" w:hAnsi="Times New Roman"/>
                <w:b w:val="0"/>
                <w:i w:val="0"/>
                <w:sz w:val="17"/>
              </w:rPr>
              <w:t>0</w:t>
            </w:r>
          </w:p>
        </w:tc>
        <w:tc>
          <w:tcPr>
            <w:tcW w:type="dxa" w:w="1680"/>
          </w:tcPr>
          <w:p>
            <w:r/>
            <w:r>
              <w:rPr>
                <w:rFonts w:ascii="Times New Roman" w:hAnsi="Times New Roman"/>
                <w:b w:val="0"/>
                <w:i w:val="0"/>
                <w:sz w:val="17"/>
              </w:rPr>
              <w:t>5 / 5 passed</w:t>
            </w:r>
          </w:p>
        </w:tc>
      </w:tr>
      <w:tr>
        <w:tc>
          <w:tcPr>
            <w:tcW w:type="dxa" w:w="1680"/>
          </w:tcPr>
          <w:p>
            <w:r/>
            <w:r>
              <w:rPr>
                <w:rFonts w:ascii="Times New Roman" w:hAnsi="Times New Roman"/>
                <w:b w:val="0"/>
                <w:i w:val="0"/>
                <w:sz w:val="17"/>
              </w:rPr>
              <w:t>DH handshake</w:t>
            </w:r>
          </w:p>
        </w:tc>
        <w:tc>
          <w:tcPr>
            <w:tcW w:type="dxa" w:w="1680"/>
          </w:tcPr>
          <w:p>
            <w:r/>
            <w:r>
              <w:rPr>
                <w:rFonts w:ascii="Times New Roman" w:hAnsi="Times New Roman"/>
                <w:b w:val="0"/>
                <w:i w:val="0"/>
                <w:sz w:val="17"/>
              </w:rPr>
              <w:t>1 (1 file)</w:t>
            </w:r>
          </w:p>
        </w:tc>
        <w:tc>
          <w:tcPr>
            <w:tcW w:type="dxa" w:w="1680"/>
          </w:tcPr>
          <w:p>
            <w:r/>
            <w:r>
              <w:rPr>
                <w:rFonts w:ascii="Times New Roman" w:hAnsi="Times New Roman"/>
                <w:b w:val="0"/>
                <w:i w:val="0"/>
                <w:sz w:val="17"/>
              </w:rPr>
              <w:t>ML-KEM-768, FIPS 203</w:t>
            </w:r>
          </w:p>
        </w:tc>
        <w:tc>
          <w:tcPr>
            <w:tcW w:type="dxa" w:w="1680"/>
          </w:tcPr>
          <w:p>
            <w:r/>
            <w:r>
              <w:rPr>
                <w:rFonts w:ascii="Times New Roman" w:hAnsi="Times New Roman"/>
                <w:b w:val="0"/>
                <w:i w:val="0"/>
                <w:sz w:val="17"/>
              </w:rPr>
              <w:t>1 / 1</w:t>
            </w:r>
          </w:p>
        </w:tc>
        <w:tc>
          <w:tcPr>
            <w:tcW w:type="dxa" w:w="1680"/>
          </w:tcPr>
          <w:p>
            <w:r/>
            <w:r>
              <w:rPr>
                <w:rFonts w:ascii="Times New Roman" w:hAnsi="Times New Roman"/>
                <w:b w:val="0"/>
                <w:i w:val="0"/>
                <w:sz w:val="17"/>
              </w:rPr>
              <w:t>1</w:t>
            </w:r>
          </w:p>
        </w:tc>
        <w:tc>
          <w:tcPr>
            <w:tcW w:type="dxa" w:w="1680"/>
          </w:tcPr>
          <w:p>
            <w:r/>
            <w:r>
              <w:rPr>
                <w:rFonts w:ascii="Times New Roman" w:hAnsi="Times New Roman"/>
                <w:b w:val="0"/>
                <w:i w:val="0"/>
                <w:sz w:val="17"/>
              </w:rPr>
              <w:t>3 / 3 passed</w:t>
            </w:r>
          </w:p>
        </w:tc>
      </w:tr>
    </w:tbl>
    <w:p>
      <w:pPr>
        <w:spacing w:after="120"/>
      </w:pPr>
    </w:p>
    <w:p>
      <w:pPr>
        <w:spacing w:after="100"/>
        <w:jc w:val="both"/>
      </w:pPr>
      <w:r>
        <w:rPr>
          <w:rFonts w:ascii="Times New Roman" w:hAnsi="Times New Roman"/>
          <w:b w:val="0"/>
          <w:i w:val="0"/>
          <w:sz w:val="20"/>
        </w:rPr>
        <w:t>Two observations matter more than the counts.</w:t>
      </w:r>
    </w:p>
    <w:p>
      <w:pPr>
        <w:spacing w:after="100"/>
        <w:jc w:val="both"/>
      </w:pPr>
      <w:r>
        <w:rPr>
          <w:rFonts w:ascii="Times New Roman" w:hAnsi="Times New Roman"/>
          <w:b w:val="0"/>
          <w:i w:val="0"/>
          <w:sz w:val="20"/>
        </w:rPr>
        <w:t xml:space="preserve">First, the two applications whose migrations completed were </w:t>
      </w:r>
      <w:r>
        <w:rPr>
          <w:rFonts w:ascii="Times New Roman" w:hAnsi="Times New Roman"/>
          <w:b/>
          <w:i w:val="0"/>
          <w:sz w:val="20"/>
        </w:rPr>
        <w:t>executed</w:t>
      </w:r>
      <w:r>
        <w:rPr>
          <w:rFonts w:ascii="Times New Roman" w:hAnsi="Times New Roman"/>
          <w:b w:val="0"/>
          <w:i w:val="0"/>
          <w:sz w:val="20"/>
        </w:rPr>
        <w:t xml:space="preserve"> after rewriting, and both ran successfully under real post-quantum cryptography — the RSA application established a session key through ML-KEM encapsulation, and the ECDSA application produced and verified an ML-DSA signature. This is the distinction between a patch and a verified migration.</w:t>
      </w:r>
    </w:p>
    <w:p>
      <w:pPr>
        <w:spacing w:after="100"/>
        <w:jc w:val="both"/>
      </w:pPr>
      <w:r>
        <w:rPr>
          <w:rFonts w:ascii="Times New Roman" w:hAnsi="Times New Roman"/>
          <w:b w:val="0"/>
          <w:i w:val="0"/>
          <w:sz w:val="20"/>
        </w:rPr>
        <w:t xml:space="preserve">Second, the two applications received </w:t>
      </w:r>
      <w:r>
        <w:rPr>
          <w:rFonts w:ascii="Times New Roman" w:hAnsi="Times New Roman"/>
          <w:b w:val="0"/>
          <w:i/>
          <w:sz w:val="20"/>
        </w:rPr>
        <w:t>different</w:t>
      </w:r>
      <w:r>
        <w:rPr>
          <w:rFonts w:ascii="Times New Roman" w:hAnsi="Times New Roman"/>
          <w:b w:val="0"/>
          <w:i w:val="0"/>
          <w:sz w:val="20"/>
        </w:rPr>
        <w:t xml:space="preserve"> recommendations from </w:t>
      </w:r>
      <w:r>
        <w:rPr>
          <w:rFonts w:ascii="Times New Roman" w:hAnsi="Times New Roman"/>
          <w:b w:val="0"/>
          <w:i/>
          <w:sz w:val="20"/>
        </w:rPr>
        <w:t>different</w:t>
      </w:r>
      <w:r>
        <w:rPr>
          <w:rFonts w:ascii="Times New Roman" w:hAnsi="Times New Roman"/>
          <w:b w:val="0"/>
          <w:i w:val="0"/>
          <w:sz w:val="20"/>
        </w:rPr>
        <w:t xml:space="preserve"> FIPS standards, derived from the purpose classification rather than from any per-project configuration, and the ECDSA project's security parameters were additionally read from its own configuration file. The pipeline is not specialised to a single example.</w:t>
      </w:r>
    </w:p>
    <w:p>
      <w:pPr>
        <w:spacing w:after="100"/>
        <w:jc w:val="both"/>
      </w:pPr>
      <w:r>
        <w:rPr>
          <w:rFonts w:ascii="Times New Roman" w:hAnsi="Times New Roman"/>
          <w:b w:val="0"/>
          <w:i w:val="0"/>
          <w:sz w:val="20"/>
        </w:rPr>
        <w:t>The Diffie–Hellman case behaves as designed and as described in Section IV-E: parameter generation migrated, the exchange site annotated, the file marked for manual review, and excluded from execution. Its three verification checks cover the backend and the ML-KEM primitives, not the application, and the report states this rather than inflating the result.</w:t>
      </w:r>
    </w:p>
    <w:p>
      <w:pPr>
        <w:spacing w:before="160" w:after="80"/>
      </w:pPr>
      <w:r>
        <w:rPr>
          <w:rFonts w:ascii="Times New Roman" w:hAnsi="Times New Roman"/>
          <w:b/>
          <w:sz w:val="20"/>
        </w:rPr>
        <w:t>D. RQ4: The cost of migration</w:t>
      </w:r>
    </w:p>
    <w:p>
      <w:pPr>
        <w:spacing w:after="100"/>
        <w:jc w:val="both"/>
      </w:pPr>
      <w:r>
        <w:rPr>
          <w:rFonts w:ascii="Times New Roman" w:hAnsi="Times New Roman"/>
          <w:b w:val="0"/>
          <w:i w:val="0"/>
          <w:sz w:val="20"/>
        </w:rPr>
        <w:t>Table V reports medians over 20 iterations per operation.</w:t>
      </w:r>
    </w:p>
    <w:p>
      <w:pPr>
        <w:spacing w:after="100"/>
        <w:jc w:val="both"/>
      </w:pPr>
      <w:r>
        <w:rPr>
          <w:rFonts w:ascii="Times New Roman" w:hAnsi="Times New Roman"/>
          <w:b/>
          <w:i w:val="0"/>
          <w:sz w:val="20"/>
        </w:rPr>
        <w:t>TABLE V. MEASURED PERFORMANCE, CLASSICAL VERSUS POST-QUANTUM</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val="clear" w:fill="E8E8E8"/>
          </w:tcPr>
          <w:p>
            <w:r/>
            <w:r>
              <w:rPr>
                <w:rFonts w:ascii="Times New Roman" w:hAnsi="Times New Roman"/>
                <w:b/>
                <w:i w:val="0"/>
                <w:sz w:val="17"/>
              </w:rPr>
              <w:t>Scheme</w:t>
            </w:r>
          </w:p>
        </w:tc>
        <w:tc>
          <w:tcPr>
            <w:tcW w:type="dxa" w:w="1680"/>
            <w:shd w:val="clear" w:fill="E8E8E8"/>
          </w:tcPr>
          <w:p>
            <w:r/>
            <w:r>
              <w:rPr>
                <w:rFonts w:ascii="Times New Roman" w:hAnsi="Times New Roman"/>
                <w:b/>
                <w:i w:val="0"/>
                <w:sz w:val="17"/>
              </w:rPr>
              <w:t>Keygen (ms)</w:t>
            </w:r>
          </w:p>
        </w:tc>
        <w:tc>
          <w:tcPr>
            <w:tcW w:type="dxa" w:w="1680"/>
            <w:shd w:val="clear" w:fill="E8E8E8"/>
          </w:tcPr>
          <w:p>
            <w:r/>
            <w:r>
              <w:rPr>
                <w:rFonts w:ascii="Times New Roman" w:hAnsi="Times New Roman"/>
                <w:b/>
                <w:i w:val="0"/>
                <w:sz w:val="17"/>
              </w:rPr>
              <w:t>Primary op (ms)</w:t>
            </w:r>
          </w:p>
        </w:tc>
        <w:tc>
          <w:tcPr>
            <w:tcW w:type="dxa" w:w="1680"/>
            <w:shd w:val="clear" w:fill="E8E8E8"/>
          </w:tcPr>
          <w:p>
            <w:r/>
            <w:r>
              <w:rPr>
                <w:rFonts w:ascii="Times New Roman" w:hAnsi="Times New Roman"/>
                <w:b/>
                <w:i w:val="0"/>
                <w:sz w:val="17"/>
              </w:rPr>
              <w:t>Inverse op (ms)</w:t>
            </w:r>
          </w:p>
        </w:tc>
        <w:tc>
          <w:tcPr>
            <w:tcW w:type="dxa" w:w="1680"/>
            <w:shd w:val="clear" w:fill="E8E8E8"/>
          </w:tcPr>
          <w:p>
            <w:r/>
            <w:r>
              <w:rPr>
                <w:rFonts w:ascii="Times New Roman" w:hAnsi="Times New Roman"/>
                <w:b/>
                <w:i w:val="0"/>
                <w:sz w:val="17"/>
              </w:rPr>
              <w:t>Public key (B)</w:t>
            </w:r>
          </w:p>
        </w:tc>
        <w:tc>
          <w:tcPr>
            <w:tcW w:type="dxa" w:w="1680"/>
            <w:shd w:val="clear" w:fill="E8E8E8"/>
          </w:tcPr>
          <w:p>
            <w:r/>
            <w:r>
              <w:rPr>
                <w:rFonts w:ascii="Times New Roman" w:hAnsi="Times New Roman"/>
                <w:b/>
                <w:i w:val="0"/>
                <w:sz w:val="17"/>
              </w:rPr>
              <w:t>Output (B)</w:t>
            </w:r>
          </w:p>
        </w:tc>
      </w:tr>
      <w:tr>
        <w:tc>
          <w:tcPr>
            <w:tcW w:type="dxa" w:w="1680"/>
          </w:tcPr>
          <w:p>
            <w:r/>
            <w:r>
              <w:rPr>
                <w:rFonts w:ascii="Times New Roman" w:hAnsi="Times New Roman"/>
                <w:b w:val="0"/>
                <w:i w:val="0"/>
                <w:sz w:val="17"/>
              </w:rPr>
              <w:t>ML-KEM-768</w:t>
            </w:r>
          </w:p>
        </w:tc>
        <w:tc>
          <w:tcPr>
            <w:tcW w:type="dxa" w:w="1680"/>
          </w:tcPr>
          <w:p>
            <w:r/>
            <w:r>
              <w:rPr>
                <w:rFonts w:ascii="Times New Roman" w:hAnsi="Times New Roman"/>
                <w:b w:val="0"/>
                <w:i w:val="0"/>
                <w:sz w:val="17"/>
              </w:rPr>
              <w:t>3.12</w:t>
            </w:r>
          </w:p>
        </w:tc>
        <w:tc>
          <w:tcPr>
            <w:tcW w:type="dxa" w:w="1680"/>
          </w:tcPr>
          <w:p>
            <w:r/>
            <w:r>
              <w:rPr>
                <w:rFonts w:ascii="Times New Roman" w:hAnsi="Times New Roman"/>
                <w:b w:val="0"/>
                <w:i w:val="0"/>
                <w:sz w:val="17"/>
              </w:rPr>
              <w:t>encapsulate 3.54</w:t>
            </w:r>
          </w:p>
        </w:tc>
        <w:tc>
          <w:tcPr>
            <w:tcW w:type="dxa" w:w="1680"/>
          </w:tcPr>
          <w:p>
            <w:r/>
            <w:r>
              <w:rPr>
                <w:rFonts w:ascii="Times New Roman" w:hAnsi="Times New Roman"/>
                <w:b w:val="0"/>
                <w:i w:val="0"/>
                <w:sz w:val="17"/>
              </w:rPr>
              <w:t>decapsulate 5.15</w:t>
            </w:r>
          </w:p>
        </w:tc>
        <w:tc>
          <w:tcPr>
            <w:tcW w:type="dxa" w:w="1680"/>
          </w:tcPr>
          <w:p>
            <w:r/>
            <w:r>
              <w:rPr>
                <w:rFonts w:ascii="Times New Roman" w:hAnsi="Times New Roman"/>
                <w:b w:val="0"/>
                <w:i w:val="0"/>
                <w:sz w:val="17"/>
              </w:rPr>
              <w:t>1,184</w:t>
            </w:r>
          </w:p>
        </w:tc>
        <w:tc>
          <w:tcPr>
            <w:tcW w:type="dxa" w:w="1680"/>
          </w:tcPr>
          <w:p>
            <w:r/>
            <w:r>
              <w:rPr>
                <w:rFonts w:ascii="Times New Roman" w:hAnsi="Times New Roman"/>
                <w:b w:val="0"/>
                <w:i w:val="0"/>
                <w:sz w:val="17"/>
              </w:rPr>
              <w:t>1,088</w:t>
            </w:r>
          </w:p>
        </w:tc>
      </w:tr>
      <w:tr>
        <w:tc>
          <w:tcPr>
            <w:tcW w:type="dxa" w:w="1680"/>
          </w:tcPr>
          <w:p>
            <w:r/>
            <w:r>
              <w:rPr>
                <w:rFonts w:ascii="Times New Roman" w:hAnsi="Times New Roman"/>
                <w:b w:val="0"/>
                <w:i w:val="0"/>
                <w:sz w:val="17"/>
              </w:rPr>
              <w:t>RSA-2048</w:t>
            </w:r>
          </w:p>
        </w:tc>
        <w:tc>
          <w:tcPr>
            <w:tcW w:type="dxa" w:w="1680"/>
          </w:tcPr>
          <w:p>
            <w:r/>
            <w:r>
              <w:rPr>
                <w:rFonts w:ascii="Times New Roman" w:hAnsi="Times New Roman"/>
                <w:b w:val="0"/>
                <w:i w:val="0"/>
                <w:sz w:val="17"/>
              </w:rPr>
              <w:t>33.71</w:t>
            </w:r>
          </w:p>
        </w:tc>
        <w:tc>
          <w:tcPr>
            <w:tcW w:type="dxa" w:w="1680"/>
          </w:tcPr>
          <w:p>
            <w:r/>
            <w:r>
              <w:rPr>
                <w:rFonts w:ascii="Times New Roman" w:hAnsi="Times New Roman"/>
                <w:b w:val="0"/>
                <w:i w:val="0"/>
                <w:sz w:val="17"/>
              </w:rPr>
              <w:t>encrypt 0.02</w:t>
            </w:r>
          </w:p>
        </w:tc>
        <w:tc>
          <w:tcPr>
            <w:tcW w:type="dxa" w:w="1680"/>
          </w:tcPr>
          <w:p>
            <w:r/>
            <w:r>
              <w:rPr>
                <w:rFonts w:ascii="Times New Roman" w:hAnsi="Times New Roman"/>
                <w:b w:val="0"/>
                <w:i w:val="0"/>
                <w:sz w:val="17"/>
              </w:rPr>
              <w:t>decrypt 0.49</w:t>
            </w:r>
          </w:p>
        </w:tc>
        <w:tc>
          <w:tcPr>
            <w:tcW w:type="dxa" w:w="1680"/>
          </w:tcPr>
          <w:p>
            <w:r/>
            <w:r>
              <w:rPr>
                <w:rFonts w:ascii="Times New Roman" w:hAnsi="Times New Roman"/>
                <w:b w:val="0"/>
                <w:i w:val="0"/>
                <w:sz w:val="17"/>
              </w:rPr>
              <w:t>294</w:t>
            </w:r>
          </w:p>
        </w:tc>
        <w:tc>
          <w:tcPr>
            <w:tcW w:type="dxa" w:w="1680"/>
          </w:tcPr>
          <w:p>
            <w:r/>
            <w:r>
              <w:rPr>
                <w:rFonts w:ascii="Times New Roman" w:hAnsi="Times New Roman"/>
                <w:b w:val="0"/>
                <w:i w:val="0"/>
                <w:sz w:val="17"/>
              </w:rPr>
              <w:t>256</w:t>
            </w:r>
          </w:p>
        </w:tc>
      </w:tr>
      <w:tr>
        <w:tc>
          <w:tcPr>
            <w:tcW w:type="dxa" w:w="1680"/>
          </w:tcPr>
          <w:p>
            <w:r/>
            <w:r>
              <w:rPr>
                <w:rFonts w:ascii="Times New Roman" w:hAnsi="Times New Roman"/>
                <w:b w:val="0"/>
                <w:i w:val="0"/>
                <w:sz w:val="17"/>
              </w:rPr>
              <w:t>ML-DSA-65</w:t>
            </w:r>
          </w:p>
        </w:tc>
        <w:tc>
          <w:tcPr>
            <w:tcW w:type="dxa" w:w="1680"/>
          </w:tcPr>
          <w:p>
            <w:r/>
            <w:r>
              <w:rPr>
                <w:rFonts w:ascii="Times New Roman" w:hAnsi="Times New Roman"/>
                <w:b w:val="0"/>
                <w:i w:val="0"/>
                <w:sz w:val="17"/>
              </w:rPr>
              <w:t>7.60</w:t>
            </w:r>
          </w:p>
        </w:tc>
        <w:tc>
          <w:tcPr>
            <w:tcW w:type="dxa" w:w="1680"/>
          </w:tcPr>
          <w:p>
            <w:r/>
            <w:r>
              <w:rPr>
                <w:rFonts w:ascii="Times New Roman" w:hAnsi="Times New Roman"/>
                <w:b w:val="0"/>
                <w:i w:val="0"/>
                <w:sz w:val="17"/>
              </w:rPr>
              <w:t>sign 34.72</w:t>
            </w:r>
          </w:p>
        </w:tc>
        <w:tc>
          <w:tcPr>
            <w:tcW w:type="dxa" w:w="1680"/>
          </w:tcPr>
          <w:p>
            <w:r/>
            <w:r>
              <w:rPr>
                <w:rFonts w:ascii="Times New Roman" w:hAnsi="Times New Roman"/>
                <w:b w:val="0"/>
                <w:i w:val="0"/>
                <w:sz w:val="17"/>
              </w:rPr>
              <w:t>verify 10.19</w:t>
            </w:r>
          </w:p>
        </w:tc>
        <w:tc>
          <w:tcPr>
            <w:tcW w:type="dxa" w:w="1680"/>
          </w:tcPr>
          <w:p>
            <w:r/>
            <w:r>
              <w:rPr>
                <w:rFonts w:ascii="Times New Roman" w:hAnsi="Times New Roman"/>
                <w:b w:val="0"/>
                <w:i w:val="0"/>
                <w:sz w:val="17"/>
              </w:rPr>
              <w:t>1,952</w:t>
            </w:r>
          </w:p>
        </w:tc>
        <w:tc>
          <w:tcPr>
            <w:tcW w:type="dxa" w:w="1680"/>
          </w:tcPr>
          <w:p>
            <w:r/>
            <w:r>
              <w:rPr>
                <w:rFonts w:ascii="Times New Roman" w:hAnsi="Times New Roman"/>
                <w:b w:val="0"/>
                <w:i w:val="0"/>
                <w:sz w:val="17"/>
              </w:rPr>
              <w:t>3,309</w:t>
            </w:r>
          </w:p>
        </w:tc>
      </w:tr>
      <w:tr>
        <w:tc>
          <w:tcPr>
            <w:tcW w:type="dxa" w:w="1680"/>
          </w:tcPr>
          <w:p>
            <w:r/>
            <w:r>
              <w:rPr>
                <w:rFonts w:ascii="Times New Roman" w:hAnsi="Times New Roman"/>
                <w:b w:val="0"/>
                <w:i w:val="0"/>
                <w:sz w:val="17"/>
              </w:rPr>
              <w:t>ECDSA P-256</w:t>
            </w:r>
          </w:p>
        </w:tc>
        <w:tc>
          <w:tcPr>
            <w:tcW w:type="dxa" w:w="1680"/>
          </w:tcPr>
          <w:p>
            <w:r/>
            <w:r>
              <w:rPr>
                <w:rFonts w:ascii="Times New Roman" w:hAnsi="Times New Roman"/>
                <w:b w:val="0"/>
                <w:i w:val="0"/>
                <w:sz w:val="17"/>
              </w:rPr>
              <w:t>0.014</w:t>
            </w:r>
          </w:p>
        </w:tc>
        <w:tc>
          <w:tcPr>
            <w:tcW w:type="dxa" w:w="1680"/>
          </w:tcPr>
          <w:p>
            <w:r/>
            <w:r>
              <w:rPr>
                <w:rFonts w:ascii="Times New Roman" w:hAnsi="Times New Roman"/>
                <w:b w:val="0"/>
                <w:i w:val="0"/>
                <w:sz w:val="17"/>
              </w:rPr>
              <w:t>sign 0.032</w:t>
            </w:r>
          </w:p>
        </w:tc>
        <w:tc>
          <w:tcPr>
            <w:tcW w:type="dxa" w:w="1680"/>
          </w:tcPr>
          <w:p>
            <w:r/>
            <w:r>
              <w:rPr>
                <w:rFonts w:ascii="Times New Roman" w:hAnsi="Times New Roman"/>
                <w:b w:val="0"/>
                <w:i w:val="0"/>
                <w:sz w:val="17"/>
              </w:rPr>
              <w:t>verify 0.069</w:t>
            </w:r>
          </w:p>
        </w:tc>
        <w:tc>
          <w:tcPr>
            <w:tcW w:type="dxa" w:w="1680"/>
          </w:tcPr>
          <w:p>
            <w:r/>
            <w:r>
              <w:rPr>
                <w:rFonts w:ascii="Times New Roman" w:hAnsi="Times New Roman"/>
                <w:b w:val="0"/>
                <w:i w:val="0"/>
                <w:sz w:val="17"/>
              </w:rPr>
              <w:t>91</w:t>
            </w:r>
          </w:p>
        </w:tc>
        <w:tc>
          <w:tcPr>
            <w:tcW w:type="dxa" w:w="1680"/>
          </w:tcPr>
          <w:p>
            <w:r/>
            <w:r>
              <w:rPr>
                <w:rFonts w:ascii="Times New Roman" w:hAnsi="Times New Roman"/>
                <w:b w:val="0"/>
                <w:i w:val="0"/>
                <w:sz w:val="17"/>
              </w:rPr>
              <w:t>71</w:t>
            </w:r>
          </w:p>
        </w:tc>
      </w:tr>
    </w:tbl>
    <w:p>
      <w:pPr>
        <w:spacing w:after="120"/>
      </w:pPr>
    </w:p>
    <w:p>
      <w:pPr>
        <w:spacing w:after="100"/>
        <w:jc w:val="both"/>
      </w:pPr>
      <w:r>
        <w:rPr>
          <w:rFonts w:ascii="Times New Roman" w:hAnsi="Times New Roman"/>
          <w:b/>
          <w:i w:val="0"/>
          <w:sz w:val="20"/>
        </w:rPr>
        <w:t>Size is the real cost, and it is structural.</w:t>
      </w:r>
      <w:r>
        <w:rPr>
          <w:rFonts w:ascii="Times New Roman" w:hAnsi="Times New Roman"/>
          <w:b w:val="0"/>
          <w:i w:val="0"/>
          <w:sz w:val="20"/>
        </w:rPr>
        <w:t xml:space="preserve"> ML-KEM-768 public keys are 4.03× RSA-2048's and its ciphertexts 4.25×; ML-DSA-65 signatures are 46.6× an ECDSA P-256 signature and its public keys 21.4×. These ratios are fixed by the standards and are independent of implementation. For a protocol that transmits a certificate chain or signs many small messages, this is the dominant migration consideration — not computation.</w:t>
      </w:r>
    </w:p>
    <w:p>
      <w:pPr>
        <w:spacing w:after="100"/>
        <w:jc w:val="both"/>
      </w:pPr>
      <w:r>
        <w:rPr>
          <w:rFonts w:ascii="Times New Roman" w:hAnsi="Times New Roman"/>
          <w:b/>
          <w:i w:val="0"/>
          <w:sz w:val="20"/>
        </w:rPr>
        <w:t>Timing figures are implementation-bound and should be read with care.</w:t>
      </w:r>
      <w:r>
        <w:rPr>
          <w:rFonts w:ascii="Times New Roman" w:hAnsi="Times New Roman"/>
          <w:b w:val="0"/>
          <w:i w:val="0"/>
          <w:sz w:val="20"/>
        </w:rPr>
        <w:t xml:space="preserve"> ML-KEM-768 key generation is 10.8× faster than RSA-2048 key generation, a genuine and implementation-independent structural advantage, since lattice key generation involves no prime search. The ML-DSA signing figure of 34.72 ms, however, reflects a pure-Python implementation; optimised native implementations perform the same operation in well under a millisecond. We report the number we measured rather than one we would prefer, and we identify it as a property of the backend rather than of ML-DSA.</w:t>
      </w:r>
    </w:p>
    <w:p>
      <w:pPr>
        <w:spacing w:after="100"/>
        <w:jc w:val="both"/>
      </w:pPr>
      <w:r>
        <w:rPr>
          <w:rFonts w:ascii="Times New Roman" w:hAnsi="Times New Roman"/>
          <w:b w:val="0"/>
          <w:i w:val="0"/>
          <w:sz w:val="20"/>
        </w:rPr>
        <w:t>RSA key generation also exhibits noticeable run-to-run variance (we observed 29–43 ms across runs) because it searches randomly for primes. This is one reason the framework measures at report time rather than shipping a table of constants.</w:t>
      </w:r>
    </w:p>
    <w:p>
      <w:pPr>
        <w:spacing w:before="240" w:after="80"/>
      </w:pPr>
      <w:r>
        <w:rPr>
          <w:rFonts w:ascii="Times New Roman" w:hAnsi="Times New Roman"/>
          <w:b/>
          <w:caps w:val="0"/>
          <w:sz w:val="22"/>
        </w:rPr>
        <w:t>VII. Discussion</w:t>
      </w:r>
    </w:p>
    <w:p>
      <w:pPr>
        <w:spacing w:before="160" w:after="80"/>
      </w:pPr>
      <w:r>
        <w:rPr>
          <w:rFonts w:ascii="Times New Roman" w:hAnsi="Times New Roman"/>
          <w:b/>
          <w:sz w:val="20"/>
        </w:rPr>
        <w:t>A. Threats to validity</w:t>
      </w:r>
    </w:p>
    <w:p>
      <w:pPr>
        <w:spacing w:after="100"/>
        <w:jc w:val="both"/>
      </w:pPr>
      <w:r>
        <w:rPr>
          <w:rFonts w:ascii="Times New Roman" w:hAnsi="Times New Roman"/>
          <w:b/>
          <w:i w:val="0"/>
          <w:sz w:val="20"/>
        </w:rPr>
        <w:t>Internal.</w:t>
      </w:r>
      <w:r>
        <w:rPr>
          <w:rFonts w:ascii="Times New Roman" w:hAnsi="Times New Roman"/>
          <w:b w:val="0"/>
          <w:i w:val="0"/>
          <w:sz w:val="20"/>
        </w:rPr>
        <w:t xml:space="preserve"> The benchmark was constructed by the authors of the detector. Despite labelling by cryptographic role rather than by what the tool outputs, and despite deliberately including adversarial and clean modules, a self-authored benchmark cannot exclude the possibility that the corpus reflects assumptions already embedded in the implementation. Independent evaluation is required before the in-scope figures should be treated as characteristic.</w:t>
      </w:r>
    </w:p>
    <w:p>
      <w:pPr>
        <w:spacing w:after="100"/>
        <w:jc w:val="both"/>
      </w:pPr>
      <w:r>
        <w:rPr>
          <w:rFonts w:ascii="Times New Roman" w:hAnsi="Times New Roman"/>
          <w:b/>
          <w:i w:val="0"/>
          <w:sz w:val="20"/>
        </w:rPr>
        <w:t>External.</w:t>
      </w:r>
      <w:r>
        <w:rPr>
          <w:rFonts w:ascii="Times New Roman" w:hAnsi="Times New Roman"/>
          <w:b w:val="0"/>
          <w:i w:val="0"/>
          <w:sz w:val="20"/>
        </w:rPr>
        <w:t xml:space="preserve"> Thirty-eight annotated sites across twenty-nine modules is small, and the modules are short and self-contained. Production codebases are larger, less idiomatic, and contain cryptography reached through layers of internal abstraction that our extended set only gestures at. The in-scope results should be read as establishing correct behaviour on clear cases, not as a projection of field performance.</w:t>
      </w:r>
    </w:p>
    <w:p>
      <w:pPr>
        <w:spacing w:after="100"/>
        <w:jc w:val="both"/>
      </w:pPr>
      <w:r>
        <w:rPr>
          <w:rFonts w:ascii="Times New Roman" w:hAnsi="Times New Roman"/>
          <w:b/>
          <w:i w:val="0"/>
          <w:sz w:val="20"/>
        </w:rPr>
        <w:t>Construct.</w:t>
      </w:r>
      <w:r>
        <w:rPr>
          <w:rFonts w:ascii="Times New Roman" w:hAnsi="Times New Roman"/>
          <w:b w:val="0"/>
          <w:i w:val="0"/>
          <w:sz w:val="20"/>
        </w:rPr>
        <w:t xml:space="preserve"> Executing a migrated program establishes that it runs and that its cryptographic round trips succeed. It does not establish that the migrated system's security properties match the original's in a protocol sense — key lifetimes, session binding and authentication context are outside what execution can confirm.</w:t>
      </w:r>
    </w:p>
    <w:p>
      <w:pPr>
        <w:spacing w:before="160" w:after="80"/>
      </w:pPr>
      <w:r>
        <w:rPr>
          <w:rFonts w:ascii="Times New Roman" w:hAnsi="Times New Roman"/>
          <w:b/>
          <w:sz w:val="20"/>
        </w:rPr>
        <w:t>B. Limitations</w:t>
      </w:r>
    </w:p>
    <w:p>
      <w:pPr>
        <w:spacing w:after="100"/>
        <w:jc w:val="both"/>
      </w:pPr>
      <w:r>
        <w:rPr>
          <w:rFonts w:ascii="Times New Roman" w:hAnsi="Times New Roman"/>
          <w:b w:val="0"/>
          <w:i w:val="0"/>
          <w:sz w:val="20"/>
        </w:rPr>
        <w:t xml:space="preserve">The prototype handles Python only. Migration rules cover the </w:t>
      </w:r>
      <w:r>
        <w:rPr>
          <w:rFonts w:ascii="Consolas" w:hAnsi="Consolas"/>
          <w:b w:val="0"/>
          <w:i w:val="0"/>
          <w:sz w:val="17"/>
        </w:rPr>
        <w:t>cryptography</w:t>
      </w:r>
      <w:r>
        <w:rPr>
          <w:rFonts w:ascii="Times New Roman" w:hAnsi="Times New Roman"/>
          <w:b w:val="0"/>
          <w:i w:val="0"/>
          <w:sz w:val="20"/>
        </w:rPr>
        <w:t xml:space="preserve"> library; PyCryptodome and </w:t>
      </w:r>
      <w:r>
        <w:rPr>
          <w:rFonts w:ascii="Consolas" w:hAnsi="Consolas"/>
          <w:b w:val="0"/>
          <w:i w:val="0"/>
          <w:sz w:val="17"/>
        </w:rPr>
        <w:t>ecdsa</w:t>
      </w:r>
      <w:r>
        <w:rPr>
          <w:rFonts w:ascii="Times New Roman" w:hAnsi="Times New Roman"/>
          <w:b w:val="0"/>
          <w:i w:val="0"/>
          <w:sz w:val="20"/>
        </w:rPr>
        <w:t xml:space="preserve"> usage is detected and reported honestly as unmigrated rather than silently skipped. The optimisation stage specified in the architecture exists as an interface with no implementation. SLH-DSA is recommended where requested but requires the liboqs backend to execute. Most significantly, migration is purely rule-driven: code whose shape no rule matches is copied unchanged and reported as such.</w:t>
      </w:r>
    </w:p>
    <w:p>
      <w:pPr>
        <w:spacing w:before="240" w:after="80"/>
      </w:pPr>
      <w:r>
        <w:rPr>
          <w:rFonts w:ascii="Times New Roman" w:hAnsi="Times New Roman"/>
          <w:b/>
          <w:caps w:val="0"/>
          <w:sz w:val="22"/>
        </w:rPr>
        <w:t>VIII. Conclusion and Future Work</w:t>
      </w:r>
    </w:p>
    <w:p>
      <w:pPr>
        <w:spacing w:after="100"/>
        <w:jc w:val="both"/>
      </w:pPr>
      <w:r>
        <w:rPr>
          <w:rFonts w:ascii="Times New Roman" w:hAnsi="Times New Roman"/>
          <w:b w:val="0"/>
          <w:i w:val="0"/>
          <w:sz w:val="20"/>
        </w:rPr>
        <w:t>Post-quantum migration is frequently discussed as a cryptographic problem. It is better understood as a software-engineering problem with a cryptographic correctness criterion. The algorithms exist and are standardised; what is missing is a reliable way to get a specific body of existing code from where it is to where it must be, with evidence that nothing broke along the way.</w:t>
      </w:r>
    </w:p>
    <w:p>
      <w:pPr>
        <w:spacing w:after="100"/>
        <w:jc w:val="both"/>
      </w:pPr>
      <w:r>
        <w:rPr>
          <w:rFonts w:ascii="Times New Roman" w:hAnsi="Times New Roman"/>
          <w:b w:val="0"/>
          <w:i w:val="0"/>
          <w:sz w:val="20"/>
        </w:rPr>
        <w:t>This paper described a framework that treats that transition as a single verified pipeline — detection, purpose inference, context-sensitive recommendation, rule-based rewriting, functional verification and reporting. On a purpose-built labelled benchmark the detector achieved precision 1.00 and recall 1.00 over 31 in-scope sites with perfect purpose classification and no false alarms on clean modules, while recording recall of 0.00 on a deliberately adversarial set that marks the boundary of syntactic analysis. Applied end to end, the pipeline migrated nine of nine detected sites across three applications, and the two applications it migrated completely were executed successfully under real ML-KEM and ML-DSA.</w:t>
      </w:r>
    </w:p>
    <w:p>
      <w:pPr>
        <w:spacing w:after="100"/>
        <w:jc w:val="both"/>
      </w:pPr>
      <w:r>
        <w:rPr>
          <w:rFonts w:ascii="Times New Roman" w:hAnsi="Times New Roman"/>
          <w:b w:val="0"/>
          <w:i w:val="0"/>
          <w:sz w:val="20"/>
        </w:rPr>
        <w:t>Three directions follow directly from the measurements rather than from speculation.</w:t>
      </w:r>
    </w:p>
    <w:p>
      <w:pPr>
        <w:spacing w:after="100"/>
        <w:jc w:val="both"/>
      </w:pPr>
      <w:r>
        <w:rPr>
          <w:rFonts w:ascii="Times New Roman" w:hAnsi="Times New Roman"/>
          <w:b/>
          <w:i w:val="0"/>
          <w:sz w:val="20"/>
        </w:rPr>
        <w:t>Model-assisted transformation for what rules cannot reach.</w:t>
      </w:r>
      <w:r>
        <w:rPr>
          <w:rFonts w:ascii="Times New Roman" w:hAnsi="Times New Roman"/>
          <w:b w:val="0"/>
          <w:i w:val="0"/>
          <w:sz w:val="20"/>
        </w:rPr>
        <w:t xml:space="preserve"> The extended-set results quantify the need precisely: seven sites, in three distinct categories, that name-based matching cannot see. A language model is a plausible instrument for two of them — semantic parameters and wrapper libraries — and the framework is already structured to accommodate it, with the rule engine attempted first and the model invoked only on what remains. The critical design point is that the verification stage does not move: model-generated code would be subject to exactly the same round-trip tests and execution requirement as rule-generated code, which converts the usual objection to generative code transformation into a tractable one.</w:t>
      </w:r>
    </w:p>
    <w:p>
      <w:pPr>
        <w:spacing w:after="100"/>
        <w:jc w:val="both"/>
      </w:pPr>
      <w:r>
        <w:rPr>
          <w:rFonts w:ascii="Times New Roman" w:hAnsi="Times New Roman"/>
          <w:b/>
          <w:i w:val="0"/>
          <w:sz w:val="20"/>
        </w:rPr>
        <w:t>Protocol-level restructuring.</w:t>
      </w:r>
      <w:r>
        <w:rPr>
          <w:rFonts w:ascii="Times New Roman" w:hAnsi="Times New Roman"/>
          <w:b w:val="0"/>
          <w:i w:val="0"/>
          <w:sz w:val="20"/>
        </w:rPr>
        <w:t xml:space="preserve"> The Diffie–Hellman case needs more than a better rewrite rule; it needs the surrounding protocol to be restructured into an encapsulate/decapsulate exchange. This is a program-transformation problem over control flow, not a substitution.</w:t>
      </w:r>
    </w:p>
    <w:p>
      <w:pPr>
        <w:spacing w:after="100"/>
        <w:jc w:val="both"/>
      </w:pPr>
      <w:r>
        <w:rPr>
          <w:rFonts w:ascii="Times New Roman" w:hAnsi="Times New Roman"/>
          <w:b/>
          <w:i w:val="0"/>
          <w:sz w:val="20"/>
        </w:rPr>
        <w:t>Broader coverage and independent evaluation.</w:t>
      </w:r>
      <w:r>
        <w:rPr>
          <w:rFonts w:ascii="Times New Roman" w:hAnsi="Times New Roman"/>
          <w:b w:val="0"/>
          <w:i w:val="0"/>
          <w:sz w:val="20"/>
        </w:rPr>
        <w:t xml:space="preserve"> Extending the pattern index to wrapper libraries is inexpensive and would close part of the extended set immediately. Extending beyond Python requires per-language parsing but no architectural change. Most importantly, the framework needs to be run against real repositories with independently established ground truth before any claim about field effectiveness is justified.</w:t>
      </w:r>
    </w:p>
    <w:p>
      <w:pPr>
        <w:spacing w:after="100"/>
        <w:jc w:val="both"/>
      </w:pPr>
      <w:r>
        <w:rPr>
          <w:rFonts w:ascii="Times New Roman" w:hAnsi="Times New Roman"/>
          <w:b w:val="0"/>
          <w:i w:val="0"/>
          <w:sz w:val="20"/>
        </w:rPr>
        <w:t>The artifacts described here — the framework, the three sample applications, the labelled benchmark and the evaluation harness — are available in the project repository so that the reported numbers can be reproduced.</w:t>
      </w:r>
    </w:p>
    <w:p>
      <w:pPr>
        <w:spacing w:before="240" w:after="80"/>
      </w:pPr>
      <w:r>
        <w:rPr>
          <w:rFonts w:ascii="Times New Roman" w:hAnsi="Times New Roman"/>
          <w:b/>
          <w:caps w:val="0"/>
          <w:sz w:val="22"/>
        </w:rPr>
        <w:t>References</w:t>
      </w:r>
    </w:p>
    <w:p>
      <w:pPr>
        <w:spacing w:before="80" w:after="160"/>
        <w:ind w:left="360"/>
      </w:pPr>
      <w:r>
        <w:rPr>
          <w:rFonts w:ascii="Times New Roman" w:hAnsi="Times New Roman"/>
          <w:i/>
          <w:color w:val="A03020"/>
          <w:sz w:val="18"/>
        </w:rPr>
        <w:t>[ Entries are ordered most-recent first. Verify every one against the published source before submission, and renumber if you add references from your own survey. ]</w:t>
      </w:r>
    </w:p>
    <w:p>
      <w:pPr>
        <w:spacing w:after="100"/>
        <w:jc w:val="both"/>
      </w:pPr>
      <w:r>
        <w:rPr>
          <w:rFonts w:ascii="Times New Roman" w:hAnsi="Times New Roman"/>
          <w:b w:val="0"/>
          <w:i w:val="0"/>
          <w:sz w:val="20"/>
        </w:rPr>
        <w:t xml:space="preserve">[1] National Institute of Standards and Technology, </w:t>
      </w:r>
      <w:r>
        <w:rPr>
          <w:rFonts w:ascii="Times New Roman" w:hAnsi="Times New Roman"/>
          <w:b w:val="0"/>
          <w:i/>
          <w:sz w:val="20"/>
        </w:rPr>
        <w:t>Module-Lattice-Based Key-Encapsulation Mechanism Standard</w:t>
      </w:r>
      <w:r>
        <w:rPr>
          <w:rFonts w:ascii="Times New Roman" w:hAnsi="Times New Roman"/>
          <w:b w:val="0"/>
          <w:i w:val="0"/>
          <w:sz w:val="20"/>
        </w:rPr>
        <w:t>, FIPS 203, Aug. 2024.</w:t>
      </w:r>
    </w:p>
    <w:p>
      <w:pPr>
        <w:spacing w:after="100"/>
        <w:jc w:val="both"/>
      </w:pPr>
      <w:r>
        <w:rPr>
          <w:rFonts w:ascii="Times New Roman" w:hAnsi="Times New Roman"/>
          <w:b w:val="0"/>
          <w:i w:val="0"/>
          <w:sz w:val="20"/>
        </w:rPr>
        <w:t xml:space="preserve">[2] National Institute of Standards and Technology, </w:t>
      </w:r>
      <w:r>
        <w:rPr>
          <w:rFonts w:ascii="Times New Roman" w:hAnsi="Times New Roman"/>
          <w:b w:val="0"/>
          <w:i/>
          <w:sz w:val="20"/>
        </w:rPr>
        <w:t>Module-Lattice-Based Digital Signature Standard</w:t>
      </w:r>
      <w:r>
        <w:rPr>
          <w:rFonts w:ascii="Times New Roman" w:hAnsi="Times New Roman"/>
          <w:b w:val="0"/>
          <w:i w:val="0"/>
          <w:sz w:val="20"/>
        </w:rPr>
        <w:t>, FIPS 204, Aug. 2024.</w:t>
      </w:r>
    </w:p>
    <w:p>
      <w:pPr>
        <w:spacing w:after="100"/>
        <w:jc w:val="both"/>
      </w:pPr>
      <w:r>
        <w:rPr>
          <w:rFonts w:ascii="Times New Roman" w:hAnsi="Times New Roman"/>
          <w:b w:val="0"/>
          <w:i w:val="0"/>
          <w:sz w:val="20"/>
        </w:rPr>
        <w:t xml:space="preserve">[3] National Institute of Standards and Technology, </w:t>
      </w:r>
      <w:r>
        <w:rPr>
          <w:rFonts w:ascii="Times New Roman" w:hAnsi="Times New Roman"/>
          <w:b w:val="0"/>
          <w:i/>
          <w:sz w:val="20"/>
        </w:rPr>
        <w:t>Stateless Hash-Based Digital Signature Standard</w:t>
      </w:r>
      <w:r>
        <w:rPr>
          <w:rFonts w:ascii="Times New Roman" w:hAnsi="Times New Roman"/>
          <w:b w:val="0"/>
          <w:i w:val="0"/>
          <w:sz w:val="20"/>
        </w:rPr>
        <w:t>, FIPS 205, Aug. 2024.</w:t>
      </w:r>
    </w:p>
    <w:p>
      <w:pPr>
        <w:spacing w:after="100"/>
        <w:jc w:val="both"/>
      </w:pPr>
      <w:r>
        <w:rPr>
          <w:rFonts w:ascii="Times New Roman" w:hAnsi="Times New Roman"/>
          <w:b w:val="0"/>
          <w:i w:val="0"/>
          <w:sz w:val="20"/>
        </w:rPr>
        <w:t xml:space="preserve">[4] National Cybersecurity Center of Excellence, </w:t>
      </w:r>
      <w:r>
        <w:rPr>
          <w:rFonts w:ascii="Times New Roman" w:hAnsi="Times New Roman"/>
          <w:b w:val="0"/>
          <w:i/>
          <w:sz w:val="20"/>
        </w:rPr>
        <w:t>Migration to Post-Quantum Cryptography</w:t>
      </w:r>
      <w:r>
        <w:rPr>
          <w:rFonts w:ascii="Times New Roman" w:hAnsi="Times New Roman"/>
          <w:b w:val="0"/>
          <w:i w:val="0"/>
          <w:sz w:val="20"/>
        </w:rPr>
        <w:t>, NIST SP 1800-38, National Institute of Standards and Technology. Confirm the volume and revision date you cite.</w:t>
      </w:r>
    </w:p>
    <w:p>
      <w:pPr>
        <w:spacing w:after="100"/>
        <w:jc w:val="both"/>
      </w:pPr>
      <w:r>
        <w:rPr>
          <w:rFonts w:ascii="Times New Roman" w:hAnsi="Times New Roman"/>
          <w:b w:val="0"/>
          <w:i w:val="0"/>
          <w:sz w:val="20"/>
        </w:rPr>
        <w:t>[5] G. Pope, "kyber-py: A pure-Python implementation of ML-KEM (FIPS 203)," software repository, version 1.2.0.</w:t>
      </w:r>
    </w:p>
    <w:p>
      <w:pPr>
        <w:spacing w:after="100"/>
        <w:jc w:val="both"/>
      </w:pPr>
      <w:r>
        <w:rPr>
          <w:rFonts w:ascii="Times New Roman" w:hAnsi="Times New Roman"/>
          <w:b w:val="0"/>
          <w:i w:val="0"/>
          <w:sz w:val="20"/>
        </w:rPr>
        <w:t>[6] G. Pope, "dilithium-py: A pure-Python implementation of ML-DSA (FIPS 204)," software repository, version 1.4.0.</w:t>
      </w:r>
    </w:p>
    <w:p>
      <w:pPr>
        <w:spacing w:after="100"/>
        <w:jc w:val="both"/>
      </w:pPr>
      <w:r>
        <w:rPr>
          <w:rFonts w:ascii="Times New Roman" w:hAnsi="Times New Roman"/>
          <w:b w:val="0"/>
          <w:i w:val="0"/>
          <w:sz w:val="20"/>
        </w:rPr>
        <w:t xml:space="preserve">[7] W. Barker, W. Polk, and M. Souppaya, </w:t>
      </w:r>
      <w:r>
        <w:rPr>
          <w:rFonts w:ascii="Times New Roman" w:hAnsi="Times New Roman"/>
          <w:b w:val="0"/>
          <w:i/>
          <w:sz w:val="20"/>
        </w:rPr>
        <w:t>Getting Ready for Post-Quantum Cryptography: Exploring Challenges Associated with Adopting and Using Post-Quantum Cryptographic Algorithms</w:t>
      </w:r>
      <w:r>
        <w:rPr>
          <w:rFonts w:ascii="Times New Roman" w:hAnsi="Times New Roman"/>
          <w:b w:val="0"/>
          <w:i w:val="0"/>
          <w:sz w:val="20"/>
        </w:rPr>
        <w:t>, NIST Cybersecurity White Paper, 2021.</w:t>
      </w:r>
    </w:p>
    <w:p>
      <w:pPr>
        <w:spacing w:after="100"/>
        <w:jc w:val="both"/>
      </w:pPr>
      <w:r>
        <w:rPr>
          <w:rFonts w:ascii="Times New Roman" w:hAnsi="Times New Roman"/>
          <w:b w:val="0"/>
          <w:i w:val="0"/>
          <w:sz w:val="20"/>
        </w:rPr>
        <w:t>[8] M. Chen et al., "Evaluating large language models trained on code," arXiv:2107.03374, 2021.</w:t>
      </w:r>
    </w:p>
    <w:p>
      <w:pPr>
        <w:spacing w:after="100"/>
        <w:jc w:val="both"/>
      </w:pPr>
      <w:r>
        <w:rPr>
          <w:rFonts w:ascii="Times New Roman" w:hAnsi="Times New Roman"/>
          <w:b w:val="0"/>
          <w:i w:val="0"/>
          <w:sz w:val="20"/>
        </w:rPr>
        <w:t xml:space="preserve">[9] M. Mosca, "Cybersecurity in an era with quantum computers: Will we be ready?," </w:t>
      </w:r>
      <w:r>
        <w:rPr>
          <w:rFonts w:ascii="Times New Roman" w:hAnsi="Times New Roman"/>
          <w:b w:val="0"/>
          <w:i/>
          <w:sz w:val="20"/>
        </w:rPr>
        <w:t>IEEE Security &amp; Privacy</w:t>
      </w:r>
      <w:r>
        <w:rPr>
          <w:rFonts w:ascii="Times New Roman" w:hAnsi="Times New Roman"/>
          <w:b w:val="0"/>
          <w:i w:val="0"/>
          <w:sz w:val="20"/>
        </w:rPr>
        <w:t>, vol. 16, no. 5, pp. 38-41, 2018.</w:t>
      </w:r>
    </w:p>
    <w:p>
      <w:pPr>
        <w:spacing w:after="100"/>
        <w:jc w:val="both"/>
      </w:pPr>
      <w:r>
        <w:rPr>
          <w:rFonts w:ascii="Times New Roman" w:hAnsi="Times New Roman"/>
          <w:b w:val="0"/>
          <w:i w:val="0"/>
          <w:sz w:val="20"/>
        </w:rPr>
        <w:t xml:space="preserve">[10] D. Stebila and M. Mosca, "Post-quantum key exchange for the Internet and the Open Quantum Safe project," in </w:t>
      </w:r>
      <w:r>
        <w:rPr>
          <w:rFonts w:ascii="Times New Roman" w:hAnsi="Times New Roman"/>
          <w:b w:val="0"/>
          <w:i/>
          <w:sz w:val="20"/>
        </w:rPr>
        <w:t>Selected Areas in Cryptography (SAC 2016)</w:t>
      </w:r>
      <w:r>
        <w:rPr>
          <w:rFonts w:ascii="Times New Roman" w:hAnsi="Times New Roman"/>
          <w:b w:val="0"/>
          <w:i w:val="0"/>
          <w:sz w:val="20"/>
        </w:rPr>
        <w:t>, LNCS vol. 10532, pp. 14-37.</w:t>
      </w:r>
    </w:p>
    <w:p>
      <w:pPr>
        <w:spacing w:after="100"/>
        <w:jc w:val="both"/>
      </w:pPr>
      <w:r>
        <w:rPr>
          <w:rFonts w:ascii="Times New Roman" w:hAnsi="Times New Roman"/>
          <w:b w:val="0"/>
          <w:i w:val="0"/>
          <w:sz w:val="20"/>
        </w:rPr>
        <w:t xml:space="preserve">[11] P. W. Shor, "Polynomial-time algorithms for prime factorization and discrete logarithms on a quantum computer," </w:t>
      </w:r>
      <w:r>
        <w:rPr>
          <w:rFonts w:ascii="Times New Roman" w:hAnsi="Times New Roman"/>
          <w:b w:val="0"/>
          <w:i/>
          <w:sz w:val="20"/>
        </w:rPr>
        <w:t>SIAM Journal on Computing</w:t>
      </w:r>
      <w:r>
        <w:rPr>
          <w:rFonts w:ascii="Times New Roman" w:hAnsi="Times New Roman"/>
          <w:b w:val="0"/>
          <w:i w:val="0"/>
          <w:sz w:val="20"/>
        </w:rPr>
        <w:t>, vol. 26, no. 5, pp. 1484-1509, 1997.</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