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EF0BF" w14:textId="77777777" w:rsidR="001A7ABA" w:rsidRDefault="001A7ABA">
      <w:pPr>
        <w:pStyle w:val="Heading1"/>
        <w:rPr>
          <w:rFonts w:ascii="Calibri" w:eastAsia="Times New Roman" w:hAnsi="Calibri" w:cs="Calibri"/>
        </w:rPr>
      </w:pPr>
      <w:r>
        <w:rPr>
          <w:rFonts w:ascii="Calibri" w:eastAsia="Times New Roman" w:hAnsi="Calibri" w:cs="Calibri"/>
        </w:rPr>
        <w:t>Technical Report: Designing an Acceptable Use Policy for a Small Research Organisation</w:t>
      </w:r>
    </w:p>
    <w:tbl>
      <w:tblPr>
        <w:tblW w:w="5000" w:type="pct"/>
        <w:tblCellMar>
          <w:top w:w="15" w:type="dxa"/>
          <w:left w:w="15" w:type="dxa"/>
          <w:bottom w:w="15" w:type="dxa"/>
          <w:right w:w="15" w:type="dxa"/>
        </w:tblCellMar>
        <w:tblLook w:val="04A0" w:firstRow="1" w:lastRow="0" w:firstColumn="1" w:lastColumn="0" w:noHBand="0" w:noVBand="1"/>
      </w:tblPr>
      <w:tblGrid>
        <w:gridCol w:w="1265"/>
        <w:gridCol w:w="8131"/>
      </w:tblGrid>
      <w:tr w:rsidR="00000000" w14:paraId="7E8B3FDC"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2F4683EA"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Field</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3F3F6826"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Detail</w:t>
            </w:r>
          </w:p>
        </w:tc>
      </w:tr>
      <w:tr w:rsidR="00000000" w14:paraId="6E90D008"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F1DD4C1" w14:textId="77777777" w:rsidR="001A7ABA" w:rsidRDefault="001A7ABA" w:rsidP="00BE4A82">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Intern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677D77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Arpit Yadav</w:t>
            </w:r>
          </w:p>
        </w:tc>
      </w:tr>
      <w:tr w:rsidR="00000000" w14:paraId="28887CF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489B5EC" w14:textId="77777777" w:rsidR="001A7ABA" w:rsidRDefault="001A7ABA" w:rsidP="00BE4A82">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Intern ID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214F1A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2415</w:t>
            </w:r>
          </w:p>
        </w:tc>
      </w:tr>
      <w:tr w:rsidR="00000000" w14:paraId="5215D18B"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72F3181" w14:textId="77777777" w:rsidR="001A7ABA" w:rsidRDefault="001A7ABA" w:rsidP="00BE4A82">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Programme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88ADB9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RedKross Research Foundation — Internship, October 2026 batch</w:t>
            </w:r>
          </w:p>
        </w:tc>
      </w:tr>
      <w:tr w:rsidR="00000000" w14:paraId="1A084F5B"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A149E1C" w14:textId="77777777" w:rsidR="001A7ABA" w:rsidRDefault="001A7ABA" w:rsidP="00BE4A82">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Task</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4025F2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Security Policy Writing: Acceptable Use Policy for a small research organisation</w:t>
            </w:r>
          </w:p>
        </w:tc>
      </w:tr>
      <w:tr w:rsidR="00000000" w14:paraId="324B6AF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BD90BEF" w14:textId="77777777" w:rsidR="001A7ABA" w:rsidRDefault="001A7ABA" w:rsidP="00BE4A82">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Deliverable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0AB9A4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KRI-ISP-001 Acceptable Use Policy v1.0 (fictional organisation: Kestrelwood Research Institute)</w:t>
            </w:r>
          </w:p>
        </w:tc>
      </w:tr>
      <w:tr w:rsidR="00000000" w14:paraId="4930C1D8"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25279C4" w14:textId="77777777" w:rsidR="001A7ABA" w:rsidRDefault="001A7ABA" w:rsidP="00BE4A82">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Report date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116225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October 2026</w:t>
            </w:r>
          </w:p>
        </w:tc>
      </w:tr>
    </w:tbl>
    <w:p w14:paraId="6E894B91" w14:textId="77777777" w:rsidR="001A7ABA" w:rsidRDefault="001A7ABA">
      <w:pPr>
        <w:pStyle w:val="toc-title"/>
        <w:spacing w:before="60" w:beforeAutospacing="0" w:after="120"/>
        <w:rPr>
          <w:rFonts w:ascii="Calibri" w:hAnsi="Calibri" w:cs="Calibri"/>
        </w:rPr>
      </w:pPr>
      <w:r>
        <w:rPr>
          <w:rFonts w:ascii="Calibri" w:hAnsi="Calibri" w:cs="Calibri"/>
        </w:rPr>
        <w:t>Contents</w:t>
      </w:r>
    </w:p>
    <w:p w14:paraId="205F4A00" w14:textId="4E502845" w:rsidR="00BE4A82" w:rsidRDefault="00BE4A82" w:rsidP="00BE4A82">
      <w:pPr>
        <w:pStyle w:val="TOC2"/>
        <w:tabs>
          <w:tab w:val="right" w:leader="dot" w:pos="9402"/>
        </w:tabs>
        <w:rPr>
          <w:rFonts w:asciiTheme="minorHAnsi" w:hAnsiTheme="minorHAnsi" w:cstheme="minorBidi"/>
          <w:noProof/>
          <w:kern w:val="2"/>
          <w14:ligatures w14:val="standardContextual"/>
        </w:rPr>
      </w:pPr>
      <w:r>
        <w:rPr>
          <w:rFonts w:ascii="Calibri" w:hAnsi="Calibri" w:cs="Calibri"/>
          <w:color w:val="1A1A1A"/>
          <w:sz w:val="22"/>
          <w:szCs w:val="22"/>
        </w:rPr>
        <w:fldChar w:fldCharType="begin"/>
      </w:r>
      <w:r>
        <w:rPr>
          <w:rFonts w:ascii="Calibri" w:hAnsi="Calibri" w:cs="Calibri"/>
          <w:color w:val="1A1A1A"/>
          <w:sz w:val="22"/>
          <w:szCs w:val="22"/>
        </w:rPr>
        <w:instrText xml:space="preserve"> TOC \o "2-2" </w:instrText>
      </w:r>
      <w:r>
        <w:rPr>
          <w:rFonts w:ascii="Calibri" w:hAnsi="Calibri" w:cs="Calibri"/>
          <w:color w:val="1A1A1A"/>
          <w:sz w:val="22"/>
          <w:szCs w:val="22"/>
        </w:rPr>
        <w:fldChar w:fldCharType="separate"/>
      </w:r>
      <w:r w:rsidRPr="00D81E93">
        <w:rPr>
          <w:rFonts w:ascii="Calibri" w:eastAsia="Times New Roman" w:hAnsi="Calibri" w:cs="Calibri"/>
          <w:noProof/>
        </w:rPr>
        <w:t>Abstract</w:t>
      </w:r>
      <w:r>
        <w:rPr>
          <w:noProof/>
        </w:rPr>
        <w:tab/>
      </w:r>
      <w:r>
        <w:rPr>
          <w:noProof/>
        </w:rPr>
        <w:fldChar w:fldCharType="begin"/>
      </w:r>
      <w:r>
        <w:rPr>
          <w:noProof/>
        </w:rPr>
        <w:instrText xml:space="preserve"> PAGEREF _Toc243216970 \h </w:instrText>
      </w:r>
      <w:r>
        <w:rPr>
          <w:noProof/>
        </w:rPr>
      </w:r>
      <w:r>
        <w:rPr>
          <w:noProof/>
        </w:rPr>
        <w:fldChar w:fldCharType="separate"/>
      </w:r>
      <w:r>
        <w:rPr>
          <w:noProof/>
        </w:rPr>
        <w:t>2</w:t>
      </w:r>
      <w:r>
        <w:rPr>
          <w:noProof/>
        </w:rPr>
        <w:fldChar w:fldCharType="end"/>
      </w:r>
    </w:p>
    <w:p w14:paraId="02A6A537" w14:textId="663944B2" w:rsidR="00BE4A82" w:rsidRDefault="00BE4A82" w:rsidP="00BE4A82">
      <w:pPr>
        <w:pStyle w:val="TOC2"/>
        <w:tabs>
          <w:tab w:val="right" w:leader="dot" w:pos="9402"/>
        </w:tabs>
        <w:rPr>
          <w:rFonts w:asciiTheme="minorHAnsi" w:hAnsiTheme="minorHAnsi" w:cstheme="minorBidi"/>
          <w:noProof/>
          <w:kern w:val="2"/>
          <w14:ligatures w14:val="standardContextual"/>
        </w:rPr>
      </w:pPr>
      <w:r w:rsidRPr="00D81E93">
        <w:rPr>
          <w:rFonts w:ascii="Calibri" w:eastAsia="Times New Roman" w:hAnsi="Calibri" w:cs="Calibri"/>
          <w:noProof/>
        </w:rPr>
        <w:t>1. Introduction and Objective</w:t>
      </w:r>
      <w:r>
        <w:rPr>
          <w:noProof/>
        </w:rPr>
        <w:tab/>
      </w:r>
      <w:r>
        <w:rPr>
          <w:noProof/>
        </w:rPr>
        <w:fldChar w:fldCharType="begin"/>
      </w:r>
      <w:r>
        <w:rPr>
          <w:noProof/>
        </w:rPr>
        <w:instrText xml:space="preserve"> PAGEREF _Toc243216971 \h </w:instrText>
      </w:r>
      <w:r>
        <w:rPr>
          <w:noProof/>
        </w:rPr>
      </w:r>
      <w:r>
        <w:rPr>
          <w:noProof/>
        </w:rPr>
        <w:fldChar w:fldCharType="separate"/>
      </w:r>
      <w:r>
        <w:rPr>
          <w:noProof/>
        </w:rPr>
        <w:t>2</w:t>
      </w:r>
      <w:r>
        <w:rPr>
          <w:noProof/>
        </w:rPr>
        <w:fldChar w:fldCharType="end"/>
      </w:r>
    </w:p>
    <w:p w14:paraId="4E1CDFD5" w14:textId="1FA394D8" w:rsidR="00BE4A82" w:rsidRDefault="00BE4A82" w:rsidP="00BE4A82">
      <w:pPr>
        <w:pStyle w:val="TOC2"/>
        <w:tabs>
          <w:tab w:val="right" w:leader="dot" w:pos="9402"/>
        </w:tabs>
        <w:rPr>
          <w:rFonts w:asciiTheme="minorHAnsi" w:hAnsiTheme="minorHAnsi" w:cstheme="minorBidi"/>
          <w:noProof/>
          <w:kern w:val="2"/>
          <w14:ligatures w14:val="standardContextual"/>
        </w:rPr>
      </w:pPr>
      <w:r w:rsidRPr="00D81E93">
        <w:rPr>
          <w:rFonts w:ascii="Calibri" w:eastAsia="Times New Roman" w:hAnsi="Calibri" w:cs="Calibri"/>
          <w:noProof/>
        </w:rPr>
        <w:t>2. Background Research</w:t>
      </w:r>
      <w:r>
        <w:rPr>
          <w:noProof/>
        </w:rPr>
        <w:tab/>
      </w:r>
      <w:r>
        <w:rPr>
          <w:noProof/>
        </w:rPr>
        <w:fldChar w:fldCharType="begin"/>
      </w:r>
      <w:r>
        <w:rPr>
          <w:noProof/>
        </w:rPr>
        <w:instrText xml:space="preserve"> PAGEREF _Toc243216972 \h </w:instrText>
      </w:r>
      <w:r>
        <w:rPr>
          <w:noProof/>
        </w:rPr>
      </w:r>
      <w:r>
        <w:rPr>
          <w:noProof/>
        </w:rPr>
        <w:fldChar w:fldCharType="separate"/>
      </w:r>
      <w:r>
        <w:rPr>
          <w:noProof/>
        </w:rPr>
        <w:t>2</w:t>
      </w:r>
      <w:r>
        <w:rPr>
          <w:noProof/>
        </w:rPr>
        <w:fldChar w:fldCharType="end"/>
      </w:r>
    </w:p>
    <w:p w14:paraId="44C3D8B4" w14:textId="34BDA016" w:rsidR="00BE4A82" w:rsidRDefault="00BE4A82" w:rsidP="00BE4A82">
      <w:pPr>
        <w:pStyle w:val="TOC2"/>
        <w:tabs>
          <w:tab w:val="right" w:leader="dot" w:pos="9402"/>
        </w:tabs>
        <w:rPr>
          <w:rFonts w:asciiTheme="minorHAnsi" w:hAnsiTheme="minorHAnsi" w:cstheme="minorBidi"/>
          <w:noProof/>
          <w:kern w:val="2"/>
          <w14:ligatures w14:val="standardContextual"/>
        </w:rPr>
      </w:pPr>
      <w:r w:rsidRPr="00D81E93">
        <w:rPr>
          <w:rFonts w:ascii="Calibri" w:eastAsia="Times New Roman" w:hAnsi="Calibri" w:cs="Calibri"/>
          <w:noProof/>
        </w:rPr>
        <w:t>3. Methodology</w:t>
      </w:r>
      <w:r>
        <w:rPr>
          <w:noProof/>
        </w:rPr>
        <w:tab/>
      </w:r>
      <w:r>
        <w:rPr>
          <w:noProof/>
        </w:rPr>
        <w:fldChar w:fldCharType="begin"/>
      </w:r>
      <w:r>
        <w:rPr>
          <w:noProof/>
        </w:rPr>
        <w:instrText xml:space="preserve"> PAGEREF _Toc243216973 \h </w:instrText>
      </w:r>
      <w:r>
        <w:rPr>
          <w:noProof/>
        </w:rPr>
      </w:r>
      <w:r>
        <w:rPr>
          <w:noProof/>
        </w:rPr>
        <w:fldChar w:fldCharType="separate"/>
      </w:r>
      <w:r>
        <w:rPr>
          <w:noProof/>
        </w:rPr>
        <w:t>4</w:t>
      </w:r>
      <w:r>
        <w:rPr>
          <w:noProof/>
        </w:rPr>
        <w:fldChar w:fldCharType="end"/>
      </w:r>
    </w:p>
    <w:p w14:paraId="285D5892" w14:textId="197FFC9C" w:rsidR="00BE4A82" w:rsidRDefault="00BE4A82" w:rsidP="00BE4A82">
      <w:pPr>
        <w:pStyle w:val="TOC2"/>
        <w:tabs>
          <w:tab w:val="right" w:leader="dot" w:pos="9402"/>
        </w:tabs>
        <w:rPr>
          <w:rFonts w:asciiTheme="minorHAnsi" w:hAnsiTheme="minorHAnsi" w:cstheme="minorBidi"/>
          <w:noProof/>
          <w:kern w:val="2"/>
          <w14:ligatures w14:val="standardContextual"/>
        </w:rPr>
      </w:pPr>
      <w:r w:rsidRPr="00D81E93">
        <w:rPr>
          <w:rFonts w:ascii="Calibri" w:eastAsia="Times New Roman" w:hAnsi="Calibri" w:cs="Calibri"/>
          <w:noProof/>
        </w:rPr>
        <w:t>4. Tools and Technologies</w:t>
      </w:r>
      <w:r>
        <w:rPr>
          <w:noProof/>
        </w:rPr>
        <w:tab/>
      </w:r>
      <w:r>
        <w:rPr>
          <w:noProof/>
        </w:rPr>
        <w:fldChar w:fldCharType="begin"/>
      </w:r>
      <w:r>
        <w:rPr>
          <w:noProof/>
        </w:rPr>
        <w:instrText xml:space="preserve"> PAGEREF _Toc243216974 \h </w:instrText>
      </w:r>
      <w:r>
        <w:rPr>
          <w:noProof/>
        </w:rPr>
      </w:r>
      <w:r>
        <w:rPr>
          <w:noProof/>
        </w:rPr>
        <w:fldChar w:fldCharType="separate"/>
      </w:r>
      <w:r>
        <w:rPr>
          <w:noProof/>
        </w:rPr>
        <w:t>5</w:t>
      </w:r>
      <w:r>
        <w:rPr>
          <w:noProof/>
        </w:rPr>
        <w:fldChar w:fldCharType="end"/>
      </w:r>
    </w:p>
    <w:p w14:paraId="201B9116" w14:textId="5C7A37C3" w:rsidR="00BE4A82" w:rsidRDefault="00BE4A82" w:rsidP="00BE4A82">
      <w:pPr>
        <w:pStyle w:val="TOC2"/>
        <w:tabs>
          <w:tab w:val="right" w:leader="dot" w:pos="9402"/>
        </w:tabs>
        <w:rPr>
          <w:rFonts w:asciiTheme="minorHAnsi" w:hAnsiTheme="minorHAnsi" w:cstheme="minorBidi"/>
          <w:noProof/>
          <w:kern w:val="2"/>
          <w14:ligatures w14:val="standardContextual"/>
        </w:rPr>
      </w:pPr>
      <w:r w:rsidRPr="00D81E93">
        <w:rPr>
          <w:rFonts w:ascii="Calibri" w:eastAsia="Times New Roman" w:hAnsi="Calibri" w:cs="Calibri"/>
          <w:noProof/>
        </w:rPr>
        <w:t>5. Work Performed</w:t>
      </w:r>
      <w:r>
        <w:rPr>
          <w:noProof/>
        </w:rPr>
        <w:tab/>
      </w:r>
      <w:r>
        <w:rPr>
          <w:noProof/>
        </w:rPr>
        <w:fldChar w:fldCharType="begin"/>
      </w:r>
      <w:r>
        <w:rPr>
          <w:noProof/>
        </w:rPr>
        <w:instrText xml:space="preserve"> PAGEREF _Toc243216975 \h </w:instrText>
      </w:r>
      <w:r>
        <w:rPr>
          <w:noProof/>
        </w:rPr>
      </w:r>
      <w:r>
        <w:rPr>
          <w:noProof/>
        </w:rPr>
        <w:fldChar w:fldCharType="separate"/>
      </w:r>
      <w:r>
        <w:rPr>
          <w:noProof/>
        </w:rPr>
        <w:t>6</w:t>
      </w:r>
      <w:r>
        <w:rPr>
          <w:noProof/>
        </w:rPr>
        <w:fldChar w:fldCharType="end"/>
      </w:r>
    </w:p>
    <w:p w14:paraId="5C99CDBC" w14:textId="1B93F0E1" w:rsidR="00BE4A82" w:rsidRDefault="00BE4A82" w:rsidP="00BE4A82">
      <w:pPr>
        <w:pStyle w:val="TOC2"/>
        <w:tabs>
          <w:tab w:val="right" w:leader="dot" w:pos="9402"/>
        </w:tabs>
        <w:rPr>
          <w:rFonts w:asciiTheme="minorHAnsi" w:hAnsiTheme="minorHAnsi" w:cstheme="minorBidi"/>
          <w:noProof/>
          <w:kern w:val="2"/>
          <w14:ligatures w14:val="standardContextual"/>
        </w:rPr>
      </w:pPr>
      <w:r w:rsidRPr="00D81E93">
        <w:rPr>
          <w:rFonts w:ascii="Calibri" w:eastAsia="Times New Roman" w:hAnsi="Calibri" w:cs="Calibri"/>
          <w:noProof/>
        </w:rPr>
        <w:t>6. Results</w:t>
      </w:r>
      <w:r>
        <w:rPr>
          <w:noProof/>
        </w:rPr>
        <w:tab/>
      </w:r>
      <w:r>
        <w:rPr>
          <w:noProof/>
        </w:rPr>
        <w:fldChar w:fldCharType="begin"/>
      </w:r>
      <w:r>
        <w:rPr>
          <w:noProof/>
        </w:rPr>
        <w:instrText xml:space="preserve"> PAGEREF _Toc243216976 \h </w:instrText>
      </w:r>
      <w:r>
        <w:rPr>
          <w:noProof/>
        </w:rPr>
      </w:r>
      <w:r>
        <w:rPr>
          <w:noProof/>
        </w:rPr>
        <w:fldChar w:fldCharType="separate"/>
      </w:r>
      <w:r>
        <w:rPr>
          <w:noProof/>
        </w:rPr>
        <w:t>7</w:t>
      </w:r>
      <w:r>
        <w:rPr>
          <w:noProof/>
        </w:rPr>
        <w:fldChar w:fldCharType="end"/>
      </w:r>
    </w:p>
    <w:p w14:paraId="13768FD9" w14:textId="51A6768F" w:rsidR="00BE4A82" w:rsidRDefault="00BE4A82" w:rsidP="00BE4A82">
      <w:pPr>
        <w:pStyle w:val="TOC2"/>
        <w:tabs>
          <w:tab w:val="right" w:leader="dot" w:pos="9402"/>
        </w:tabs>
        <w:rPr>
          <w:rFonts w:asciiTheme="minorHAnsi" w:hAnsiTheme="minorHAnsi" w:cstheme="minorBidi"/>
          <w:noProof/>
          <w:kern w:val="2"/>
          <w14:ligatures w14:val="standardContextual"/>
        </w:rPr>
      </w:pPr>
      <w:r w:rsidRPr="00D81E93">
        <w:rPr>
          <w:rFonts w:ascii="Calibri" w:eastAsia="Times New Roman" w:hAnsi="Calibri" w:cs="Calibri"/>
          <w:noProof/>
        </w:rPr>
        <w:t>7. Testing and Evaluation</w:t>
      </w:r>
      <w:r>
        <w:rPr>
          <w:noProof/>
        </w:rPr>
        <w:tab/>
      </w:r>
      <w:r>
        <w:rPr>
          <w:noProof/>
        </w:rPr>
        <w:fldChar w:fldCharType="begin"/>
      </w:r>
      <w:r>
        <w:rPr>
          <w:noProof/>
        </w:rPr>
        <w:instrText xml:space="preserve"> PAGEREF _Toc243216977 \h </w:instrText>
      </w:r>
      <w:r>
        <w:rPr>
          <w:noProof/>
        </w:rPr>
      </w:r>
      <w:r>
        <w:rPr>
          <w:noProof/>
        </w:rPr>
        <w:fldChar w:fldCharType="separate"/>
      </w:r>
      <w:r>
        <w:rPr>
          <w:noProof/>
        </w:rPr>
        <w:t>9</w:t>
      </w:r>
      <w:r>
        <w:rPr>
          <w:noProof/>
        </w:rPr>
        <w:fldChar w:fldCharType="end"/>
      </w:r>
    </w:p>
    <w:p w14:paraId="4679368C" w14:textId="1BED5A89" w:rsidR="00BE4A82" w:rsidRDefault="00BE4A82" w:rsidP="00BE4A82">
      <w:pPr>
        <w:pStyle w:val="TOC2"/>
        <w:tabs>
          <w:tab w:val="right" w:leader="dot" w:pos="9402"/>
        </w:tabs>
        <w:rPr>
          <w:rFonts w:asciiTheme="minorHAnsi" w:hAnsiTheme="minorHAnsi" w:cstheme="minorBidi"/>
          <w:noProof/>
          <w:kern w:val="2"/>
          <w14:ligatures w14:val="standardContextual"/>
        </w:rPr>
      </w:pPr>
      <w:r w:rsidRPr="00D81E93">
        <w:rPr>
          <w:rFonts w:ascii="Calibri" w:eastAsia="Times New Roman" w:hAnsi="Calibri" w:cs="Calibri"/>
          <w:noProof/>
        </w:rPr>
        <w:t>8. Limitations</w:t>
      </w:r>
      <w:r>
        <w:rPr>
          <w:noProof/>
        </w:rPr>
        <w:tab/>
      </w:r>
      <w:r>
        <w:rPr>
          <w:noProof/>
        </w:rPr>
        <w:fldChar w:fldCharType="begin"/>
      </w:r>
      <w:r>
        <w:rPr>
          <w:noProof/>
        </w:rPr>
        <w:instrText xml:space="preserve"> PAGEREF _Toc243216978 \h </w:instrText>
      </w:r>
      <w:r>
        <w:rPr>
          <w:noProof/>
        </w:rPr>
      </w:r>
      <w:r>
        <w:rPr>
          <w:noProof/>
        </w:rPr>
        <w:fldChar w:fldCharType="separate"/>
      </w:r>
      <w:r>
        <w:rPr>
          <w:noProof/>
        </w:rPr>
        <w:t>10</w:t>
      </w:r>
      <w:r>
        <w:rPr>
          <w:noProof/>
        </w:rPr>
        <w:fldChar w:fldCharType="end"/>
      </w:r>
    </w:p>
    <w:p w14:paraId="332E73F9" w14:textId="34C0CFA9" w:rsidR="00BE4A82" w:rsidRDefault="00BE4A82" w:rsidP="00BE4A82">
      <w:pPr>
        <w:pStyle w:val="TOC2"/>
        <w:tabs>
          <w:tab w:val="right" w:leader="dot" w:pos="9402"/>
        </w:tabs>
        <w:rPr>
          <w:rFonts w:asciiTheme="minorHAnsi" w:hAnsiTheme="minorHAnsi" w:cstheme="minorBidi"/>
          <w:noProof/>
          <w:kern w:val="2"/>
          <w14:ligatures w14:val="standardContextual"/>
        </w:rPr>
      </w:pPr>
      <w:r w:rsidRPr="00D81E93">
        <w:rPr>
          <w:rFonts w:ascii="Calibri" w:eastAsia="Times New Roman" w:hAnsi="Calibri" w:cs="Calibri"/>
          <w:noProof/>
        </w:rPr>
        <w:t>9. Recommendations</w:t>
      </w:r>
      <w:r>
        <w:rPr>
          <w:noProof/>
        </w:rPr>
        <w:tab/>
      </w:r>
      <w:r>
        <w:rPr>
          <w:noProof/>
        </w:rPr>
        <w:fldChar w:fldCharType="begin"/>
      </w:r>
      <w:r>
        <w:rPr>
          <w:noProof/>
        </w:rPr>
        <w:instrText xml:space="preserve"> PAGEREF _Toc243216979 \h </w:instrText>
      </w:r>
      <w:r>
        <w:rPr>
          <w:noProof/>
        </w:rPr>
      </w:r>
      <w:r>
        <w:rPr>
          <w:noProof/>
        </w:rPr>
        <w:fldChar w:fldCharType="separate"/>
      </w:r>
      <w:r>
        <w:rPr>
          <w:noProof/>
        </w:rPr>
        <w:t>10</w:t>
      </w:r>
      <w:r>
        <w:rPr>
          <w:noProof/>
        </w:rPr>
        <w:fldChar w:fldCharType="end"/>
      </w:r>
    </w:p>
    <w:p w14:paraId="1823EC81" w14:textId="5878A83A" w:rsidR="00BE4A82" w:rsidRDefault="00BE4A82" w:rsidP="00BE4A82">
      <w:pPr>
        <w:pStyle w:val="TOC2"/>
        <w:tabs>
          <w:tab w:val="right" w:leader="dot" w:pos="9402"/>
        </w:tabs>
        <w:rPr>
          <w:rFonts w:asciiTheme="minorHAnsi" w:hAnsiTheme="minorHAnsi" w:cstheme="minorBidi"/>
          <w:noProof/>
          <w:kern w:val="2"/>
          <w14:ligatures w14:val="standardContextual"/>
        </w:rPr>
      </w:pPr>
      <w:r w:rsidRPr="00D81E93">
        <w:rPr>
          <w:rFonts w:ascii="Calibri" w:eastAsia="Times New Roman" w:hAnsi="Calibri" w:cs="Calibri"/>
          <w:noProof/>
        </w:rPr>
        <w:t>10. Conclusion</w:t>
      </w:r>
      <w:r>
        <w:rPr>
          <w:noProof/>
        </w:rPr>
        <w:tab/>
      </w:r>
      <w:r>
        <w:rPr>
          <w:noProof/>
        </w:rPr>
        <w:fldChar w:fldCharType="begin"/>
      </w:r>
      <w:r>
        <w:rPr>
          <w:noProof/>
        </w:rPr>
        <w:instrText xml:space="preserve"> PAGEREF _Toc243216980 \h </w:instrText>
      </w:r>
      <w:r>
        <w:rPr>
          <w:noProof/>
        </w:rPr>
      </w:r>
      <w:r>
        <w:rPr>
          <w:noProof/>
        </w:rPr>
        <w:fldChar w:fldCharType="separate"/>
      </w:r>
      <w:r>
        <w:rPr>
          <w:noProof/>
        </w:rPr>
        <w:t>11</w:t>
      </w:r>
      <w:r>
        <w:rPr>
          <w:noProof/>
        </w:rPr>
        <w:fldChar w:fldCharType="end"/>
      </w:r>
    </w:p>
    <w:p w14:paraId="3534CA8F" w14:textId="071A8821" w:rsidR="00BE4A82" w:rsidRDefault="00BE4A82" w:rsidP="00BE4A82">
      <w:pPr>
        <w:pStyle w:val="TOC2"/>
        <w:tabs>
          <w:tab w:val="right" w:leader="dot" w:pos="9402"/>
        </w:tabs>
        <w:rPr>
          <w:rFonts w:asciiTheme="minorHAnsi" w:hAnsiTheme="minorHAnsi" w:cstheme="minorBidi"/>
          <w:noProof/>
          <w:kern w:val="2"/>
          <w14:ligatures w14:val="standardContextual"/>
        </w:rPr>
      </w:pPr>
      <w:r w:rsidRPr="00D81E93">
        <w:rPr>
          <w:rFonts w:ascii="Calibri" w:eastAsia="Times New Roman" w:hAnsi="Calibri" w:cs="Calibri"/>
          <w:noProof/>
        </w:rPr>
        <w:t>11. References</w:t>
      </w:r>
      <w:r>
        <w:rPr>
          <w:noProof/>
        </w:rPr>
        <w:tab/>
      </w:r>
      <w:r>
        <w:rPr>
          <w:noProof/>
        </w:rPr>
        <w:fldChar w:fldCharType="begin"/>
      </w:r>
      <w:r>
        <w:rPr>
          <w:noProof/>
        </w:rPr>
        <w:instrText xml:space="preserve"> PAGEREF _Toc243216981 \h </w:instrText>
      </w:r>
      <w:r>
        <w:rPr>
          <w:noProof/>
        </w:rPr>
      </w:r>
      <w:r>
        <w:rPr>
          <w:noProof/>
        </w:rPr>
        <w:fldChar w:fldCharType="separate"/>
      </w:r>
      <w:r>
        <w:rPr>
          <w:noProof/>
        </w:rPr>
        <w:t>11</w:t>
      </w:r>
      <w:r>
        <w:rPr>
          <w:noProof/>
        </w:rPr>
        <w:fldChar w:fldCharType="end"/>
      </w:r>
    </w:p>
    <w:p w14:paraId="2424E5A6" w14:textId="454BA48B" w:rsidR="001A7ABA" w:rsidRDefault="00BE4A82" w:rsidP="00BE4A82">
      <w:pPr>
        <w:pStyle w:val="NormalWeb"/>
        <w:rPr>
          <w:rFonts w:ascii="Calibri" w:hAnsi="Calibri" w:cs="Calibri"/>
          <w:color w:val="1A1A1A"/>
          <w:sz w:val="22"/>
          <w:szCs w:val="22"/>
        </w:rPr>
      </w:pPr>
      <w:r>
        <w:rPr>
          <w:rFonts w:ascii="Calibri" w:hAnsi="Calibri" w:cs="Calibri"/>
          <w:color w:val="1A1A1A"/>
          <w:sz w:val="22"/>
          <w:szCs w:val="22"/>
        </w:rPr>
        <w:fldChar w:fldCharType="end"/>
      </w:r>
    </w:p>
    <w:p w14:paraId="368AE167"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br w:type="page"/>
      </w:r>
    </w:p>
    <w:p w14:paraId="08F60CEE" w14:textId="77777777" w:rsidR="001A7ABA" w:rsidRDefault="001A7ABA">
      <w:pPr>
        <w:pStyle w:val="Heading2"/>
        <w:rPr>
          <w:rFonts w:ascii="Calibri" w:eastAsia="Times New Roman" w:hAnsi="Calibri" w:cs="Calibri"/>
        </w:rPr>
      </w:pPr>
      <w:bookmarkStart w:id="0" w:name="_Toc243216970"/>
      <w:r>
        <w:rPr>
          <w:rFonts w:ascii="Calibri" w:eastAsia="Times New Roman" w:hAnsi="Calibri" w:cs="Calibri"/>
        </w:rPr>
        <w:lastRenderedPageBreak/>
        <w:t>Abstract</w:t>
      </w:r>
      <w:bookmarkEnd w:id="0"/>
    </w:p>
    <w:p w14:paraId="625AB823"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This report describes how an Acceptable Use Policy (AUP) was designed for Kestrelwood Research Institute (KRI), a fictional non-profit research organisation with about 30 users. The policy was built from the task brief, then mapped against ISO/IEC 27001/27002:2022, NIST SP 800-53 Rev. 5, related NIST guidance, CIS Controls v8.1 and Indian law, including the IT Act, 2000, the DPDP Act, 2023 and the CERT-In Directions, 2022.</w:t>
      </w:r>
    </w:p>
    <w:p w14:paraId="4D5700F6"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The resulting policy has 16 sections and two appendices. It is supported by two process diagrams, two forms and two checklists. An automated check script was written and run against the policy. It confirmed that all 13 elements required by the brief are present, that all 10 internal cross-references are valid, and that no personal data appears in the repository.</w:t>
      </w:r>
    </w:p>
    <w:p w14:paraId="1DCCCCF0"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The policy has not been reviewed by legal or HR professionals or tested with real users. These limitations are discussed in Section 8, together with recommendations for adopting the policy.</w:t>
      </w:r>
    </w:p>
    <w:p w14:paraId="54DED86C" w14:textId="77777777" w:rsidR="001A7ABA" w:rsidRDefault="001A7ABA">
      <w:pPr>
        <w:pStyle w:val="Heading2"/>
        <w:rPr>
          <w:rFonts w:ascii="Calibri" w:eastAsia="Times New Roman" w:hAnsi="Calibri" w:cs="Calibri"/>
        </w:rPr>
      </w:pPr>
      <w:bookmarkStart w:id="1" w:name="_Toc243216971"/>
      <w:r>
        <w:rPr>
          <w:rFonts w:ascii="Calibri" w:eastAsia="Times New Roman" w:hAnsi="Calibri" w:cs="Calibri"/>
        </w:rPr>
        <w:t>1. Introduction and Objective</w:t>
      </w:r>
      <w:bookmarkEnd w:id="1"/>
    </w:p>
    <w:p w14:paraId="04217AC9" w14:textId="77777777" w:rsidR="001A7ABA" w:rsidRDefault="001A7ABA">
      <w:pPr>
        <w:pStyle w:val="Heading3"/>
        <w:rPr>
          <w:rFonts w:ascii="Calibri" w:eastAsia="Times New Roman" w:hAnsi="Calibri" w:cs="Calibri"/>
        </w:rPr>
      </w:pPr>
      <w:r>
        <w:rPr>
          <w:rFonts w:ascii="Calibri" w:eastAsia="Times New Roman" w:hAnsi="Calibri" w:cs="Calibri"/>
        </w:rPr>
        <w:t>1.1 Task statement</w:t>
      </w:r>
    </w:p>
    <w:p w14:paraId="13701271"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 xml:space="preserve">The assigned task was: </w:t>
      </w:r>
      <w:r>
        <w:rPr>
          <w:rStyle w:val="Emphasis"/>
          <w:rFonts w:ascii="Calibri" w:hAnsi="Calibri" w:cs="Calibri"/>
          <w:color w:val="1A1A1A"/>
          <w:sz w:val="22"/>
          <w:szCs w:val="22"/>
        </w:rPr>
        <w:t>"Draft an acceptable-use policy for a small research organisation. Define scope, acceptable use, prohibited actions, account/device responsibilities, data handling, reporting, monitoring notice, and consequences/escalation."</w:t>
      </w:r>
      <w:r>
        <w:rPr>
          <w:rFonts w:ascii="Calibri" w:hAnsi="Calibri" w:cs="Calibri"/>
          <w:color w:val="1A1A1A"/>
          <w:sz w:val="22"/>
          <w:szCs w:val="22"/>
        </w:rPr>
        <w:t xml:space="preserve"> </w:t>
      </w:r>
      <w:r>
        <w:rPr>
          <w:rFonts w:ascii="Calibri" w:hAnsi="Calibri" w:cs="Calibri"/>
          <w:color w:val="1A1A1A"/>
          <w:sz w:val="22"/>
          <w:szCs w:val="22"/>
        </w:rPr>
        <w:t xml:space="preserve">The required deliverable was </w:t>
      </w:r>
      <w:r>
        <w:rPr>
          <w:rStyle w:val="Emphasis"/>
          <w:rFonts w:ascii="Calibri" w:hAnsi="Calibri" w:cs="Calibri"/>
          <w:color w:val="1A1A1A"/>
          <w:sz w:val="22"/>
          <w:szCs w:val="22"/>
        </w:rPr>
        <w:t>"a professional policy document with purpose, scope, responsibilities, rules, exception process, and review date."</w:t>
      </w:r>
    </w:p>
    <w:p w14:paraId="4D802CFA" w14:textId="77777777" w:rsidR="001A7ABA" w:rsidRDefault="001A7ABA">
      <w:pPr>
        <w:pStyle w:val="Heading3"/>
        <w:rPr>
          <w:rFonts w:ascii="Calibri" w:eastAsia="Times New Roman" w:hAnsi="Calibri" w:cs="Calibri"/>
        </w:rPr>
      </w:pPr>
      <w:r>
        <w:rPr>
          <w:rFonts w:ascii="Calibri" w:eastAsia="Times New Roman" w:hAnsi="Calibri" w:cs="Calibri"/>
        </w:rPr>
        <w:t>1.2 Objectives</w:t>
      </w:r>
    </w:p>
    <w:p w14:paraId="494A47F0" w14:textId="77777777" w:rsidR="001A7ABA" w:rsidRDefault="001A7ABA">
      <w:pPr>
        <w:numPr>
          <w:ilvl w:val="0"/>
          <w:numId w:val="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Produce a complete, professional AUP that covers every element in the brief.</w:t>
      </w:r>
    </w:p>
    <w:p w14:paraId="41B6A937" w14:textId="77777777" w:rsidR="001A7ABA" w:rsidRDefault="001A7ABA">
      <w:pPr>
        <w:numPr>
          <w:ilvl w:val="0"/>
          <w:numId w:val="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Base the policy on recognised standards and applicable law, not on opinion.</w:t>
      </w:r>
    </w:p>
    <w:p w14:paraId="17867375" w14:textId="77777777" w:rsidR="001A7ABA" w:rsidRDefault="001A7ABA">
      <w:pPr>
        <w:numPr>
          <w:ilvl w:val="0"/>
          <w:numId w:val="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Make the policy practical for a small organisation, with clear rules, specific timeframes and named contacts.</w:t>
      </w:r>
    </w:p>
    <w:p w14:paraId="1C080621" w14:textId="77777777" w:rsidR="001A7ABA" w:rsidRDefault="001A7ABA">
      <w:pPr>
        <w:numPr>
          <w:ilvl w:val="0"/>
          <w:numId w:val="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Provide supporting material that makes the policy usable: diagrams, forms and checklists.</w:t>
      </w:r>
    </w:p>
    <w:p w14:paraId="7ADFE36C" w14:textId="77777777" w:rsidR="001A7ABA" w:rsidRDefault="001A7ABA">
      <w:pPr>
        <w:numPr>
          <w:ilvl w:val="0"/>
          <w:numId w:val="1"/>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Evaluate the policy honestly and document its limitations.</w:t>
      </w:r>
    </w:p>
    <w:p w14:paraId="7A24925A" w14:textId="77777777" w:rsidR="001A7ABA" w:rsidRDefault="001A7ABA">
      <w:pPr>
        <w:pStyle w:val="Heading3"/>
        <w:rPr>
          <w:rFonts w:ascii="Calibri" w:eastAsia="Times New Roman" w:hAnsi="Calibri" w:cs="Calibri"/>
        </w:rPr>
      </w:pPr>
      <w:r>
        <w:rPr>
          <w:rFonts w:ascii="Calibri" w:eastAsia="Times New Roman" w:hAnsi="Calibri" w:cs="Calibri"/>
        </w:rPr>
        <w:t>1.3 Why an AUP matters</w:t>
      </w:r>
    </w:p>
    <w:p w14:paraId="680F8B17"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 xml:space="preserve">An AUP is the document that turns an organisation's security goals into rules for everyday behaviour. People are central to most security failures. Verizon's </w:t>
      </w:r>
      <w:r>
        <w:rPr>
          <w:rStyle w:val="Emphasis"/>
          <w:rFonts w:ascii="Calibri" w:hAnsi="Calibri" w:cs="Calibri"/>
          <w:color w:val="1A1A1A"/>
          <w:sz w:val="22"/>
          <w:szCs w:val="22"/>
        </w:rPr>
        <w:t>2024 Data Breach Investigations Report</w:t>
      </w:r>
      <w:r>
        <w:rPr>
          <w:rFonts w:ascii="Calibri" w:hAnsi="Calibri" w:cs="Calibri"/>
          <w:color w:val="1A1A1A"/>
          <w:sz w:val="22"/>
          <w:szCs w:val="22"/>
        </w:rPr>
        <w:t xml:space="preserve"> </w:t>
      </w:r>
      <w:r>
        <w:rPr>
          <w:rFonts w:ascii="Calibri" w:hAnsi="Calibri" w:cs="Calibri"/>
          <w:color w:val="1A1A1A"/>
          <w:sz w:val="22"/>
          <w:szCs w:val="22"/>
        </w:rPr>
        <w:t>found that 68% of breaches involved a non-malicious human element, such as falling for phishing or making an error. Formal "rules of behaviour" for users are a baseline control in both ISO/IEC 27002:2022 (control 5.10) and NIST SP 800-53 (control PL-4).</w:t>
      </w:r>
    </w:p>
    <w:p w14:paraId="3757F00F"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Small research organisations face a particular mix of risks:</w:t>
      </w:r>
    </w:p>
    <w:p w14:paraId="43A14F35" w14:textId="77777777" w:rsidR="001A7ABA" w:rsidRDefault="001A7ABA">
      <w:pPr>
        <w:numPr>
          <w:ilvl w:val="0"/>
          <w:numId w:val="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They hold sensitive research participant data and unpublished intellectual property.</w:t>
      </w:r>
    </w:p>
    <w:p w14:paraId="1E688357" w14:textId="77777777" w:rsidR="001A7ABA" w:rsidRDefault="001A7ABA">
      <w:pPr>
        <w:numPr>
          <w:ilvl w:val="0"/>
          <w:numId w:val="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They have many short-term users, such as interns and visiting researchers.</w:t>
      </w:r>
    </w:p>
    <w:p w14:paraId="2A836757" w14:textId="77777777" w:rsidR="001A7ABA" w:rsidRDefault="001A7ABA">
      <w:pPr>
        <w:numPr>
          <w:ilvl w:val="0"/>
          <w:numId w:val="2"/>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They usually have very little IT staff.</w:t>
      </w:r>
    </w:p>
    <w:p w14:paraId="0E203A11"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A clear AUP is one of the most cost-effective controls for organisations like this.</w:t>
      </w:r>
    </w:p>
    <w:p w14:paraId="05606044" w14:textId="77777777" w:rsidR="001A7ABA" w:rsidRDefault="001A7ABA">
      <w:pPr>
        <w:pStyle w:val="Heading2"/>
        <w:rPr>
          <w:rFonts w:ascii="Calibri" w:eastAsia="Times New Roman" w:hAnsi="Calibri" w:cs="Calibri"/>
        </w:rPr>
      </w:pPr>
      <w:bookmarkStart w:id="2" w:name="_Toc243216972"/>
      <w:r>
        <w:rPr>
          <w:rFonts w:ascii="Calibri" w:eastAsia="Times New Roman" w:hAnsi="Calibri" w:cs="Calibri"/>
        </w:rPr>
        <w:t>2. Background Research</w:t>
      </w:r>
      <w:bookmarkEnd w:id="2"/>
    </w:p>
    <w:p w14:paraId="5D59CC1F" w14:textId="77777777" w:rsidR="001A7ABA" w:rsidRDefault="001A7ABA">
      <w:pPr>
        <w:pStyle w:val="Heading3"/>
        <w:rPr>
          <w:rFonts w:ascii="Calibri" w:eastAsia="Times New Roman" w:hAnsi="Calibri" w:cs="Calibri"/>
        </w:rPr>
      </w:pPr>
      <w:r>
        <w:rPr>
          <w:rFonts w:ascii="Calibri" w:eastAsia="Times New Roman" w:hAnsi="Calibri" w:cs="Calibri"/>
        </w:rPr>
        <w:t>2.1 Standards and frameworks reviewed</w:t>
      </w:r>
    </w:p>
    <w:tbl>
      <w:tblPr>
        <w:tblW w:w="5000" w:type="pct"/>
        <w:tblCellMar>
          <w:top w:w="15" w:type="dxa"/>
          <w:left w:w="15" w:type="dxa"/>
          <w:bottom w:w="15" w:type="dxa"/>
          <w:right w:w="15" w:type="dxa"/>
        </w:tblCellMar>
        <w:tblLook w:val="04A0" w:firstRow="1" w:lastRow="0" w:firstColumn="1" w:lastColumn="0" w:noHBand="0" w:noVBand="1"/>
      </w:tblPr>
      <w:tblGrid>
        <w:gridCol w:w="1699"/>
        <w:gridCol w:w="7697"/>
      </w:tblGrid>
      <w:tr w:rsidR="00000000" w14:paraId="01B535FF"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58F89CAC"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lastRenderedPageBreak/>
              <w:t>Source</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549F6366"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What it contributed</w:t>
            </w:r>
          </w:p>
        </w:tc>
      </w:tr>
      <w:tr w:rsidR="00000000" w14:paraId="437A381D"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FE5275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ISO/IEC 27001:2022 and 27002:2022</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5240FA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Control 5.10 (acceptable use) is the anchor for the policy. Related controls shaped specific sections: 5.12–5.14 (classification, labelling, transfer), 5.17 (authentication information), 6.4 (disciplinary process), 6.7 (remote working), 6.8 (event reporting), 8.1 (user endpoint devices) and 8.15–8.16 (logging, monitoring).</w:t>
            </w:r>
          </w:p>
        </w:tc>
      </w:tr>
      <w:tr w:rsidR="00000000" w14:paraId="2B6F47C8"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2C7895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NIST SP 800-53 Rev. 5</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BEC185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PL-4 Rules of Behavior (the formal basis for an AUP and its acknowledgement), AC-8 System Use Notification (the sign-in monitoring notice), PS-6 Access Agreements, PS-8 Personnel Sanctions (graduated consequences) and IR-6 Incident Reporting.</w:t>
            </w:r>
          </w:p>
        </w:tc>
      </w:tr>
      <w:tr w:rsidR="00000000" w14:paraId="1FA45115"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7218CB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NIST SP 800-63B-4 (2025)</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D1FFFC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Password guidance: favour length and use password managers, do not force periodic changes without evidence of compromise, and use phishing-resistant MFA where possible.</w:t>
            </w:r>
          </w:p>
        </w:tc>
      </w:tr>
      <w:tr w:rsidR="00000000" w14:paraId="78FB7C9C"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DC759A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NIST SP 800-61 Rev. 3 (2025)</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3C789B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Incident response as part of risk management. This informed the reporting steps and the "lessons learned" stage.</w:t>
            </w:r>
          </w:p>
        </w:tc>
      </w:tr>
      <w:tr w:rsidR="00000000" w14:paraId="7B41F686"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2E856E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NIST SP 800-88 Rev. 2 (2025)</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65B651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Media sanitisation, referenced for secure device disposal.</w:t>
            </w:r>
          </w:p>
        </w:tc>
      </w:tr>
      <w:tr w:rsidR="00000000" w14:paraId="2EF73B6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C9B645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CIS Controls v8.1</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06572F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 prioritised, practical view suited to small organisations. In particular: Control 3 (Data Protection), 5 (Account Management), 14 (Security Awareness) and 17 (Incident Response Management).</w:t>
            </w:r>
          </w:p>
        </w:tc>
      </w:tr>
      <w:tr w:rsidR="00000000" w14:paraId="72616BBF"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DAEAC91"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SANS AUP template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11F21D4"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 comparison of common AUP structure and wording.</w:t>
            </w:r>
          </w:p>
        </w:tc>
      </w:tr>
    </w:tbl>
    <w:p w14:paraId="1E6F8543" w14:textId="77777777" w:rsidR="001A7ABA" w:rsidRDefault="001A7ABA">
      <w:pPr>
        <w:pStyle w:val="Heading3"/>
        <w:rPr>
          <w:rFonts w:ascii="Calibri" w:eastAsia="Times New Roman" w:hAnsi="Calibri" w:cs="Calibri"/>
        </w:rPr>
      </w:pPr>
      <w:r>
        <w:rPr>
          <w:rFonts w:ascii="Calibri" w:eastAsia="Times New Roman" w:hAnsi="Calibri" w:cs="Calibri"/>
        </w:rPr>
        <w:t>2.2 Legal context (India)</w:t>
      </w:r>
    </w:p>
    <w:p w14:paraId="37580D05"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RedKross Research Foundation is based in India, so the fictional KRI was assumed to operate under Indian law.</w:t>
      </w:r>
    </w:p>
    <w:p w14:paraId="47F83CB4" w14:textId="77777777" w:rsidR="001A7ABA" w:rsidRDefault="001A7ABA">
      <w:pPr>
        <w:numPr>
          <w:ilvl w:val="0"/>
          <w:numId w:val="3"/>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Information Technology Act, 2000.</w:t>
      </w:r>
      <w:r>
        <w:rPr>
          <w:rFonts w:ascii="Calibri" w:eastAsia="Times New Roman" w:hAnsi="Calibri" w:cs="Calibri"/>
          <w:color w:val="1A1A1A"/>
          <w:sz w:val="22"/>
          <w:szCs w:val="22"/>
        </w:rPr>
        <w:t xml:space="preserve"> Defines offences such as unauthorised access and data theft. This is relevant to Level 4 breaches.</w:t>
      </w:r>
    </w:p>
    <w:p w14:paraId="193D8E99" w14:textId="77777777" w:rsidR="001A7ABA" w:rsidRDefault="001A7ABA">
      <w:pPr>
        <w:numPr>
          <w:ilvl w:val="0"/>
          <w:numId w:val="3"/>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Digital Personal Data Protection Act, 2023.</w:t>
      </w:r>
      <w:r>
        <w:rPr>
          <w:rFonts w:ascii="Calibri" w:eastAsia="Times New Roman" w:hAnsi="Calibri" w:cs="Calibri"/>
          <w:color w:val="1A1A1A"/>
          <w:sz w:val="22"/>
          <w:szCs w:val="22"/>
        </w:rPr>
        <w:t xml:space="preserve"> Governs the processing of personal data, including research participant data. It shaped data minimisation, purpose limitation and breach notification.</w:t>
      </w:r>
    </w:p>
    <w:p w14:paraId="699448D0" w14:textId="77777777" w:rsidR="001A7ABA" w:rsidRDefault="001A7ABA">
      <w:pPr>
        <w:numPr>
          <w:ilvl w:val="0"/>
          <w:numId w:val="3"/>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CERT-In Directions (28 April 2022) under section 70B(6) of the IT Act.</w:t>
      </w:r>
      <w:r>
        <w:rPr>
          <w:rFonts w:ascii="Calibri" w:eastAsia="Times New Roman" w:hAnsi="Calibri" w:cs="Calibri"/>
          <w:color w:val="1A1A1A"/>
          <w:sz w:val="22"/>
          <w:szCs w:val="22"/>
        </w:rPr>
        <w:t xml:space="preserve"> Require specified cyber incidents to be reported to CERT-In within 6 hours, and ICT system logs to be kept for 180 days. The policy's 12-month log retention exceeds this.</w:t>
      </w:r>
    </w:p>
    <w:p w14:paraId="78BA4D78" w14:textId="77777777" w:rsidR="001A7ABA" w:rsidRDefault="001A7ABA">
      <w:pPr>
        <w:numPr>
          <w:ilvl w:val="0"/>
          <w:numId w:val="3"/>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GDPR.</w:t>
      </w:r>
      <w:r>
        <w:rPr>
          <w:rFonts w:ascii="Calibri" w:eastAsia="Times New Roman" w:hAnsi="Calibri" w:cs="Calibri"/>
          <w:color w:val="1A1A1A"/>
          <w:sz w:val="22"/>
          <w:szCs w:val="22"/>
        </w:rPr>
        <w:t xml:space="preserve"> Mentioned for projects involving EU participants.</w:t>
      </w:r>
    </w:p>
    <w:p w14:paraId="1E3AE2BE" w14:textId="77777777" w:rsidR="001A7ABA" w:rsidRDefault="001A7ABA">
      <w:pPr>
        <w:pStyle w:val="Heading3"/>
        <w:rPr>
          <w:rFonts w:ascii="Calibri" w:eastAsia="Times New Roman" w:hAnsi="Calibri" w:cs="Calibri"/>
        </w:rPr>
      </w:pPr>
      <w:r>
        <w:rPr>
          <w:rFonts w:ascii="Calibri" w:eastAsia="Times New Roman" w:hAnsi="Calibri" w:cs="Calibri"/>
        </w:rPr>
        <w:t>2.3 Key design insights from the research</w:t>
      </w:r>
    </w:p>
    <w:p w14:paraId="54194719" w14:textId="77777777" w:rsidR="001A7ABA" w:rsidRDefault="001A7ABA">
      <w:pPr>
        <w:numPr>
          <w:ilvl w:val="0"/>
          <w:numId w:val="4"/>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An AUP must balance control and trust.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Research organisations depend on openness. Rules that are too strict encourage people to work around them ("shadow IT"), so the policy explains </w:t>
      </w:r>
      <w:r>
        <w:rPr>
          <w:rStyle w:val="Emphasis"/>
          <w:rFonts w:ascii="Calibri" w:eastAsia="Times New Roman" w:hAnsi="Calibri" w:cs="Calibri"/>
          <w:color w:val="1A1A1A"/>
          <w:sz w:val="22"/>
          <w:szCs w:val="22"/>
        </w:rPr>
        <w:t>why</w:t>
      </w:r>
      <w:r>
        <w:rPr>
          <w:rFonts w:ascii="Calibri" w:eastAsia="Times New Roman" w:hAnsi="Calibri" w:cs="Calibri"/>
          <w:color w:val="1A1A1A"/>
          <w:sz w:val="22"/>
          <w:szCs w:val="22"/>
        </w:rPr>
        <w:t xml:space="preserve"> each rule exists and includes an exception route.</w:t>
      </w:r>
    </w:p>
    <w:p w14:paraId="68C96D23" w14:textId="77777777" w:rsidR="001A7ABA" w:rsidRDefault="001A7ABA">
      <w:pPr>
        <w:numPr>
          <w:ilvl w:val="0"/>
          <w:numId w:val="4"/>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Monitoring must be transparent and proportionate.</w:t>
      </w:r>
      <w:r>
        <w:rPr>
          <w:rFonts w:ascii="Calibri" w:eastAsia="Times New Roman" w:hAnsi="Calibri" w:cs="Calibri"/>
          <w:color w:val="1A1A1A"/>
          <w:sz w:val="22"/>
          <w:szCs w:val="22"/>
        </w:rPr>
        <w:t xml:space="preserve"> NIST AC-8 and data-protection principles both require users to be told about monitoring. The policy therefore lists what is monitored, what is </w:t>
      </w:r>
      <w:r>
        <w:rPr>
          <w:rStyle w:val="Emphasis"/>
          <w:rFonts w:ascii="Calibri" w:eastAsia="Times New Roman" w:hAnsi="Calibri" w:cs="Calibri"/>
          <w:color w:val="1A1A1A"/>
          <w:sz w:val="22"/>
          <w:szCs w:val="22"/>
        </w:rPr>
        <w:t>not</w:t>
      </w:r>
      <w:r>
        <w:rPr>
          <w:rFonts w:ascii="Calibri" w:eastAsia="Times New Roman" w:hAnsi="Calibri" w:cs="Calibri"/>
          <w:color w:val="1A1A1A"/>
          <w:sz w:val="22"/>
          <w:szCs w:val="22"/>
        </w:rPr>
        <w:t xml:space="preserve"> monitored, and who must approve access to content.</w:t>
      </w:r>
    </w:p>
    <w:p w14:paraId="126CB681" w14:textId="77777777" w:rsidR="001A7ABA" w:rsidRDefault="001A7ABA">
      <w:pPr>
        <w:numPr>
          <w:ilvl w:val="0"/>
          <w:numId w:val="4"/>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Reporting needs a no-blame culture.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Fear of punishment delays reporting. The policy states that good-faith reports will not on their own lead to disciplinary action, while concealment is a breach.</w:t>
      </w:r>
    </w:p>
    <w:p w14:paraId="6FA21DB8" w14:textId="77777777" w:rsidR="001A7ABA" w:rsidRDefault="001A7ABA">
      <w:pPr>
        <w:numPr>
          <w:ilvl w:val="0"/>
          <w:numId w:val="4"/>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lastRenderedPageBreak/>
        <w:t>Consequences must be graduated and fair.</w:t>
      </w:r>
      <w:r>
        <w:rPr>
          <w:rFonts w:ascii="Calibri" w:eastAsia="Times New Roman" w:hAnsi="Calibri" w:cs="Calibri"/>
          <w:color w:val="1A1A1A"/>
          <w:sz w:val="22"/>
          <w:szCs w:val="22"/>
        </w:rPr>
        <w:t xml:space="preserve"> NIST PS-8 and ISO 6.4 call for a formal, proportionate sanctions process. A four-level model with a right of appeal was chosen.</w:t>
      </w:r>
    </w:p>
    <w:p w14:paraId="395B1827" w14:textId="77777777" w:rsidR="001A7ABA" w:rsidRDefault="001A7ABA">
      <w:pPr>
        <w:numPr>
          <w:ilvl w:val="0"/>
          <w:numId w:val="4"/>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New risks need explicit rules.</w:t>
      </w:r>
      <w:r>
        <w:rPr>
          <w:rFonts w:ascii="Calibri" w:eastAsia="Times New Roman" w:hAnsi="Calibri" w:cs="Calibri"/>
          <w:color w:val="1A1A1A"/>
          <w:sz w:val="22"/>
          <w:szCs w:val="22"/>
        </w:rPr>
        <w:t xml:space="preserve"> Generative AI tools and personal cloud services are now common routes for data leakage, so they are covered explicitly in Sections 5.4–5.5.</w:t>
      </w:r>
    </w:p>
    <w:p w14:paraId="76BA50D4" w14:textId="77777777" w:rsidR="001A7ABA" w:rsidRDefault="001A7ABA">
      <w:pPr>
        <w:pStyle w:val="Heading2"/>
        <w:rPr>
          <w:rFonts w:ascii="Calibri" w:eastAsia="Times New Roman" w:hAnsi="Calibri" w:cs="Calibri"/>
        </w:rPr>
      </w:pPr>
      <w:bookmarkStart w:id="3" w:name="_Toc243216973"/>
      <w:r>
        <w:rPr>
          <w:rFonts w:ascii="Calibri" w:eastAsia="Times New Roman" w:hAnsi="Calibri" w:cs="Calibri"/>
        </w:rPr>
        <w:t>3. Methodology</w:t>
      </w:r>
      <w:bookmarkEnd w:id="3"/>
    </w:p>
    <w:p w14:paraId="64BBCBDA"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The work followed eight steps.</w:t>
      </w:r>
    </w:p>
    <w:tbl>
      <w:tblPr>
        <w:tblW w:w="5000" w:type="pct"/>
        <w:tblCellMar>
          <w:top w:w="15" w:type="dxa"/>
          <w:left w:w="15" w:type="dxa"/>
          <w:bottom w:w="15" w:type="dxa"/>
          <w:right w:w="15" w:type="dxa"/>
        </w:tblCellMar>
        <w:tblLook w:val="04A0" w:firstRow="1" w:lastRow="0" w:firstColumn="1" w:lastColumn="0" w:noHBand="0" w:noVBand="1"/>
      </w:tblPr>
      <w:tblGrid>
        <w:gridCol w:w="1655"/>
        <w:gridCol w:w="4668"/>
        <w:gridCol w:w="3073"/>
      </w:tblGrid>
      <w:tr w:rsidR="00000000" w14:paraId="3D8660C6"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13884756"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Step</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6E255940"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Activity</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29DDD022"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Output</w:t>
            </w:r>
          </w:p>
        </w:tc>
      </w:tr>
      <w:tr w:rsidR="00000000" w14:paraId="63EF194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73B5D2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 Requirement analysis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B71771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Broke the task brief down into 13 required elements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AF3541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Traceability matrix (Section 6.1)</w:t>
            </w:r>
          </w:p>
        </w:tc>
      </w:tr>
      <w:tr w:rsidR="00000000" w14:paraId="6E3AA25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6A9A7E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2. Background research</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59B7DC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Reviewed the standards, laws and templates in Section 2</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935C10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Source list and design insights</w:t>
            </w:r>
          </w:p>
        </w:tc>
      </w:tr>
      <w:tr w:rsidR="00000000" w14:paraId="10C372C0"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A731FC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3. Organisation profiling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D95E67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Defined a fictional but realistic organisation, so the policy could be specific without using real organisation data</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AB805C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KRI profile (Section 3.1)</w:t>
            </w:r>
          </w:p>
        </w:tc>
      </w:tr>
      <w:tr w:rsidR="00000000" w14:paraId="543AE106"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515EB1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4. Risk identification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4E8CC2A"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Identified the main user-behaviour risks for a small research organisation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1ED35F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Risk-to-policy mapping (Section 3.2)</w:t>
            </w:r>
          </w:p>
        </w:tc>
      </w:tr>
      <w:tr w:rsidR="00000000" w14:paraId="264B840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1D77CC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 Drafting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2DB5AE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Wrote the policy using requirement language (</w:t>
            </w:r>
            <w:r>
              <w:rPr>
                <w:rStyle w:val="Emphasis"/>
                <w:rFonts w:ascii="Calibri" w:eastAsia="Times New Roman" w:hAnsi="Calibri" w:cs="Calibri"/>
                <w:color w:val="1A1A1A"/>
                <w:sz w:val="20"/>
                <w:szCs w:val="20"/>
              </w:rPr>
              <w:t>must/should/may</w:t>
            </w:r>
            <w:r>
              <w:rPr>
                <w:rFonts w:ascii="Calibri" w:eastAsia="Times New Roman" w:hAnsi="Calibri" w:cs="Calibri"/>
                <w:color w:val="1A1A1A"/>
                <w:sz w:val="20"/>
                <w:szCs w:val="20"/>
              </w:rPr>
              <w:t>), plain English, tables and specific timeframes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43A2933"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policy/KRI-Acceptable-Use-Policy.md</w:t>
            </w:r>
          </w:p>
        </w:tc>
      </w:tr>
      <w:tr w:rsidR="00000000" w14:paraId="6D8A0D52"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A15266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6. Supporting artefacts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8705002"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Created process diagrams, an acknowledgement form, an exception form and checklists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7BA34D7"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diagrams/</w:t>
            </w:r>
            <w:r>
              <w:rPr>
                <w:rFonts w:ascii="Calibri" w:eastAsia="Times New Roman" w:hAnsi="Calibri" w:cs="Calibri"/>
                <w:color w:val="1A1A1A"/>
                <w:sz w:val="20"/>
                <w:szCs w:val="20"/>
              </w:rPr>
              <w:t xml:space="preserve">, </w:t>
            </w:r>
            <w:r>
              <w:rPr>
                <w:rStyle w:val="HTMLCode"/>
                <w:color w:val="1A1A1A"/>
              </w:rPr>
              <w:t>forms/</w:t>
            </w:r>
            <w:r>
              <w:rPr>
                <w:rFonts w:ascii="Calibri" w:eastAsia="Times New Roman" w:hAnsi="Calibri" w:cs="Calibri"/>
                <w:color w:val="1A1A1A"/>
                <w:sz w:val="20"/>
                <w:szCs w:val="20"/>
              </w:rPr>
              <w:t xml:space="preserve">, </w:t>
            </w:r>
            <w:r>
              <w:rPr>
                <w:rStyle w:val="HTMLCode"/>
                <w:color w:val="1A1A1A"/>
              </w:rPr>
              <w:t>checklists/</w:t>
            </w:r>
          </w:p>
        </w:tc>
      </w:tr>
      <w:tr w:rsidR="00000000" w14:paraId="67BDC62D"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42DEE3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7. Evaluation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1195FE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Wrote and ran an automated check script, and carried out a manual consistency review</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5819855"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evaluation/policy-check-results.md</w:t>
            </w:r>
            <w:r>
              <w:rPr>
                <w:rFonts w:ascii="Calibri" w:eastAsia="Times New Roman" w:hAnsi="Calibri" w:cs="Calibri"/>
                <w:color w:val="1A1A1A"/>
                <w:sz w:val="20"/>
                <w:szCs w:val="20"/>
              </w:rPr>
              <w:t>, Section 7</w:t>
            </w:r>
          </w:p>
        </w:tc>
      </w:tr>
      <w:tr w:rsidR="00000000" w14:paraId="2FD912B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6688941"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8. Publication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3668BC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Exported DOCX and PDF versions, organised the GitHub repository and wrote the README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00E4E28"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policy/*.docx</w:t>
            </w:r>
            <w:r>
              <w:rPr>
                <w:rFonts w:ascii="Calibri" w:eastAsia="Times New Roman" w:hAnsi="Calibri" w:cs="Calibri"/>
                <w:color w:val="1A1A1A"/>
                <w:sz w:val="20"/>
                <w:szCs w:val="20"/>
              </w:rPr>
              <w:t xml:space="preserve">, </w:t>
            </w:r>
            <w:r>
              <w:rPr>
                <w:rStyle w:val="HTMLCode"/>
                <w:color w:val="1A1A1A"/>
              </w:rPr>
              <w:t>policy/*.pdf</w:t>
            </w:r>
            <w:r>
              <w:rPr>
                <w:rFonts w:ascii="Calibri" w:eastAsia="Times New Roman" w:hAnsi="Calibri" w:cs="Calibri"/>
                <w:color w:val="1A1A1A"/>
                <w:sz w:val="20"/>
                <w:szCs w:val="20"/>
              </w:rPr>
              <w:t xml:space="preserve">, </w:t>
            </w:r>
            <w:r>
              <w:rPr>
                <w:rStyle w:val="HTMLCode"/>
                <w:color w:val="1A1A1A"/>
              </w:rPr>
              <w:t>README.md</w:t>
            </w:r>
          </w:p>
        </w:tc>
      </w:tr>
    </w:tbl>
    <w:p w14:paraId="35B013E8" w14:textId="77777777" w:rsidR="001A7ABA" w:rsidRDefault="001A7ABA">
      <w:pPr>
        <w:pStyle w:val="Heading3"/>
        <w:rPr>
          <w:rFonts w:ascii="Calibri" w:eastAsia="Times New Roman" w:hAnsi="Calibri" w:cs="Calibri"/>
        </w:rPr>
      </w:pPr>
      <w:r>
        <w:rPr>
          <w:rFonts w:ascii="Calibri" w:eastAsia="Times New Roman" w:hAnsi="Calibri" w:cs="Calibri"/>
        </w:rPr>
        <w:t>3.1 Organisation profile (assumptions)</w:t>
      </w:r>
    </w:p>
    <w:tbl>
      <w:tblPr>
        <w:tblW w:w="5000" w:type="pct"/>
        <w:tblCellMar>
          <w:top w:w="15" w:type="dxa"/>
          <w:left w:w="15" w:type="dxa"/>
          <w:bottom w:w="15" w:type="dxa"/>
          <w:right w:w="15" w:type="dxa"/>
        </w:tblCellMar>
        <w:tblLook w:val="04A0" w:firstRow="1" w:lastRow="0" w:firstColumn="1" w:lastColumn="0" w:noHBand="0" w:noVBand="1"/>
      </w:tblPr>
      <w:tblGrid>
        <w:gridCol w:w="1222"/>
        <w:gridCol w:w="8174"/>
      </w:tblGrid>
      <w:tr w:rsidR="00000000" w14:paraId="67D4F418"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3EF876CF"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Attribute</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5CF2C0A2"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Assumption</w:t>
            </w:r>
          </w:p>
        </w:tc>
      </w:tr>
      <w:tr w:rsidR="00000000" w14:paraId="00F80B94"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FA5367A"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Name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027C68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 xml:space="preserve">Kestrelwood Research Institute (KRI). Fictional. Contact details use the reserved </w:t>
            </w:r>
            <w:r>
              <w:rPr>
                <w:rStyle w:val="HTMLCode"/>
                <w:color w:val="1A1A1A"/>
              </w:rPr>
              <w:t>.example</w:t>
            </w:r>
            <w:r>
              <w:rPr>
                <w:rFonts w:ascii="Calibri" w:eastAsia="Times New Roman" w:hAnsi="Calibri" w:cs="Calibri"/>
                <w:color w:val="1A1A1A"/>
                <w:sz w:val="20"/>
                <w:szCs w:val="20"/>
              </w:rPr>
              <w:t xml:space="preserve"> domain.</w:t>
            </w:r>
          </w:p>
        </w:tc>
      </w:tr>
      <w:tr w:rsidR="00000000" w14:paraId="14203D0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6E0DAC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Size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B35A5A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About 30 users: researchers, research assistants, interns, visiting collaborators, operations staff and a two-person IT team</w:t>
            </w:r>
          </w:p>
        </w:tc>
      </w:tr>
      <w:tr w:rsidR="00000000" w14:paraId="1BCFF142"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3D0FA3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Data</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31C32A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Research participant personal data (some health-related), unpublished results, grant applications, HR and financial records</w:t>
            </w:r>
          </w:p>
        </w:tc>
      </w:tr>
      <w:tr w:rsidR="00000000" w14:paraId="2FB03F9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3673AA2"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Technology</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A41218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Cloud email and collaboration suite, managed laptops, staff and guest Wi-Fi, VPN, shared research server, computers attached to lab instruments, limited use of personal phones</w:t>
            </w:r>
          </w:p>
        </w:tc>
      </w:tr>
      <w:tr w:rsidR="00000000" w14:paraId="71F9AA9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7844DF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Governance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9AFA27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Executive Director, Board of Trustees, an Information Security Lead (part-time role), HR</w:t>
            </w:r>
          </w:p>
        </w:tc>
      </w:tr>
      <w:tr w:rsidR="00000000" w14:paraId="54D4482E"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212558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Jurisdiction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466BFA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India, with occasional international collaborators</w:t>
            </w:r>
          </w:p>
        </w:tc>
      </w:tr>
    </w:tbl>
    <w:p w14:paraId="6EE201F9" w14:textId="77777777" w:rsidR="001A7ABA" w:rsidRDefault="001A7ABA">
      <w:pPr>
        <w:pStyle w:val="Heading3"/>
        <w:rPr>
          <w:rFonts w:ascii="Calibri" w:eastAsia="Times New Roman" w:hAnsi="Calibri" w:cs="Calibri"/>
        </w:rPr>
      </w:pPr>
      <w:r>
        <w:rPr>
          <w:rFonts w:ascii="Calibri" w:eastAsia="Times New Roman" w:hAnsi="Calibri" w:cs="Calibri"/>
        </w:rPr>
        <w:t>3.2 Key risks and policy response</w:t>
      </w:r>
    </w:p>
    <w:tbl>
      <w:tblPr>
        <w:tblW w:w="5000" w:type="pct"/>
        <w:tblCellMar>
          <w:top w:w="15" w:type="dxa"/>
          <w:left w:w="15" w:type="dxa"/>
          <w:bottom w:w="15" w:type="dxa"/>
          <w:right w:w="15" w:type="dxa"/>
        </w:tblCellMar>
        <w:tblLook w:val="04A0" w:firstRow="1" w:lastRow="0" w:firstColumn="1" w:lastColumn="0" w:noHBand="0" w:noVBand="1"/>
      </w:tblPr>
      <w:tblGrid>
        <w:gridCol w:w="3304"/>
        <w:gridCol w:w="6092"/>
      </w:tblGrid>
      <w:tr w:rsidR="00000000" w14:paraId="56068EA4"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6F72918F"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Risk</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19470E91"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Policy controls (section)</w:t>
            </w:r>
          </w:p>
        </w:tc>
      </w:tr>
      <w:tr w:rsidR="00000000" w14:paraId="296D24C0"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49B0BB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Phishing and credential theft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B1E033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Passphrases, password manager and MFA; never approve unexpected MFA prompts; Report Phishing button (7.2, 7.3, 10.2)</w:t>
            </w:r>
          </w:p>
        </w:tc>
      </w:tr>
      <w:tr w:rsidR="00000000" w14:paraId="6971B5AD"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B27AB32"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Lost or stolen laptops and phones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BDF8804"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Encryption, screen lock, report within 1 hour, remote wipe (8.1–8.3)</w:t>
            </w:r>
          </w:p>
        </w:tc>
      </w:tr>
      <w:tr w:rsidR="00000000" w14:paraId="23E4D64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A539ED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Data leakage through personal email, cloud services or AI tools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50174A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Approved Services List; no auto-forwarding; AI rules; classification-based handling (5.3–5.5, 9)</w:t>
            </w:r>
          </w:p>
        </w:tc>
      </w:tr>
      <w:tr w:rsidR="00000000" w14:paraId="51649508"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CFD30B2"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Mishandling of participant data</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841DA6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Restricted classification; data minimisation; pseudonymisation; no re-identification (6.2, 9.1, 9.2)</w:t>
            </w:r>
          </w:p>
        </w:tc>
      </w:tr>
      <w:tr w:rsidR="00000000" w14:paraId="0B60F9A5"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AB6382A"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Unpatched or unmanaged devices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B95581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Updates within 7 days; BYOD minimum requirements; exceptions for lab instruments with compensating controls (8.1, 8.2, 13)</w:t>
            </w:r>
          </w:p>
        </w:tc>
      </w:tr>
      <w:tr w:rsidR="00000000" w14:paraId="47F4E6D3"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255E484"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Insider misuse or unauthorised testing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42C70E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Prohibited actions; written authorisation for security tools; monitoring; graduated sanctions (6, 11, 12)</w:t>
            </w:r>
          </w:p>
        </w:tc>
      </w:tr>
      <w:tr w:rsidR="00000000" w14:paraId="340E7772"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948055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Delayed or hidden incidents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B02C362"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No-blame reporting; concealment is a breach; clear contacts and timeframes (6.5, 10)</w:t>
            </w:r>
          </w:p>
        </w:tc>
      </w:tr>
      <w:tr w:rsidR="00000000" w14:paraId="300167D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A09192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Leavers keeping access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A176EC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Accounts disabled on the last working day; six-monthly access reviews (7.5)</w:t>
            </w:r>
          </w:p>
        </w:tc>
      </w:tr>
    </w:tbl>
    <w:p w14:paraId="40F968A4" w14:textId="77777777" w:rsidR="001A7ABA" w:rsidRDefault="001A7ABA">
      <w:pPr>
        <w:pStyle w:val="Heading2"/>
        <w:rPr>
          <w:rFonts w:ascii="Calibri" w:eastAsia="Times New Roman" w:hAnsi="Calibri" w:cs="Calibri"/>
        </w:rPr>
      </w:pPr>
      <w:bookmarkStart w:id="4" w:name="_Toc243216974"/>
      <w:r>
        <w:rPr>
          <w:rFonts w:ascii="Calibri" w:eastAsia="Times New Roman" w:hAnsi="Calibri" w:cs="Calibri"/>
        </w:rPr>
        <w:t>4. Tools and Technologies</w:t>
      </w:r>
      <w:bookmarkEnd w:id="4"/>
    </w:p>
    <w:tbl>
      <w:tblPr>
        <w:tblW w:w="5000" w:type="pct"/>
        <w:tblCellMar>
          <w:top w:w="15" w:type="dxa"/>
          <w:left w:w="15" w:type="dxa"/>
          <w:bottom w:w="15" w:type="dxa"/>
          <w:right w:w="15" w:type="dxa"/>
        </w:tblCellMar>
        <w:tblLook w:val="04A0" w:firstRow="1" w:lastRow="0" w:firstColumn="1" w:lastColumn="0" w:noHBand="0" w:noVBand="1"/>
      </w:tblPr>
      <w:tblGrid>
        <w:gridCol w:w="2741"/>
        <w:gridCol w:w="6655"/>
      </w:tblGrid>
      <w:tr w:rsidR="00000000" w14:paraId="5A56D560"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3B3024A2"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Tool</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40FA3883"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Purpose</w:t>
            </w:r>
          </w:p>
        </w:tc>
      </w:tr>
      <w:tr w:rsidR="00000000" w14:paraId="30777206"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044B14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Markdown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651856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Source format for all documents. It is readable on GitHub and easy to track with version control.</w:t>
            </w:r>
          </w:p>
        </w:tc>
      </w:tr>
      <w:tr w:rsidR="00000000" w14:paraId="66E565EF"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15E0D3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Visual Studio Code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02F052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Editing</w:t>
            </w:r>
          </w:p>
        </w:tc>
      </w:tr>
      <w:tr w:rsidR="00000000" w14:paraId="39FECBF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984679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 xml:space="preserve">Python 3.13 and the </w:t>
            </w:r>
            <w:r>
              <w:rPr>
                <w:rStyle w:val="HTMLCode"/>
                <w:color w:val="1A1A1A"/>
              </w:rPr>
              <w:t>markdown</w:t>
            </w:r>
            <w:r>
              <w:rPr>
                <w:rFonts w:ascii="Calibri" w:eastAsia="Times New Roman" w:hAnsi="Calibri" w:cs="Calibri"/>
                <w:color w:val="1A1A1A"/>
                <w:sz w:val="20"/>
                <w:szCs w:val="20"/>
              </w:rPr>
              <w:t xml:space="preserve"> package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78665DE"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tools/build_docs.py</w:t>
            </w:r>
            <w:r>
              <w:rPr>
                <w:rFonts w:ascii="Calibri" w:eastAsia="Times New Roman" w:hAnsi="Calibri" w:cs="Calibri"/>
                <w:color w:val="1A1A1A"/>
                <w:sz w:val="20"/>
                <w:szCs w:val="20"/>
              </w:rPr>
              <w:t xml:space="preserve"> (Markdown to HTML) and </w:t>
            </w:r>
            <w:r>
              <w:rPr>
                <w:rStyle w:val="HTMLCode"/>
                <w:color w:val="1A1A1A"/>
              </w:rPr>
              <w:t>tools/policy_check.py</w:t>
            </w:r>
            <w:r>
              <w:rPr>
                <w:rFonts w:ascii="Calibri" w:eastAsia="Times New Roman" w:hAnsi="Calibri" w:cs="Calibri"/>
                <w:color w:val="1A1A1A"/>
                <w:sz w:val="20"/>
                <w:szCs w:val="20"/>
              </w:rPr>
              <w:t xml:space="preserve"> (automated checks)</w:t>
            </w:r>
          </w:p>
        </w:tc>
      </w:tr>
      <w:tr w:rsidR="00000000" w14:paraId="4F4537A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EE3A62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Microsoft Word (automated through PowerShell)</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E6A4E27"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tools/export_word.ps1</w:t>
            </w:r>
            <w:r>
              <w:rPr>
                <w:rFonts w:ascii="Calibri" w:eastAsia="Times New Roman" w:hAnsi="Calibri" w:cs="Calibri"/>
                <w:color w:val="1A1A1A"/>
                <w:sz w:val="20"/>
                <w:szCs w:val="20"/>
              </w:rPr>
              <w:t xml:space="preserve"> converts the HTML into formatted DOCX and PDF, with a table of contents, headers and page numbers</w:t>
            </w:r>
          </w:p>
        </w:tc>
      </w:tr>
      <w:tr w:rsidR="00000000" w14:paraId="224B9E7E"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D75343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SVG and Microsoft Edge (headless mode)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46142C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Process diagrams drawn as SVG and rendered to PNG</w:t>
            </w:r>
          </w:p>
        </w:tc>
      </w:tr>
      <w:tr w:rsidR="00000000" w14:paraId="51101595"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A0C053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Git and GitHub</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A30E6B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Version control and submission</w:t>
            </w:r>
          </w:p>
        </w:tc>
      </w:tr>
      <w:tr w:rsidR="00000000" w14:paraId="599751CF"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118CED1"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AI assistant (Claude)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FC3120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Used for drafting support and structuring. All content was reviewed and checked against the cited sources by the author.</w:t>
            </w:r>
          </w:p>
        </w:tc>
      </w:tr>
    </w:tbl>
    <w:p w14:paraId="1D2A660A" w14:textId="77777777" w:rsidR="001A7ABA" w:rsidRDefault="001A7ABA">
      <w:pPr>
        <w:pStyle w:val="Heading2"/>
        <w:rPr>
          <w:rFonts w:ascii="Calibri" w:eastAsia="Times New Roman" w:hAnsi="Calibri" w:cs="Calibri"/>
        </w:rPr>
      </w:pPr>
      <w:bookmarkStart w:id="5" w:name="_Toc243216975"/>
      <w:r>
        <w:rPr>
          <w:rFonts w:ascii="Calibri" w:eastAsia="Times New Roman" w:hAnsi="Calibri" w:cs="Calibri"/>
        </w:rPr>
        <w:lastRenderedPageBreak/>
        <w:t>5. Work Performed</w:t>
      </w:r>
      <w:bookmarkEnd w:id="5"/>
    </w:p>
    <w:p w14:paraId="7E99606D" w14:textId="77777777" w:rsidR="001A7ABA" w:rsidRDefault="001A7ABA">
      <w:pPr>
        <w:pStyle w:val="Heading3"/>
        <w:rPr>
          <w:rFonts w:ascii="Calibri" w:eastAsia="Times New Roman" w:hAnsi="Calibri" w:cs="Calibri"/>
        </w:rPr>
      </w:pPr>
      <w:r>
        <w:rPr>
          <w:rFonts w:ascii="Calibri" w:eastAsia="Times New Roman" w:hAnsi="Calibri" w:cs="Calibri"/>
        </w:rPr>
        <w:t>5.1 Policy structure</w:t>
      </w:r>
    </w:p>
    <w:p w14:paraId="5D152AC9"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The policy (KRI-ISP-001 v1.0) has the following sections. Each one exists for a specific reason.</w:t>
      </w:r>
    </w:p>
    <w:tbl>
      <w:tblPr>
        <w:tblW w:w="5000" w:type="pct"/>
        <w:tblCellMar>
          <w:top w:w="15" w:type="dxa"/>
          <w:left w:w="15" w:type="dxa"/>
          <w:bottom w:w="15" w:type="dxa"/>
          <w:right w:w="15" w:type="dxa"/>
        </w:tblCellMar>
        <w:tblLook w:val="04A0" w:firstRow="1" w:lastRow="0" w:firstColumn="1" w:lastColumn="0" w:noHBand="0" w:noVBand="1"/>
      </w:tblPr>
      <w:tblGrid>
        <w:gridCol w:w="673"/>
        <w:gridCol w:w="2401"/>
        <w:gridCol w:w="6322"/>
      </w:tblGrid>
      <w:tr w:rsidR="00000000" w14:paraId="310F0AD2"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10173E29"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66B855E7"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Section</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48C462CC"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Design rationale</w:t>
            </w:r>
          </w:p>
        </w:tc>
      </w:tr>
      <w:tr w:rsidR="00000000" w14:paraId="67B39E1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91EE48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132829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Document control and version history</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9C78E8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 professional policy needs an owner, an approver, an effective date and a review date (ISO 5.1)</w:t>
            </w:r>
          </w:p>
        </w:tc>
      </w:tr>
      <w:tr w:rsidR="00000000" w14:paraId="2399A2DA"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0C3E7E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6A3D70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Purpose, including how to read the policy</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67C8F7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Explains why the rules exist. Defines</w:t>
            </w:r>
            <w:r>
              <w:rPr>
                <w:rFonts w:ascii="Calibri" w:eastAsia="Times New Roman" w:hAnsi="Calibri" w:cs="Calibri"/>
                <w:color w:val="1A1A1A"/>
                <w:sz w:val="20"/>
                <w:szCs w:val="20"/>
              </w:rPr>
              <w:t xml:space="preserve"> </w:t>
            </w:r>
            <w:r>
              <w:rPr>
                <w:rStyle w:val="Emphasis"/>
                <w:rFonts w:ascii="Calibri" w:eastAsia="Times New Roman" w:hAnsi="Calibri" w:cs="Calibri"/>
                <w:color w:val="1A1A1A"/>
                <w:sz w:val="20"/>
                <w:szCs w:val="20"/>
              </w:rPr>
              <w:t>must / should / may</w:t>
            </w:r>
            <w:r>
              <w:rPr>
                <w:rFonts w:ascii="Calibri" w:eastAsia="Times New Roman" w:hAnsi="Calibri" w:cs="Calibri"/>
                <w:color w:val="1A1A1A"/>
                <w:sz w:val="20"/>
                <w:szCs w:val="20"/>
              </w:rPr>
              <w:t xml:space="preserve"> so the rules cannot be misread.</w:t>
            </w:r>
          </w:p>
        </w:tc>
      </w:tr>
      <w:tr w:rsidR="00000000" w14:paraId="5621936C"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809432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6625E0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Scope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6BEF09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Covers all user types (including interns and visitors), all asset types (including BYOD), all locations, and the "stricter rule applies" principle for ethics approvals and contracts</w:t>
            </w:r>
          </w:p>
        </w:tc>
      </w:tr>
      <w:tr w:rsidR="00000000" w14:paraId="6062501E"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1216EA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A9EBD0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Definitions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6C6B6D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Removes ambiguity for non-technical readers</w:t>
            </w:r>
          </w:p>
        </w:tc>
      </w:tr>
      <w:tr w:rsidR="00000000" w14:paraId="259A6694"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6A8773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7F1B35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Roles and responsibilities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E7B272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Without named owners, a policy is not enforced. Seven roles are defined.</w:t>
            </w:r>
          </w:p>
        </w:tc>
      </w:tr>
      <w:tr w:rsidR="00000000" w14:paraId="15A624CF"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F5DF9F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34AFCB4"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Acceptable use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ECD50E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 xml:space="preserve">Positive rules first: general principles, limited personal use, email, cloud, </w:t>
            </w:r>
            <w:r>
              <w:rPr>
                <w:rStyle w:val="Strong"/>
                <w:rFonts w:ascii="Calibri" w:eastAsia="Times New Roman" w:hAnsi="Calibri" w:cs="Calibri"/>
                <w:color w:val="1A1A1A"/>
                <w:sz w:val="20"/>
                <w:szCs w:val="20"/>
              </w:rPr>
              <w:t>AI tools</w:t>
            </w:r>
            <w:r>
              <w:rPr>
                <w:rFonts w:ascii="Calibri" w:eastAsia="Times New Roman" w:hAnsi="Calibri" w:cs="Calibri"/>
                <w:color w:val="1A1A1A"/>
                <w:sz w:val="20"/>
                <w:szCs w:val="20"/>
              </w:rPr>
              <w:t>, code and research computing, remote working, social media, clear desk</w:t>
            </w:r>
          </w:p>
        </w:tc>
      </w:tr>
      <w:tr w:rsidR="00000000" w14:paraId="343A877F"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1DEE01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E47590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Prohibited actions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22F1B64"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Grouped into five categories. Includes a controlled route for legitimate research, such as malware analysis.</w:t>
            </w:r>
          </w:p>
        </w:tc>
      </w:tr>
      <w:tr w:rsidR="00000000" w14:paraId="5EBC4DAE"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46CE782"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7</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0FA2DE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Account responsibilities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8C0FD2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Passphrases of 14 or more characters, password manager, MFA, prompt-bombing awareness, separate admin accounts, joiners/movers/leavers, API keys</w:t>
            </w:r>
          </w:p>
        </w:tc>
      </w:tr>
      <w:tr w:rsidR="00000000" w14:paraId="338B5466"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8FCF2D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8</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AFDDC4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Device responsibilities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7F8817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KRI devices, BYOD minimum requirements (with a selective-wipe privacy assurance), loss reporting within 1 hour, removable media, travel, disposal</w:t>
            </w:r>
          </w:p>
        </w:tc>
      </w:tr>
      <w:tr w:rsidR="00000000" w14:paraId="590BEB3B"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331A04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9</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1DF7C3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Data handling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5AE414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Four-level classification table with examples and handling rules, participant data rules, sharing, storage, retention and disposal</w:t>
            </w:r>
          </w:p>
        </w:tc>
      </w:tr>
      <w:tr w:rsidR="00000000" w14:paraId="34825E3E"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94C227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10</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8D39FA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Reporting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9A1854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What, how and when (a tiered table), what to do and not do, no-blame reporting, what happens next (including CERT-In and DPDP notification), Figure 1</w:t>
            </w:r>
          </w:p>
        </w:tc>
      </w:tr>
      <w:tr w:rsidR="00000000" w14:paraId="1F14417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8663084"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11</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35FF01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Monitoring notice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289E49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 xml:space="preserve">Why KRI monitors, what is monitored, </w:t>
            </w:r>
            <w:r>
              <w:rPr>
                <w:rStyle w:val="Strong"/>
                <w:rFonts w:ascii="Calibri" w:eastAsia="Times New Roman" w:hAnsi="Calibri" w:cs="Calibri"/>
                <w:color w:val="1A1A1A"/>
                <w:sz w:val="20"/>
                <w:szCs w:val="20"/>
              </w:rPr>
              <w:t>what KRI will not do</w:t>
            </w:r>
            <w:r>
              <w:rPr>
                <w:rFonts w:ascii="Calibri" w:eastAsia="Times New Roman" w:hAnsi="Calibri" w:cs="Calibri"/>
                <w:color w:val="1A1A1A"/>
                <w:sz w:val="20"/>
                <w:szCs w:val="20"/>
              </w:rPr>
              <w:t>, approval rules for accessing content, privacy, log retention, sign-in banner</w:t>
            </w:r>
          </w:p>
        </w:tc>
      </w:tr>
      <w:tr w:rsidR="00000000" w14:paraId="06A6EF9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7203151"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12</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910EE61"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Consequences and escalation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995E60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Four breach levels with examples, a seven-step escalation process, right of reply and appeal</w:t>
            </w:r>
          </w:p>
        </w:tc>
      </w:tr>
      <w:tr w:rsidR="00000000" w14:paraId="0880238A"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D4150B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13</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DC32BF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Exception process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37988C1"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What cannot be excepted, how to request, risk-based approval table, time limits, Exception Register, Figure 2</w:t>
            </w:r>
          </w:p>
        </w:tc>
      </w:tr>
      <w:tr w:rsidR="00000000" w14:paraId="22A20E9D"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6E02D4A"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14</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13646A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Policy review</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A41352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Annual review (next due 1 November 2027) plus triggers for an earlier review</w:t>
            </w:r>
          </w:p>
        </w:tc>
      </w:tr>
      <w:tr w:rsidR="00000000" w14:paraId="38D0C4FB"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E175BE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15</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12D6F9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Acknowledgement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71F5A1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Mandatory before access is granted, and every year</w:t>
            </w:r>
          </w:p>
        </w:tc>
      </w:tr>
      <w:tr w:rsidR="00000000" w14:paraId="7180E18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C219EB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16</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0D36C0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Related documents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9E56C8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Places the AUP within a wider policy framework</w:t>
            </w:r>
          </w:p>
        </w:tc>
      </w:tr>
      <w:tr w:rsidR="00000000" w14:paraId="07A5B8D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859400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App. A</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2FA1EB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Quick reference (do / don't)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07A1C8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 one-table summary for awareness and posters</w:t>
            </w:r>
          </w:p>
        </w:tc>
      </w:tr>
      <w:tr w:rsidR="00000000" w14:paraId="0C81DAB6"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BB100B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App. B</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075934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Exception request form (summary)</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99FA4C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Links to the full form</w:t>
            </w:r>
          </w:p>
        </w:tc>
      </w:tr>
    </w:tbl>
    <w:p w14:paraId="6CB03F39" w14:textId="77777777" w:rsidR="001A7ABA" w:rsidRDefault="001A7ABA">
      <w:pPr>
        <w:pStyle w:val="Heading3"/>
        <w:rPr>
          <w:rFonts w:ascii="Calibri" w:eastAsia="Times New Roman" w:hAnsi="Calibri" w:cs="Calibri"/>
        </w:rPr>
      </w:pPr>
      <w:r>
        <w:rPr>
          <w:rFonts w:ascii="Calibri" w:eastAsia="Times New Roman" w:hAnsi="Calibri" w:cs="Calibri"/>
        </w:rPr>
        <w:t>5.2 Supporting artefacts</w:t>
      </w:r>
    </w:p>
    <w:tbl>
      <w:tblPr>
        <w:tblW w:w="5000" w:type="pct"/>
        <w:tblCellMar>
          <w:top w:w="15" w:type="dxa"/>
          <w:left w:w="15" w:type="dxa"/>
          <w:bottom w:w="15" w:type="dxa"/>
          <w:right w:w="15" w:type="dxa"/>
        </w:tblCellMar>
        <w:tblLook w:val="04A0" w:firstRow="1" w:lastRow="0" w:firstColumn="1" w:lastColumn="0" w:noHBand="0" w:noVBand="1"/>
      </w:tblPr>
      <w:tblGrid>
        <w:gridCol w:w="3777"/>
        <w:gridCol w:w="5619"/>
      </w:tblGrid>
      <w:tr w:rsidR="00000000" w14:paraId="060EEAB3"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40765602"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File</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16CE5E93"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Description</w:t>
            </w:r>
          </w:p>
        </w:tc>
      </w:tr>
      <w:tr w:rsidR="00000000" w14:paraId="29A7728F"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54E7879"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diagrams/incident-reporting-escalation.svg/.png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E706A3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Figure 1: from noticing an incident, through reporting, triage, the four breach levels and fair process, to lessons learned</w:t>
            </w:r>
          </w:p>
        </w:tc>
      </w:tr>
      <w:tr w:rsidR="00000000" w14:paraId="76812273"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7E2A2BB"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diagrams/exception-process.svg/.png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C899E0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Figure 2: request, risk assessment, risk-based approval, register and expiry</w:t>
            </w:r>
          </w:p>
        </w:tc>
      </w:tr>
      <w:tr w:rsidR="00000000" w14:paraId="3DCF3CB0"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3138BCA"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forms/acknowledgement-form.md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FE6A18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User acknowledgement with eight key-point tick boxes</w:t>
            </w:r>
          </w:p>
        </w:tc>
      </w:tr>
      <w:tr w:rsidR="00000000" w14:paraId="64896E78"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2580FD1"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forms/exception-request-form.md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763A3A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Three-part form: requester, ISL risk assessment, decision</w:t>
            </w:r>
          </w:p>
        </w:tc>
      </w:tr>
      <w:tr w:rsidR="00000000" w14:paraId="16E077B3"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75FCBA9"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checklists/user-onboarding-checklist.md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114D29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13-item first-week checklist linked to policy sections</w:t>
            </w:r>
          </w:p>
        </w:tc>
      </w:tr>
      <w:tr w:rsidR="00000000" w14:paraId="59CED398"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C5CDD61" w14:textId="77777777" w:rsidR="001A7ABA" w:rsidRDefault="001A7ABA" w:rsidP="00BE4A82">
            <w:pPr>
              <w:spacing w:before="40" w:after="40"/>
              <w:rPr>
                <w:rFonts w:ascii="Calibri" w:eastAsia="Times New Roman" w:hAnsi="Calibri" w:cs="Calibri"/>
                <w:color w:val="1A1A1A"/>
                <w:sz w:val="20"/>
                <w:szCs w:val="20"/>
              </w:rPr>
            </w:pPr>
            <w:r>
              <w:rPr>
                <w:rStyle w:val="HTMLCode"/>
                <w:color w:val="1A1A1A"/>
              </w:rPr>
              <w:t>checklists/policy-review-checklist.md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1A59EE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Annual review checklist for the policy owner</w:t>
            </w:r>
          </w:p>
        </w:tc>
      </w:tr>
    </w:tbl>
    <w:p w14:paraId="6E9864D4" w14:textId="77777777" w:rsidR="001A7ABA" w:rsidRDefault="001A7ABA">
      <w:pPr>
        <w:pStyle w:val="Heading3"/>
        <w:rPr>
          <w:rFonts w:ascii="Calibri" w:eastAsia="Times New Roman" w:hAnsi="Calibri" w:cs="Calibri"/>
        </w:rPr>
      </w:pPr>
      <w:r>
        <w:rPr>
          <w:rFonts w:ascii="Calibri" w:eastAsia="Times New Roman" w:hAnsi="Calibri" w:cs="Calibri"/>
        </w:rPr>
        <w:t>5.3 Key design decisions</w:t>
      </w:r>
    </w:p>
    <w:p w14:paraId="67610775" w14:textId="77777777" w:rsidR="001A7ABA" w:rsidRDefault="001A7ABA">
      <w:pPr>
        <w:numPr>
          <w:ilvl w:val="0"/>
          <w:numId w:val="5"/>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 fictional organisation</w:t>
      </w:r>
      <w:r>
        <w:rPr>
          <w:rFonts w:ascii="Calibri" w:eastAsia="Times New Roman" w:hAnsi="Calibri" w:cs="Calibri"/>
          <w:color w:val="1A1A1A"/>
          <w:sz w:val="22"/>
          <w:szCs w:val="22"/>
        </w:rPr>
        <w:t xml:space="preserve"> was used so the policy could be specific (names, numbers, contacts) without exposing any real organisation's information. This follows the instruction not to upload confidential or personal data.</w:t>
      </w:r>
    </w:p>
    <w:p w14:paraId="106809D2" w14:textId="77777777" w:rsidR="001A7ABA" w:rsidRDefault="001A7ABA">
      <w:pPr>
        <w:numPr>
          <w:ilvl w:val="0"/>
          <w:numId w:val="5"/>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Specific timeframes</w:t>
      </w:r>
      <w:r>
        <w:rPr>
          <w:rFonts w:ascii="Calibri" w:eastAsia="Times New Roman" w:hAnsi="Calibri" w:cs="Calibri"/>
          <w:color w:val="1A1A1A"/>
          <w:sz w:val="22"/>
          <w:szCs w:val="22"/>
        </w:rPr>
        <w:t xml:space="preserve"> were used instead of vague terms like "promptly":</w:t>
      </w:r>
    </w:p>
    <w:p w14:paraId="024D6980" w14:textId="77777777" w:rsidR="001A7ABA" w:rsidRDefault="001A7ABA">
      <w:pPr>
        <w:numPr>
          <w:ilvl w:val="1"/>
          <w:numId w:val="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1 hour to report a lost device or account compromise;</w:t>
      </w:r>
    </w:p>
    <w:p w14:paraId="6ED50D6B" w14:textId="77777777" w:rsidR="001A7ABA" w:rsidRDefault="001A7ABA">
      <w:pPr>
        <w:numPr>
          <w:ilvl w:val="1"/>
          <w:numId w:val="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1 working day for triage;</w:t>
      </w:r>
    </w:p>
    <w:p w14:paraId="7E70AB5E" w14:textId="77777777" w:rsidR="001A7ABA" w:rsidRDefault="001A7ABA">
      <w:pPr>
        <w:numPr>
          <w:ilvl w:val="1"/>
          <w:numId w:val="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7 days to install updates;</w:t>
      </w:r>
    </w:p>
    <w:p w14:paraId="436B42D7" w14:textId="77777777" w:rsidR="001A7ABA" w:rsidRDefault="001A7ABA">
      <w:pPr>
        <w:numPr>
          <w:ilvl w:val="1"/>
          <w:numId w:val="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10 working days for exception decisions and appeals;</w:t>
      </w:r>
    </w:p>
    <w:p w14:paraId="04EFF82B" w14:textId="77777777" w:rsidR="001A7ABA" w:rsidRDefault="001A7ABA">
      <w:pPr>
        <w:numPr>
          <w:ilvl w:val="1"/>
          <w:numId w:val="5"/>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12 months for log retention and the maximum length of an exception.</w:t>
      </w:r>
    </w:p>
    <w:p w14:paraId="051036BB" w14:textId="77777777" w:rsidR="001A7ABA" w:rsidRDefault="001A7ABA">
      <w:pPr>
        <w:numPr>
          <w:ilvl w:val="0"/>
          <w:numId w:val="5"/>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 forced password expiry</w:t>
      </w:r>
      <w:r>
        <w:rPr>
          <w:rFonts w:ascii="Calibri" w:eastAsia="Times New Roman" w:hAnsi="Calibri" w:cs="Calibri"/>
          <w:color w:val="1A1A1A"/>
          <w:sz w:val="22"/>
          <w:szCs w:val="22"/>
        </w:rPr>
        <w:t>, following NIST SP 800-63B-4.</w:t>
      </w:r>
    </w:p>
    <w:p w14:paraId="5A1064BF" w14:textId="77777777" w:rsidR="001A7ABA" w:rsidRDefault="001A7ABA">
      <w:pPr>
        <w:numPr>
          <w:ilvl w:val="0"/>
          <w:numId w:val="5"/>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Explicit privacy limits on monitoring.</w:t>
      </w:r>
      <w:r>
        <w:rPr>
          <w:rFonts w:ascii="Calibri" w:eastAsia="Times New Roman" w:hAnsi="Calibri" w:cs="Calibri"/>
          <w:color w:val="1A1A1A"/>
          <w:sz w:val="22"/>
          <w:szCs w:val="22"/>
        </w:rPr>
        <w:t xml:space="preserve"> The policy states that there is no keystroke logging and no covert camera or microphone use, that BYOD monitoring covers only KRI apps, and that the Executive Director must approve any access to content. This builds trust and supports proportionality under the DPDP Act.</w:t>
      </w:r>
    </w:p>
    <w:p w14:paraId="41F5D1CC" w14:textId="77777777" w:rsidR="001A7ABA" w:rsidRDefault="001A7ABA">
      <w:pPr>
        <w:numPr>
          <w:ilvl w:val="0"/>
          <w:numId w:val="5"/>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Generative AI rules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were included because unapproved AI tools are now a common route for data leakage.</w:t>
      </w:r>
    </w:p>
    <w:p w14:paraId="0E7E53DB" w14:textId="77777777" w:rsidR="001A7ABA" w:rsidRDefault="001A7ABA">
      <w:pPr>
        <w:pStyle w:val="Heading2"/>
        <w:rPr>
          <w:rFonts w:ascii="Calibri" w:eastAsia="Times New Roman" w:hAnsi="Calibri" w:cs="Calibri"/>
        </w:rPr>
      </w:pPr>
      <w:bookmarkStart w:id="6" w:name="_Toc243216976"/>
      <w:r>
        <w:rPr>
          <w:rFonts w:ascii="Calibri" w:eastAsia="Times New Roman" w:hAnsi="Calibri" w:cs="Calibri"/>
        </w:rPr>
        <w:t>6. Results</w:t>
      </w:r>
      <w:bookmarkEnd w:id="6"/>
    </w:p>
    <w:p w14:paraId="1F63BCBF" w14:textId="77777777" w:rsidR="001A7ABA" w:rsidRDefault="001A7ABA">
      <w:pPr>
        <w:pStyle w:val="Heading3"/>
        <w:rPr>
          <w:rFonts w:ascii="Calibri" w:eastAsia="Times New Roman" w:hAnsi="Calibri" w:cs="Calibri"/>
        </w:rPr>
      </w:pPr>
      <w:r>
        <w:rPr>
          <w:rFonts w:ascii="Calibri" w:eastAsia="Times New Roman" w:hAnsi="Calibri" w:cs="Calibri"/>
        </w:rPr>
        <w:t>6.1 Requirement traceability</w:t>
      </w:r>
    </w:p>
    <w:p w14:paraId="504CAA1A"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lastRenderedPageBreak/>
        <w:t>Every element in the task brief is covered.</w:t>
      </w:r>
    </w:p>
    <w:tbl>
      <w:tblPr>
        <w:tblW w:w="5000" w:type="pct"/>
        <w:tblCellMar>
          <w:top w:w="15" w:type="dxa"/>
          <w:left w:w="15" w:type="dxa"/>
          <w:bottom w:w="15" w:type="dxa"/>
          <w:right w:w="15" w:type="dxa"/>
        </w:tblCellMar>
        <w:tblLook w:val="04A0" w:firstRow="1" w:lastRow="0" w:firstColumn="1" w:lastColumn="0" w:noHBand="0" w:noVBand="1"/>
      </w:tblPr>
      <w:tblGrid>
        <w:gridCol w:w="3222"/>
        <w:gridCol w:w="6174"/>
      </w:tblGrid>
      <w:tr w:rsidR="00000000" w14:paraId="7EA6FC54"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2826828F"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Requirement from the brief</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686B7CFE"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Policy section</w:t>
            </w:r>
          </w:p>
        </w:tc>
      </w:tr>
      <w:tr w:rsidR="00000000" w14:paraId="075E92DF"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72B1D7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Purpose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C1687A4"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w:t>
            </w:r>
          </w:p>
        </w:tc>
      </w:tr>
      <w:tr w:rsidR="00000000" w14:paraId="1984C545"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23524E4"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Scope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BD51B4A"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2</w:t>
            </w:r>
          </w:p>
        </w:tc>
      </w:tr>
      <w:tr w:rsidR="00000000" w14:paraId="3117B138"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590A45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Responsibilities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8FC460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4 (and 7, 8)</w:t>
            </w:r>
          </w:p>
        </w:tc>
      </w:tr>
      <w:tr w:rsidR="00000000" w14:paraId="20AC9CBE"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4F6850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Rules: acceptable use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05AA65A"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w:t>
            </w:r>
          </w:p>
        </w:tc>
      </w:tr>
      <w:tr w:rsidR="00000000" w14:paraId="0C01E53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905FAE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Rules: prohibited actions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576DCD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6</w:t>
            </w:r>
          </w:p>
        </w:tc>
      </w:tr>
      <w:tr w:rsidR="00000000" w14:paraId="491D5990"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FC2432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Account responsibilities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A97B592"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7</w:t>
            </w:r>
          </w:p>
        </w:tc>
      </w:tr>
      <w:tr w:rsidR="00000000" w14:paraId="0C73F222"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601B3A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Device responsibilities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A557B9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8</w:t>
            </w:r>
          </w:p>
        </w:tc>
      </w:tr>
      <w:tr w:rsidR="00000000" w14:paraId="39202A7A"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71CA96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Data handling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19B2D2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9</w:t>
            </w:r>
          </w:p>
        </w:tc>
      </w:tr>
      <w:tr w:rsidR="00000000" w14:paraId="11F86404"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20A671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Reporting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42170F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10</w:t>
            </w:r>
          </w:p>
        </w:tc>
      </w:tr>
      <w:tr w:rsidR="00000000" w14:paraId="7D1BB3C4"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121B99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Monitoring notice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5D9519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11</w:t>
            </w:r>
          </w:p>
        </w:tc>
      </w:tr>
      <w:tr w:rsidR="00000000" w14:paraId="0F3492FE"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ACC6E7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Consequences and escalation</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FB649A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12</w:t>
            </w:r>
          </w:p>
        </w:tc>
      </w:tr>
      <w:tr w:rsidR="00000000" w14:paraId="0225C62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EF7CF8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Exception process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3E20D52"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13 and Appendix B</w:t>
            </w:r>
          </w:p>
        </w:tc>
      </w:tr>
      <w:tr w:rsidR="00000000" w14:paraId="7C8D6CEA"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E2F84F4"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Review date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00C8D1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Document control table and Section 14 (1 November 2027)</w:t>
            </w:r>
          </w:p>
        </w:tc>
      </w:tr>
    </w:tbl>
    <w:p w14:paraId="58984ABD" w14:textId="77777777" w:rsidR="001A7ABA" w:rsidRDefault="001A7ABA">
      <w:pPr>
        <w:pStyle w:val="Heading3"/>
        <w:rPr>
          <w:rFonts w:ascii="Calibri" w:eastAsia="Times New Roman" w:hAnsi="Calibri" w:cs="Calibri"/>
        </w:rPr>
      </w:pPr>
      <w:r>
        <w:rPr>
          <w:rFonts w:ascii="Calibri" w:eastAsia="Times New Roman" w:hAnsi="Calibri" w:cs="Calibri"/>
        </w:rPr>
        <w:t>6.2 Standards mapping</w:t>
      </w:r>
    </w:p>
    <w:tbl>
      <w:tblPr>
        <w:tblW w:w="5000" w:type="pct"/>
        <w:tblCellMar>
          <w:top w:w="15" w:type="dxa"/>
          <w:left w:w="15" w:type="dxa"/>
          <w:bottom w:w="15" w:type="dxa"/>
          <w:right w:w="15" w:type="dxa"/>
        </w:tblCellMar>
        <w:tblLook w:val="04A0" w:firstRow="1" w:lastRow="0" w:firstColumn="1" w:lastColumn="0" w:noHBand="0" w:noVBand="1"/>
      </w:tblPr>
      <w:tblGrid>
        <w:gridCol w:w="2999"/>
        <w:gridCol w:w="2528"/>
        <w:gridCol w:w="2145"/>
        <w:gridCol w:w="1724"/>
      </w:tblGrid>
      <w:tr w:rsidR="00000000" w14:paraId="5A2F43FA"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65781457"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Policy section</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4AB14C16"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ISO/IEC 27002:2022</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0EC0B2D9"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NIST SP 800-53 Rev. 5</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1199F3EB"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CIS Controls v8.1</w:t>
            </w:r>
          </w:p>
        </w:tc>
      </w:tr>
      <w:tr w:rsidR="00000000" w14:paraId="6ED1B64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24FC43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4 Roles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926FEC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5.2</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8098DE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PL-4, PS-6</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195E72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000000" w14:paraId="5A2FB484"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E49DBD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5–6 Acceptable use / prohibited</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282BE3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5.10, 6.7</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CC7FD01"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PL-4</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F41CBA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14</w:t>
            </w:r>
          </w:p>
        </w:tc>
      </w:tr>
      <w:tr w:rsidR="00000000" w14:paraId="6D5E253F"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32D11C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7 Accounts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30FF9BA"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5.16, 5.17, 5.18, 8.2, 8.5</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6EC26EB"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AC-2, IA-2, IA-5</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C9DD0C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5, 6</w:t>
            </w:r>
          </w:p>
        </w:tc>
      </w:tr>
      <w:tr w:rsidR="00000000" w14:paraId="7102D6B5"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FC7D76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8 Devices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09E508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7.9, 7.10, 7.14, 8.1</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483E592"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AC-19, MP-6</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30AD10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4, 7, 10</w:t>
            </w:r>
          </w:p>
        </w:tc>
      </w:tr>
      <w:tr w:rsidR="00000000" w14:paraId="33B77A20"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4F3C8A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9 Data handling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766767A"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5.12, 5.13, 5.14, 5.34, 8.10</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0DC1A2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RA-2, MP-3</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6E469B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3</w:t>
            </w:r>
          </w:p>
        </w:tc>
      </w:tr>
      <w:tr w:rsidR="00000000" w14:paraId="13C83C1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0D4FAC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10 Reporting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5A4DC3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5.24, 6.8</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0A0E77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IR-6</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7DDD1D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17</w:t>
            </w:r>
          </w:p>
        </w:tc>
      </w:tr>
      <w:tr w:rsidR="00000000" w14:paraId="13D1ADF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3B5F22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11 Monitoring</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616C98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8.15, 8.16</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33E55A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AC-8, AU-2, AU-11</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9699DA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8</w:t>
            </w:r>
          </w:p>
        </w:tc>
      </w:tr>
      <w:tr w:rsidR="00000000" w14:paraId="1D83A785"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E0AB8B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12 Consequences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C5D06D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6.4</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7DD4A1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PS-8</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F702D3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000000" w14:paraId="2B3C691F"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EBE5B8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13 Exceptions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7CB1FF1"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5.1, 5.36</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69533B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RA-3</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4EE0B8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000000" w14:paraId="1EC29553"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7999D82"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14 Review</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B3C567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5.1</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4CF30EA"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PL-1</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B942E5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000000" w14:paraId="6FB75BB0"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9E7633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15 Acknowledgement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CD5716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6.2, 6.3</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36C0FA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PL-4, PS-6</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3A22D7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14</w:t>
            </w:r>
          </w:p>
        </w:tc>
      </w:tr>
    </w:tbl>
    <w:p w14:paraId="68455BE2" w14:textId="77777777" w:rsidR="001A7ABA" w:rsidRDefault="001A7ABA">
      <w:pPr>
        <w:pStyle w:val="Heading3"/>
        <w:rPr>
          <w:rFonts w:ascii="Calibri" w:eastAsia="Times New Roman" w:hAnsi="Calibri" w:cs="Calibri"/>
        </w:rPr>
      </w:pPr>
      <w:r>
        <w:rPr>
          <w:rFonts w:ascii="Calibri" w:eastAsia="Times New Roman" w:hAnsi="Calibri" w:cs="Calibri"/>
        </w:rPr>
        <w:lastRenderedPageBreak/>
        <w:t>6.3 Final output</w:t>
      </w:r>
    </w:p>
    <w:p w14:paraId="47E2CB23" w14:textId="77777777" w:rsidR="001A7ABA" w:rsidRDefault="001A7ABA">
      <w:pPr>
        <w:numPr>
          <w:ilvl w:val="0"/>
          <w:numId w:val="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A policy of about 5,400 words with 16 sections, 2 appendices, 11 tables and 2 figures, delivered as Markdown, DOCX and PDF.</w:t>
      </w:r>
    </w:p>
    <w:p w14:paraId="6297D5FB" w14:textId="77777777" w:rsidR="001A7ABA" w:rsidRDefault="001A7ABA">
      <w:pPr>
        <w:numPr>
          <w:ilvl w:val="0"/>
          <w:numId w:val="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Six supporting artefacts: two diagrams, two forms and two checklists.</w:t>
      </w:r>
    </w:p>
    <w:p w14:paraId="75F8D6F8" w14:textId="77777777" w:rsidR="001A7ABA" w:rsidRDefault="001A7ABA">
      <w:pPr>
        <w:numPr>
          <w:ilvl w:val="0"/>
          <w:numId w:val="6"/>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A reproducible build process and check script in </w:t>
      </w:r>
      <w:r>
        <w:rPr>
          <w:rStyle w:val="HTMLCode"/>
          <w:color w:val="1A1A1A"/>
        </w:rPr>
        <w:t>tools/</w:t>
      </w:r>
      <w:r>
        <w:rPr>
          <w:rFonts w:ascii="Calibri" w:eastAsia="Times New Roman" w:hAnsi="Calibri" w:cs="Calibri"/>
          <w:color w:val="1A1A1A"/>
          <w:sz w:val="22"/>
          <w:szCs w:val="22"/>
        </w:rPr>
        <w:t>.</w:t>
      </w:r>
    </w:p>
    <w:p w14:paraId="665BF1A9" w14:textId="77777777" w:rsidR="001A7ABA" w:rsidRDefault="001A7ABA">
      <w:pPr>
        <w:pStyle w:val="Heading2"/>
        <w:rPr>
          <w:rFonts w:ascii="Calibri" w:eastAsia="Times New Roman" w:hAnsi="Calibri" w:cs="Calibri"/>
        </w:rPr>
      </w:pPr>
      <w:bookmarkStart w:id="7" w:name="_Toc243216977"/>
      <w:r>
        <w:rPr>
          <w:rFonts w:ascii="Calibri" w:eastAsia="Times New Roman" w:hAnsi="Calibri" w:cs="Calibri"/>
        </w:rPr>
        <w:t>7. Testing and Evaluation</w:t>
      </w:r>
      <w:bookmarkEnd w:id="7"/>
    </w:p>
    <w:p w14:paraId="7052CD1D"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 xml:space="preserve">A policy cannot be "executed" the way software can. The evaluation therefore consisted of an </w:t>
      </w:r>
      <w:r>
        <w:rPr>
          <w:rStyle w:val="Strong"/>
          <w:rFonts w:ascii="Calibri" w:hAnsi="Calibri" w:cs="Calibri"/>
          <w:color w:val="1A1A1A"/>
          <w:sz w:val="22"/>
          <w:szCs w:val="22"/>
        </w:rPr>
        <w:t>automated document check</w:t>
      </w:r>
      <w:r>
        <w:rPr>
          <w:rFonts w:ascii="Calibri" w:hAnsi="Calibri" w:cs="Calibri"/>
          <w:color w:val="1A1A1A"/>
          <w:sz w:val="22"/>
          <w:szCs w:val="22"/>
        </w:rPr>
        <w:t xml:space="preserve"> and a </w:t>
      </w:r>
      <w:r>
        <w:rPr>
          <w:rStyle w:val="Strong"/>
          <w:rFonts w:ascii="Calibri" w:hAnsi="Calibri" w:cs="Calibri"/>
          <w:color w:val="1A1A1A"/>
          <w:sz w:val="22"/>
          <w:szCs w:val="22"/>
        </w:rPr>
        <w:t>manual consistency review</w:t>
      </w:r>
      <w:r>
        <w:rPr>
          <w:rFonts w:ascii="Calibri" w:hAnsi="Calibri" w:cs="Calibri"/>
          <w:color w:val="1A1A1A"/>
          <w:sz w:val="22"/>
          <w:szCs w:val="22"/>
        </w:rPr>
        <w:t>, both carried out on the final draft. No testing with real users, no legal review and no simulation exercise was performed (see Section 8).</w:t>
      </w:r>
    </w:p>
    <w:p w14:paraId="3393C0E1" w14:textId="77777777" w:rsidR="001A7ABA" w:rsidRDefault="001A7ABA">
      <w:pPr>
        <w:pStyle w:val="Heading3"/>
        <w:rPr>
          <w:rFonts w:ascii="Calibri" w:eastAsia="Times New Roman" w:hAnsi="Calibri" w:cs="Calibri"/>
        </w:rPr>
      </w:pPr>
      <w:r>
        <w:rPr>
          <w:rFonts w:ascii="Calibri" w:eastAsia="Times New Roman" w:hAnsi="Calibri" w:cs="Calibri"/>
        </w:rPr>
        <w:t>7.1 Automated check (</w:t>
      </w:r>
      <w:r>
        <w:rPr>
          <w:rStyle w:val="HTMLCode"/>
        </w:rPr>
        <w:t>tools/policy_check.py</w:t>
      </w:r>
      <w:r>
        <w:rPr>
          <w:rFonts w:ascii="Calibri" w:eastAsia="Times New Roman" w:hAnsi="Calibri" w:cs="Calibri"/>
        </w:rPr>
        <w:t>)</w:t>
      </w:r>
    </w:p>
    <w:p w14:paraId="465B4E95"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 xml:space="preserve">The script was run on 18 October 2026. Full output is in </w:t>
      </w:r>
      <w:r>
        <w:rPr>
          <w:rStyle w:val="HTMLCode"/>
          <w:color w:val="1A1A1A"/>
        </w:rPr>
        <w:t>evaluation/policy-check-results.md</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5340"/>
        <w:gridCol w:w="4056"/>
      </w:tblGrid>
      <w:tr w:rsidR="00000000" w14:paraId="36C0EB62"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37E2719C"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Check</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052D5274"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Result</w:t>
            </w:r>
          </w:p>
        </w:tc>
      </w:tr>
      <w:tr w:rsidR="00000000" w14:paraId="53AC3985"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212CDC5"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All 13 task-brief elements present as headings, plus a review date in document control</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66CB6C3" w14:textId="77777777" w:rsidR="001A7ABA" w:rsidRDefault="001A7ABA" w:rsidP="00BE4A82">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PASS</w:t>
            </w:r>
            <w:r>
              <w:rPr>
                <w:rFonts w:ascii="Calibri" w:eastAsia="Times New Roman" w:hAnsi="Calibri" w:cs="Calibri"/>
                <w:color w:val="1A1A1A"/>
                <w:sz w:val="20"/>
                <w:szCs w:val="20"/>
              </w:rPr>
              <w:t xml:space="preserve"> (14/14)</w:t>
            </w:r>
          </w:p>
        </w:tc>
      </w:tr>
      <w:tr w:rsidR="00000000" w14:paraId="4B2916ED"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12785A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Section cross-references point to real sections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43E0A97" w14:textId="77777777" w:rsidR="001A7ABA" w:rsidRDefault="001A7ABA" w:rsidP="00BE4A82">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PASS</w:t>
            </w:r>
            <w:r>
              <w:rPr>
                <w:rFonts w:ascii="Calibri" w:eastAsia="Times New Roman" w:hAnsi="Calibri" w:cs="Calibri"/>
                <w:color w:val="1A1A1A"/>
                <w:sz w:val="20"/>
                <w:szCs w:val="20"/>
              </w:rPr>
              <w:t>: 10 checked, 0 broken</w:t>
            </w:r>
          </w:p>
        </w:tc>
      </w:tr>
      <w:tr w:rsidR="00000000" w14:paraId="6D27BB77"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261544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Referenced figures exist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AEBA50C" w14:textId="77777777" w:rsidR="001A7ABA" w:rsidRDefault="001A7ABA" w:rsidP="00BE4A82">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PASS</w:t>
            </w:r>
            <w:r>
              <w:rPr>
                <w:rFonts w:ascii="Calibri" w:eastAsia="Times New Roman" w:hAnsi="Calibri" w:cs="Calibri"/>
                <w:color w:val="1A1A1A"/>
                <w:sz w:val="20"/>
                <w:szCs w:val="20"/>
              </w:rPr>
              <w:t>: 2 of 2</w:t>
            </w:r>
          </w:p>
        </w:tc>
      </w:tr>
      <w:tr w:rsidR="00000000" w14:paraId="63D7860A"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84FA99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Personal-data scan of all Markdown files (real email addresses or phone numbers)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32A965F" w14:textId="77777777" w:rsidR="001A7ABA" w:rsidRDefault="001A7ABA" w:rsidP="00BE4A82">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PASS</w:t>
            </w:r>
            <w:r>
              <w:rPr>
                <w:rFonts w:ascii="Calibri" w:eastAsia="Times New Roman" w:hAnsi="Calibri" w:cs="Calibri"/>
                <w:color w:val="1A1A1A"/>
                <w:sz w:val="20"/>
                <w:szCs w:val="20"/>
              </w:rPr>
              <w:t>: 0 findings</w:t>
            </w:r>
          </w:p>
        </w:tc>
      </w:tr>
      <w:tr w:rsidR="00000000" w14:paraId="3D879AA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E3E0B11"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Requirement statements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D3B786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59 "must" (including 15 "must not" / "must never"), 11 "should"</w:t>
            </w:r>
          </w:p>
        </w:tc>
      </w:tr>
      <w:tr w:rsidR="00000000" w14:paraId="0AB04789"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643F2B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Flesch Reading Ease (prose only)</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47C27932" w14:textId="77777777" w:rsidR="001A7ABA" w:rsidRDefault="001A7ABA" w:rsidP="00BE4A82">
            <w:pPr>
              <w:spacing w:before="40" w:after="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39.2</w:t>
            </w:r>
            <w:r>
              <w:rPr>
                <w:rFonts w:ascii="Calibri" w:eastAsia="Times New Roman" w:hAnsi="Calibri" w:cs="Calibri"/>
                <w:color w:val="1A1A1A"/>
                <w:sz w:val="20"/>
                <w:szCs w:val="20"/>
              </w:rPr>
              <w:t xml:space="preserve"> ("difficult", roughly university reading level)</w:t>
            </w:r>
          </w:p>
        </w:tc>
      </w:tr>
    </w:tbl>
    <w:p w14:paraId="27B51A7A" w14:textId="77777777" w:rsidR="001A7ABA" w:rsidRDefault="001A7ABA">
      <w:pPr>
        <w:pStyle w:val="Heading3"/>
        <w:rPr>
          <w:rFonts w:ascii="Calibri" w:eastAsia="Times New Roman" w:hAnsi="Calibri" w:cs="Calibri"/>
        </w:rPr>
      </w:pPr>
      <w:r>
        <w:rPr>
          <w:rFonts w:ascii="Calibri" w:eastAsia="Times New Roman" w:hAnsi="Calibri" w:cs="Calibri"/>
        </w:rPr>
        <w:t>7.2 Manual consistency review</w:t>
      </w:r>
    </w:p>
    <w:p w14:paraId="69C58DA3"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The same values appear in several places (policy text, tables, diagrams, forms and checklists). These were checked by hand to make sure they agree:</w:t>
      </w:r>
    </w:p>
    <w:tbl>
      <w:tblPr>
        <w:tblW w:w="5000" w:type="pct"/>
        <w:tblCellMar>
          <w:top w:w="15" w:type="dxa"/>
          <w:left w:w="15" w:type="dxa"/>
          <w:bottom w:w="15" w:type="dxa"/>
          <w:right w:w="15" w:type="dxa"/>
        </w:tblCellMar>
        <w:tblLook w:val="04A0" w:firstRow="1" w:lastRow="0" w:firstColumn="1" w:lastColumn="0" w:noHBand="0" w:noVBand="1"/>
      </w:tblPr>
      <w:tblGrid>
        <w:gridCol w:w="4514"/>
        <w:gridCol w:w="3673"/>
        <w:gridCol w:w="1209"/>
      </w:tblGrid>
      <w:tr w:rsidR="00000000" w14:paraId="2A359212" w14:textId="77777777">
        <w:trPr>
          <w:tblHeader/>
        </w:trPr>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5AD7A5D1"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Value</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1E012994"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Appears in</w:t>
            </w:r>
          </w:p>
        </w:tc>
        <w:tc>
          <w:tcPr>
            <w:tcW w:w="0" w:type="auto"/>
            <w:tcBorders>
              <w:top w:val="single" w:sz="6" w:space="0" w:color="A6B4C3"/>
              <w:left w:val="single" w:sz="6" w:space="0" w:color="A6B4C3"/>
              <w:bottom w:val="single" w:sz="6" w:space="0" w:color="A6B4C3"/>
              <w:right w:val="single" w:sz="6" w:space="0" w:color="A6B4C3"/>
            </w:tcBorders>
            <w:shd w:val="clear" w:color="auto" w:fill="DCE6F1"/>
            <w:tcMar>
              <w:top w:w="80" w:type="dxa"/>
              <w:left w:w="120" w:type="dxa"/>
              <w:bottom w:w="80" w:type="dxa"/>
              <w:right w:w="120" w:type="dxa"/>
            </w:tcMar>
            <w:hideMark/>
          </w:tcPr>
          <w:p w14:paraId="2DA4E6C3" w14:textId="77777777" w:rsidR="001A7ABA" w:rsidRDefault="001A7ABA" w:rsidP="00BE4A82">
            <w:pPr>
              <w:spacing w:before="40" w:after="40"/>
              <w:rPr>
                <w:rFonts w:ascii="Calibri" w:eastAsia="Times New Roman" w:hAnsi="Calibri" w:cs="Calibri"/>
                <w:b/>
                <w:bCs/>
                <w:color w:val="1F3B57"/>
                <w:sz w:val="20"/>
                <w:szCs w:val="20"/>
              </w:rPr>
            </w:pPr>
            <w:r>
              <w:rPr>
                <w:rFonts w:ascii="Calibri" w:eastAsia="Times New Roman" w:hAnsi="Calibri" w:cs="Calibri"/>
                <w:b/>
                <w:bCs/>
                <w:color w:val="1F3B57"/>
                <w:sz w:val="20"/>
                <w:szCs w:val="20"/>
              </w:rPr>
              <w:t>Consistent?</w:t>
            </w:r>
          </w:p>
        </w:tc>
      </w:tr>
      <w:tr w:rsidR="00000000" w14:paraId="59FE71CC"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4317E1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Lost device or compromise: report within 1 hour</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9BF82C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8.3, 10.2, Figure 1, onboarding checklist, acknowledgement form</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30A377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r w:rsidR="00000000" w14:paraId="19129748"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1608756"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Triage within 1 working day</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F34BB1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10.2, 12.3, Figure 1</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4FB55AC"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r w:rsidR="00000000" w14:paraId="3C748751"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94258EE"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Appeal within 10 working days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15A900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12.3, Figure 1</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A5365C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r w:rsidR="00000000" w14:paraId="372BF645"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D7815B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Exception decision within 10 working days (2 if urgent); maximum 12 months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62E5E332"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13.4, 13.5, Figure 2, exception form</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849ED93"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r w:rsidR="00000000" w14:paraId="345DF6C2"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2C93950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Updates within 7 days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4C9E15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8.1, Appendix A</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FD6F411"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r w:rsidR="00000000" w14:paraId="3229E222"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3D04E5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Passphrase at least 14 characters</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395B101D"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7.2, onboarding checklist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586099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r w:rsidR="00000000" w14:paraId="3E5C5F4E"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BD4FFE8"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Next review date 1 November 2027</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056A1AB0"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Document control, 14, review checklist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528E764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r w:rsidR="00000000" w14:paraId="6CA844C6" w14:textId="77777777">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8C1012F"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Contacts: extension 4400, security@kestrelwood.example</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1F575DB7"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10.2, 13.3, Appendix A, Figure 1, exception form, onboarding checklist</w:t>
            </w:r>
          </w:p>
        </w:tc>
        <w:tc>
          <w:tcPr>
            <w:tcW w:w="0" w:type="auto"/>
            <w:tcBorders>
              <w:top w:val="single" w:sz="6" w:space="0" w:color="A6B4C3"/>
              <w:left w:val="single" w:sz="6" w:space="0" w:color="A6B4C3"/>
              <w:bottom w:val="single" w:sz="6" w:space="0" w:color="A6B4C3"/>
              <w:right w:val="single" w:sz="6" w:space="0" w:color="A6B4C3"/>
            </w:tcBorders>
            <w:tcMar>
              <w:top w:w="80" w:type="dxa"/>
              <w:left w:w="120" w:type="dxa"/>
              <w:bottom w:w="80" w:type="dxa"/>
              <w:right w:w="120" w:type="dxa"/>
            </w:tcMar>
            <w:hideMark/>
          </w:tcPr>
          <w:p w14:paraId="75B2EFD9" w14:textId="77777777" w:rsidR="001A7ABA" w:rsidRDefault="001A7ABA" w:rsidP="00BE4A82">
            <w:pPr>
              <w:spacing w:before="40" w:after="40"/>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bl>
    <w:p w14:paraId="0E636455" w14:textId="77777777" w:rsidR="001A7ABA" w:rsidRDefault="001A7ABA">
      <w:pPr>
        <w:pStyle w:val="Heading3"/>
        <w:rPr>
          <w:rFonts w:ascii="Calibri" w:eastAsia="Times New Roman" w:hAnsi="Calibri" w:cs="Calibri"/>
        </w:rPr>
      </w:pPr>
      <w:r>
        <w:rPr>
          <w:rFonts w:ascii="Calibri" w:eastAsia="Times New Roman" w:hAnsi="Calibri" w:cs="Calibri"/>
        </w:rPr>
        <w:t>7.3 Interpretation</w:t>
      </w:r>
    </w:p>
    <w:p w14:paraId="160CC2DC"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 xml:space="preserve">The policy is complete against the brief and internally consistent. The main weakness the evaluation found is </w:t>
      </w:r>
      <w:r>
        <w:rPr>
          <w:rStyle w:val="Strong"/>
          <w:rFonts w:ascii="Calibri" w:hAnsi="Calibri" w:cs="Calibri"/>
          <w:color w:val="1A1A1A"/>
          <w:sz w:val="22"/>
          <w:szCs w:val="22"/>
        </w:rPr>
        <w:t>readability</w:t>
      </w:r>
      <w:r>
        <w:rPr>
          <w:rFonts w:ascii="Calibri" w:hAnsi="Calibri" w:cs="Calibri"/>
          <w:color w:val="1A1A1A"/>
          <w:sz w:val="22"/>
          <w:szCs w:val="22"/>
        </w:rPr>
        <w:t>. A score of 39.2 is typical for legal and policy texts, but it is harder to read than ideal for interns and non-technical users. Appendix A (Quick Reference) partly addresses this. A plain-language summary or short awareness module is recommended (Section 9).</w:t>
      </w:r>
    </w:p>
    <w:p w14:paraId="029C2B52"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The Flesch formula is only an approximation, and the script uses a heuristic syllable counter, so the score should be read as an indicator rather than a precise measurement.</w:t>
      </w:r>
    </w:p>
    <w:p w14:paraId="3C36A183" w14:textId="77777777" w:rsidR="001A7ABA" w:rsidRDefault="001A7ABA">
      <w:pPr>
        <w:pStyle w:val="Heading2"/>
        <w:rPr>
          <w:rFonts w:ascii="Calibri" w:eastAsia="Times New Roman" w:hAnsi="Calibri" w:cs="Calibri"/>
        </w:rPr>
      </w:pPr>
      <w:bookmarkStart w:id="8" w:name="_Toc243216978"/>
      <w:r>
        <w:rPr>
          <w:rFonts w:ascii="Calibri" w:eastAsia="Times New Roman" w:hAnsi="Calibri" w:cs="Calibri"/>
        </w:rPr>
        <w:t>8. Limitations</w:t>
      </w:r>
      <w:bookmarkEnd w:id="8"/>
    </w:p>
    <w:p w14:paraId="16DEE554" w14:textId="77777777" w:rsidR="001A7ABA" w:rsidRDefault="001A7ABA">
      <w:pPr>
        <w:numPr>
          <w:ilvl w:val="0"/>
          <w:numId w:val="7"/>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Fictional organisation.</w:t>
      </w:r>
      <w:r>
        <w:rPr>
          <w:rFonts w:ascii="Calibri" w:eastAsia="Times New Roman" w:hAnsi="Calibri" w:cs="Calibri"/>
          <w:color w:val="1A1A1A"/>
          <w:sz w:val="22"/>
          <w:szCs w:val="22"/>
        </w:rPr>
        <w:t xml:space="preserve"> The policy reflects assumptions (Section 3.1), not a real organisation's systems, culture or risk assessment.</w:t>
      </w:r>
    </w:p>
    <w:p w14:paraId="00107D9E" w14:textId="77777777" w:rsidR="001A7ABA" w:rsidRDefault="001A7ABA">
      <w:pPr>
        <w:numPr>
          <w:ilvl w:val="0"/>
          <w:numId w:val="7"/>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 legal or HR review.</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References to Indian law are summaries for context, not legal advice. Before adoption, a lawyer and HR must review the disciplinary and monitoring sections in particular.</w:t>
      </w:r>
    </w:p>
    <w:p w14:paraId="13AFCF6C" w14:textId="77777777" w:rsidR="001A7ABA" w:rsidRDefault="001A7ABA">
      <w:pPr>
        <w:numPr>
          <w:ilvl w:val="0"/>
          <w:numId w:val="7"/>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 stakeholder consultation or user testing.</w:t>
      </w:r>
      <w:r>
        <w:rPr>
          <w:rFonts w:ascii="Calibri" w:eastAsia="Times New Roman" w:hAnsi="Calibri" w:cs="Calibri"/>
          <w:color w:val="1A1A1A"/>
          <w:sz w:val="22"/>
          <w:szCs w:val="22"/>
        </w:rPr>
        <w:t xml:space="preserve"> Real users, PIs and IT staff were not consulted, and the policy's clarity was not measured with actual readers.</w:t>
      </w:r>
    </w:p>
    <w:p w14:paraId="5AB51E7A" w14:textId="77777777" w:rsidR="001A7ABA" w:rsidRDefault="001A7ABA">
      <w:pPr>
        <w:numPr>
          <w:ilvl w:val="0"/>
          <w:numId w:val="7"/>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Assumed technical controls.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policy assumes KRI has device management, a password manager, VPN, MFA and an Approved Services List. A real small organisation may need to put these in place first.</w:t>
      </w:r>
    </w:p>
    <w:p w14:paraId="715F1750" w14:textId="77777777" w:rsidR="001A7ABA" w:rsidRDefault="001A7ABA">
      <w:pPr>
        <w:numPr>
          <w:ilvl w:val="0"/>
          <w:numId w:val="7"/>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Not tested by simulation.</w:t>
      </w:r>
      <w:r>
        <w:rPr>
          <w:rFonts w:ascii="Calibri" w:eastAsia="Times New Roman" w:hAnsi="Calibri" w:cs="Calibri"/>
          <w:color w:val="1A1A1A"/>
          <w:sz w:val="22"/>
          <w:szCs w:val="22"/>
        </w:rPr>
        <w:t xml:space="preserve"> The reporting and escalation processes were not tested through a tabletop exercise.</w:t>
      </w:r>
    </w:p>
    <w:p w14:paraId="680E3C64" w14:textId="77777777" w:rsidR="001A7ABA" w:rsidRDefault="001A7ABA">
      <w:pPr>
        <w:numPr>
          <w:ilvl w:val="0"/>
          <w:numId w:val="7"/>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Readability.</w:t>
      </w:r>
      <w:r>
        <w:rPr>
          <w:rFonts w:ascii="Calibri" w:eastAsia="Times New Roman" w:hAnsi="Calibri" w:cs="Calibri"/>
          <w:color w:val="1A1A1A"/>
          <w:sz w:val="22"/>
          <w:szCs w:val="22"/>
        </w:rPr>
        <w:t xml:space="preserve"> As measured in Section 7, the text is relatively complex.</w:t>
      </w:r>
    </w:p>
    <w:p w14:paraId="052FAA90" w14:textId="77777777" w:rsidR="001A7ABA" w:rsidRDefault="001A7ABA">
      <w:pPr>
        <w:numPr>
          <w:ilvl w:val="0"/>
          <w:numId w:val="7"/>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Point-in-time accuracy.</w:t>
      </w:r>
      <w:r>
        <w:rPr>
          <w:rFonts w:ascii="Calibri" w:eastAsia="Times New Roman" w:hAnsi="Calibri" w:cs="Calibri"/>
          <w:color w:val="1A1A1A"/>
          <w:sz w:val="22"/>
          <w:szCs w:val="22"/>
        </w:rPr>
        <w:t xml:space="preserve"> Standards, laws and AI tools change. The references were correct as of October 2026.</w:t>
      </w:r>
    </w:p>
    <w:p w14:paraId="10AF0ED0" w14:textId="77777777" w:rsidR="001A7ABA" w:rsidRDefault="001A7ABA">
      <w:pPr>
        <w:pStyle w:val="Heading2"/>
        <w:rPr>
          <w:rFonts w:ascii="Calibri" w:eastAsia="Times New Roman" w:hAnsi="Calibri" w:cs="Calibri"/>
        </w:rPr>
      </w:pPr>
      <w:bookmarkStart w:id="9" w:name="_Toc243216979"/>
      <w:r>
        <w:rPr>
          <w:rFonts w:ascii="Calibri" w:eastAsia="Times New Roman" w:hAnsi="Calibri" w:cs="Calibri"/>
        </w:rPr>
        <w:t>9. Recommendations</w:t>
      </w:r>
      <w:bookmarkEnd w:id="9"/>
    </w:p>
    <w:p w14:paraId="26D7F364" w14:textId="77777777" w:rsidR="001A7ABA" w:rsidRDefault="001A7ABA">
      <w:pPr>
        <w:numPr>
          <w:ilvl w:val="0"/>
          <w:numId w:val="8"/>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Legal and HR review</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of Sections 11 (monitoring) and 12 (consequences) before adoption.</w:t>
      </w:r>
    </w:p>
    <w:p w14:paraId="45A11526" w14:textId="77777777" w:rsidR="001A7ABA" w:rsidRDefault="001A7ABA">
      <w:pPr>
        <w:numPr>
          <w:ilvl w:val="0"/>
          <w:numId w:val="8"/>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Consultation and pilot.</w:t>
      </w:r>
      <w:r>
        <w:rPr>
          <w:rFonts w:ascii="Calibri" w:eastAsia="Times New Roman" w:hAnsi="Calibri" w:cs="Calibri"/>
          <w:color w:val="1A1A1A"/>
          <w:sz w:val="22"/>
          <w:szCs w:val="22"/>
        </w:rPr>
        <w:t xml:space="preserve"> Share the draft with a sample of researchers, interns and IT staff; trial it with one team; collect feedback.</w:t>
      </w:r>
    </w:p>
    <w:p w14:paraId="4FB53A21" w14:textId="77777777" w:rsidR="001A7ABA" w:rsidRDefault="001A7ABA">
      <w:pPr>
        <w:numPr>
          <w:ilvl w:val="0"/>
          <w:numId w:val="8"/>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Awareness training.</w:t>
      </w:r>
      <w:r>
        <w:rPr>
          <w:rFonts w:ascii="Calibri" w:eastAsia="Times New Roman" w:hAnsi="Calibri" w:cs="Calibri"/>
          <w:color w:val="1A1A1A"/>
          <w:sz w:val="22"/>
          <w:szCs w:val="22"/>
        </w:rPr>
        <w:t xml:space="preserve"> Run a 20–30 minute session or e-learning module with a short quiz, based on Appendix A. Repeat it every year with the re-acknowledgement.</w:t>
      </w:r>
    </w:p>
    <w:p w14:paraId="7683F055" w14:textId="77777777" w:rsidR="001A7ABA" w:rsidRDefault="001A7ABA">
      <w:pPr>
        <w:numPr>
          <w:ilvl w:val="0"/>
          <w:numId w:val="8"/>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Track acknowledgements</w:t>
      </w:r>
      <w:r>
        <w:rPr>
          <w:rFonts w:ascii="Calibri" w:eastAsia="Times New Roman" w:hAnsi="Calibri" w:cs="Calibri"/>
          <w:color w:val="1A1A1A"/>
          <w:sz w:val="22"/>
          <w:szCs w:val="22"/>
        </w:rPr>
        <w:t xml:space="preserve"> with a target of 100% of active users, and grant no access before acknowledgement.</w:t>
      </w:r>
    </w:p>
    <w:p w14:paraId="3EA7DFBF" w14:textId="77777777" w:rsidR="001A7ABA" w:rsidRDefault="001A7ABA">
      <w:pPr>
        <w:numPr>
          <w:ilvl w:val="0"/>
          <w:numId w:val="8"/>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Technical enforcement.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Back the rules with controls: enforced MFA, device management, blocking auto-forwarding, and approved AI tools with data protections.</w:t>
      </w:r>
    </w:p>
    <w:p w14:paraId="493F6765" w14:textId="77777777" w:rsidR="001A7ABA" w:rsidRDefault="001A7ABA">
      <w:pPr>
        <w:numPr>
          <w:ilvl w:val="0"/>
          <w:numId w:val="8"/>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Tabletop exercise.</w:t>
      </w:r>
      <w:r>
        <w:rPr>
          <w:rFonts w:ascii="Calibri" w:eastAsia="Times New Roman" w:hAnsi="Calibri" w:cs="Calibri"/>
          <w:color w:val="1A1A1A"/>
          <w:sz w:val="22"/>
          <w:szCs w:val="22"/>
        </w:rPr>
        <w:t xml:space="preserve"> Test Figure 1 with a realistic scenario, such as a lost laptop containing participant data, and measure the time to report and triage.</w:t>
      </w:r>
    </w:p>
    <w:p w14:paraId="206E72B2" w14:textId="77777777" w:rsidR="001A7ABA" w:rsidRDefault="001A7ABA">
      <w:pPr>
        <w:numPr>
          <w:ilvl w:val="0"/>
          <w:numId w:val="8"/>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t>Improve readability.</w:t>
      </w:r>
      <w:r>
        <w:rPr>
          <w:rFonts w:ascii="Calibri" w:eastAsia="Times New Roman" w:hAnsi="Calibri" w:cs="Calibri"/>
          <w:color w:val="1A1A1A"/>
          <w:sz w:val="22"/>
          <w:szCs w:val="22"/>
        </w:rPr>
        <w:t xml:space="preserve"> Produce a one-page plain-language version for new interns and visitors, aiming for a Flesch score above 50.</w:t>
      </w:r>
    </w:p>
    <w:p w14:paraId="4832EACF" w14:textId="77777777" w:rsidR="001A7ABA" w:rsidRDefault="001A7ABA">
      <w:pPr>
        <w:numPr>
          <w:ilvl w:val="0"/>
          <w:numId w:val="8"/>
        </w:numPr>
        <w:spacing w:before="100" w:beforeAutospacing="1" w:after="40"/>
        <w:rPr>
          <w:rFonts w:ascii="Calibri" w:eastAsia="Times New Roman" w:hAnsi="Calibri" w:cs="Calibri"/>
          <w:color w:val="1A1A1A"/>
          <w:sz w:val="22"/>
          <w:szCs w:val="22"/>
        </w:rPr>
      </w:pPr>
      <w:r>
        <w:rPr>
          <w:rStyle w:val="Strong"/>
          <w:rFonts w:ascii="Calibri" w:eastAsia="Times New Roman" w:hAnsi="Calibri" w:cs="Calibri"/>
          <w:color w:val="1A1A1A"/>
          <w:sz w:val="22"/>
          <w:szCs w:val="22"/>
        </w:rPr>
        <w:lastRenderedPageBreak/>
        <w:t>Measure and review.</w:t>
      </w:r>
      <w:r>
        <w:rPr>
          <w:rFonts w:ascii="Calibri" w:eastAsia="Times New Roman" w:hAnsi="Calibri" w:cs="Calibri"/>
          <w:color w:val="1A1A1A"/>
          <w:sz w:val="22"/>
          <w:szCs w:val="22"/>
        </w:rPr>
        <w:t xml:space="preserve"> Use the metrics in </w:t>
      </w:r>
      <w:r>
        <w:rPr>
          <w:rStyle w:val="HTMLCode"/>
          <w:color w:val="1A1A1A"/>
        </w:rPr>
        <w:t>checklists/policy-review-checklist.md</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for the annual review due on 1 November 2027.</w:t>
      </w:r>
    </w:p>
    <w:p w14:paraId="6466E05D" w14:textId="77777777" w:rsidR="001A7ABA" w:rsidRDefault="001A7ABA">
      <w:pPr>
        <w:pStyle w:val="Heading2"/>
        <w:rPr>
          <w:rFonts w:ascii="Calibri" w:eastAsia="Times New Roman" w:hAnsi="Calibri" w:cs="Calibri"/>
        </w:rPr>
      </w:pPr>
      <w:bookmarkStart w:id="10" w:name="_Toc243216980"/>
      <w:r>
        <w:rPr>
          <w:rFonts w:ascii="Calibri" w:eastAsia="Times New Roman" w:hAnsi="Calibri" w:cs="Calibri"/>
        </w:rPr>
        <w:t>10. Conclusion</w:t>
      </w:r>
      <w:bookmarkEnd w:id="10"/>
    </w:p>
    <w:p w14:paraId="59BA2F78"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The task was to draft an acceptable-use policy for a small research organisation. The resulting policy, KRI-ISP-001, covers every required element: purpose, scope, responsibilities, acceptable and prohibited use, account and device responsibilities, data handling, reporting, monitoring notice, consequences and escalation, an exception process and a review date. It is grounded in ISO/IEC 27002:2022, NIST SP 800-53 Rev. 5 and related NIST guidance, CIS Controls v8.1, and Indian law.</w:t>
      </w:r>
    </w:p>
    <w:p w14:paraId="56BBE6B5"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The policy is designed to be practical. It uses specific timeframes, named contacts, a classification table, graduated consequences, a transparent monitoring notice and no-blame reporting. Diagrams, forms and checklists make it usable from day one.</w:t>
      </w:r>
    </w:p>
    <w:p w14:paraId="018E9EFA" w14:textId="77777777" w:rsidR="001A7ABA" w:rsidRDefault="001A7ABA">
      <w:pPr>
        <w:pStyle w:val="NormalWeb"/>
        <w:rPr>
          <w:rFonts w:ascii="Calibri" w:hAnsi="Calibri" w:cs="Calibri"/>
          <w:color w:val="1A1A1A"/>
          <w:sz w:val="22"/>
          <w:szCs w:val="22"/>
        </w:rPr>
      </w:pPr>
      <w:r>
        <w:rPr>
          <w:rFonts w:ascii="Calibri" w:hAnsi="Calibri" w:cs="Calibri"/>
          <w:color w:val="1A1A1A"/>
          <w:sz w:val="22"/>
          <w:szCs w:val="22"/>
        </w:rPr>
        <w:t>Automated and manual checks confirmed that the policy is complete and internally consistent. They also showed that readability can be improved. The main remaining steps before real-world adoption are legal review, stakeholder consultation and user training.</w:t>
      </w:r>
    </w:p>
    <w:p w14:paraId="57757B8A" w14:textId="77777777" w:rsidR="001A7ABA" w:rsidRDefault="001A7ABA">
      <w:pPr>
        <w:pStyle w:val="Heading2"/>
        <w:rPr>
          <w:rFonts w:ascii="Calibri" w:eastAsia="Times New Roman" w:hAnsi="Calibri" w:cs="Calibri"/>
        </w:rPr>
      </w:pPr>
      <w:bookmarkStart w:id="11" w:name="_Toc243216981"/>
      <w:r>
        <w:rPr>
          <w:rFonts w:ascii="Calibri" w:eastAsia="Times New Roman" w:hAnsi="Calibri" w:cs="Calibri"/>
        </w:rPr>
        <w:t>11. References</w:t>
      </w:r>
      <w:bookmarkEnd w:id="11"/>
    </w:p>
    <w:p w14:paraId="5111491B"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International Organization for Standardization. (2022). </w:t>
      </w:r>
      <w:r>
        <w:rPr>
          <w:rStyle w:val="Emphasis"/>
          <w:rFonts w:ascii="Calibri" w:eastAsia="Times New Roman" w:hAnsi="Calibri" w:cs="Calibri"/>
          <w:color w:val="1A1A1A"/>
          <w:sz w:val="22"/>
          <w:szCs w:val="22"/>
        </w:rPr>
        <w:t>ISO/IEC 27001:2022 — Information security management systems — Requirements</w:t>
      </w:r>
      <w:r>
        <w:rPr>
          <w:rFonts w:ascii="Calibri" w:eastAsia="Times New Roman" w:hAnsi="Calibri" w:cs="Calibri"/>
          <w:color w:val="1A1A1A"/>
          <w:sz w:val="22"/>
          <w:szCs w:val="22"/>
        </w:rPr>
        <w:t>. ISO.</w:t>
      </w:r>
    </w:p>
    <w:p w14:paraId="1F2E6C4C"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International Organization for Standardization. (2022). </w:t>
      </w:r>
      <w:r>
        <w:rPr>
          <w:rStyle w:val="Emphasis"/>
          <w:rFonts w:ascii="Calibri" w:eastAsia="Times New Roman" w:hAnsi="Calibri" w:cs="Calibri"/>
          <w:color w:val="1A1A1A"/>
          <w:sz w:val="22"/>
          <w:szCs w:val="22"/>
        </w:rPr>
        <w:t>ISO/IEC 27002:2022 — Information security controls</w:t>
      </w:r>
      <w:r>
        <w:rPr>
          <w:rFonts w:ascii="Calibri" w:eastAsia="Times New Roman" w:hAnsi="Calibri" w:cs="Calibri"/>
          <w:color w:val="1A1A1A"/>
          <w:sz w:val="22"/>
          <w:szCs w:val="22"/>
        </w:rPr>
        <w:t>. ISO.</w:t>
      </w:r>
    </w:p>
    <w:p w14:paraId="52FD7121"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Joint Task Force. (2020). </w:t>
      </w:r>
      <w:r>
        <w:rPr>
          <w:rStyle w:val="Emphasis"/>
          <w:rFonts w:ascii="Calibri" w:eastAsia="Times New Roman" w:hAnsi="Calibri" w:cs="Calibri"/>
          <w:color w:val="1A1A1A"/>
          <w:sz w:val="22"/>
          <w:szCs w:val="22"/>
        </w:rPr>
        <w:t>Security and Privacy Controls for Information Systems and Organizations</w:t>
      </w:r>
      <w:r>
        <w:rPr>
          <w:rFonts w:ascii="Calibri" w:eastAsia="Times New Roman" w:hAnsi="Calibri" w:cs="Calibri"/>
          <w:color w:val="1A1A1A"/>
          <w:sz w:val="22"/>
          <w:szCs w:val="22"/>
        </w:rPr>
        <w:t xml:space="preserve"> (NIST SP 800-53 Rev. 5). National Institute of Standards and Technology. https://doi.org/10.6028/NIST.SP.800-53r5</w:t>
      </w:r>
    </w:p>
    <w:p w14:paraId="5FE9F0CD"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Temoshok, D., et al. (2025). </w:t>
      </w:r>
      <w:r>
        <w:rPr>
          <w:rStyle w:val="Emphasis"/>
          <w:rFonts w:ascii="Calibri" w:eastAsia="Times New Roman" w:hAnsi="Calibri" w:cs="Calibri"/>
          <w:color w:val="1A1A1A"/>
          <w:sz w:val="22"/>
          <w:szCs w:val="22"/>
        </w:rPr>
        <w:t>Digital Identity Guidelines: Authentication and Authenticator Management</w:t>
      </w:r>
      <w:r>
        <w:rPr>
          <w:rFonts w:ascii="Calibri" w:eastAsia="Times New Roman" w:hAnsi="Calibri" w:cs="Calibri"/>
          <w:color w:val="1A1A1A"/>
          <w:sz w:val="22"/>
          <w:szCs w:val="22"/>
        </w:rPr>
        <w:t xml:space="preserve"> (NIST SP 800-63B-4). National Institute of Standards and Technology. https://doi.org/10.6028/NIST.SP.800-63B-4</w:t>
      </w:r>
    </w:p>
    <w:p w14:paraId="2CC7E54E"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Nelson, A., Rekhi, S., Souppaya, M., &amp; Scarfone, K. (2025). </w:t>
      </w:r>
      <w:r>
        <w:rPr>
          <w:rStyle w:val="Emphasis"/>
          <w:rFonts w:ascii="Calibri" w:eastAsia="Times New Roman" w:hAnsi="Calibri" w:cs="Calibri"/>
          <w:color w:val="1A1A1A"/>
          <w:sz w:val="22"/>
          <w:szCs w:val="22"/>
        </w:rPr>
        <w:t>Incident Response Recommendations and Considerations for Cybersecurity Risk Management</w:t>
      </w:r>
      <w:r>
        <w:rPr>
          <w:rFonts w:ascii="Calibri" w:eastAsia="Times New Roman" w:hAnsi="Calibri" w:cs="Calibri"/>
          <w:color w:val="1A1A1A"/>
          <w:sz w:val="22"/>
          <w:szCs w:val="22"/>
        </w:rPr>
        <w:t xml:space="preserve"> (NIST SP 800-61 Rev. 3). National Institute of Standards and Technology. https://doi.org/10.6028/NIST.SP.800-61r3</w:t>
      </w:r>
    </w:p>
    <w:p w14:paraId="0BB4AC58"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National Institute of Standards and Technology. (2025). </w:t>
      </w:r>
      <w:r>
        <w:rPr>
          <w:rStyle w:val="Emphasis"/>
          <w:rFonts w:ascii="Calibri" w:eastAsia="Times New Roman" w:hAnsi="Calibri" w:cs="Calibri"/>
          <w:color w:val="1A1A1A"/>
          <w:sz w:val="22"/>
          <w:szCs w:val="22"/>
        </w:rPr>
        <w:t>Guidelines for Media Sanitization</w:t>
      </w:r>
      <w:r>
        <w:rPr>
          <w:rFonts w:ascii="Calibri" w:eastAsia="Times New Roman" w:hAnsi="Calibri" w:cs="Calibri"/>
          <w:color w:val="1A1A1A"/>
          <w:sz w:val="22"/>
          <w:szCs w:val="22"/>
        </w:rPr>
        <w:t xml:space="preserve"> (NIST SP 800-88 Rev. 2). https://doi.org/10.6028/NIST.SP.800-88r2</w:t>
      </w:r>
    </w:p>
    <w:p w14:paraId="2D4458A1"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Center for Internet Security. (2024). </w:t>
      </w:r>
      <w:r>
        <w:rPr>
          <w:rStyle w:val="Emphasis"/>
          <w:rFonts w:ascii="Calibri" w:eastAsia="Times New Roman" w:hAnsi="Calibri" w:cs="Calibri"/>
          <w:color w:val="1A1A1A"/>
          <w:sz w:val="22"/>
          <w:szCs w:val="22"/>
        </w:rPr>
        <w:t>CIS Critical Security Controls, Version 8.1</w:t>
      </w:r>
      <w:r>
        <w:rPr>
          <w:rFonts w:ascii="Calibri" w:eastAsia="Times New Roman" w:hAnsi="Calibri" w:cs="Calibri"/>
          <w:color w:val="1A1A1A"/>
          <w:sz w:val="22"/>
          <w:szCs w:val="22"/>
        </w:rPr>
        <w:t>. https://www.cisecurity.org/controls</w:t>
      </w:r>
    </w:p>
    <w:p w14:paraId="3208D5DB"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SANS Institute. </w:t>
      </w:r>
      <w:r>
        <w:rPr>
          <w:rStyle w:val="Emphasis"/>
          <w:rFonts w:ascii="Calibri" w:eastAsia="Times New Roman" w:hAnsi="Calibri" w:cs="Calibri"/>
          <w:color w:val="1A1A1A"/>
          <w:sz w:val="22"/>
          <w:szCs w:val="22"/>
        </w:rPr>
        <w:t>Security Policy Templates — Acceptable Use Policy</w:t>
      </w:r>
      <w:r>
        <w:rPr>
          <w:rFonts w:ascii="Calibri" w:eastAsia="Times New Roman" w:hAnsi="Calibri" w:cs="Calibri"/>
          <w:color w:val="1A1A1A"/>
          <w:sz w:val="22"/>
          <w:szCs w:val="22"/>
        </w:rPr>
        <w:t>. https://www.sans.org/information-security-policy/</w:t>
      </w:r>
    </w:p>
    <w:p w14:paraId="18010356"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Verizon. (2024). </w:t>
      </w:r>
      <w:r>
        <w:rPr>
          <w:rStyle w:val="Emphasis"/>
          <w:rFonts w:ascii="Calibri" w:eastAsia="Times New Roman" w:hAnsi="Calibri" w:cs="Calibri"/>
          <w:color w:val="1A1A1A"/>
          <w:sz w:val="22"/>
          <w:szCs w:val="22"/>
        </w:rPr>
        <w:t>2024 Data Breach Investigations Report</w:t>
      </w:r>
      <w:r>
        <w:rPr>
          <w:rFonts w:ascii="Calibri" w:eastAsia="Times New Roman" w:hAnsi="Calibri" w:cs="Calibri"/>
          <w:color w:val="1A1A1A"/>
          <w:sz w:val="22"/>
          <w:szCs w:val="22"/>
        </w:rPr>
        <w:t>. https://www.verizon.com/business/resources/reports/dbir/</w:t>
      </w:r>
    </w:p>
    <w:p w14:paraId="79E9A65F"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Government of India. (2000). </w:t>
      </w:r>
      <w:r>
        <w:rPr>
          <w:rStyle w:val="Emphasis"/>
          <w:rFonts w:ascii="Calibri" w:eastAsia="Times New Roman" w:hAnsi="Calibri" w:cs="Calibri"/>
          <w:color w:val="1A1A1A"/>
          <w:sz w:val="22"/>
          <w:szCs w:val="22"/>
        </w:rPr>
        <w:t>The Information Technology Act, 2000</w:t>
      </w:r>
      <w:r>
        <w:rPr>
          <w:rFonts w:ascii="Calibri" w:eastAsia="Times New Roman" w:hAnsi="Calibri" w:cs="Calibri"/>
          <w:color w:val="1A1A1A"/>
          <w:sz w:val="22"/>
          <w:szCs w:val="22"/>
        </w:rPr>
        <w:t>. https://www.indiacode.nic.in/</w:t>
      </w:r>
    </w:p>
    <w:p w14:paraId="13A08A31"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Government of India. (2023). </w:t>
      </w:r>
      <w:r>
        <w:rPr>
          <w:rStyle w:val="Emphasis"/>
          <w:rFonts w:ascii="Calibri" w:eastAsia="Times New Roman" w:hAnsi="Calibri" w:cs="Calibri"/>
          <w:color w:val="1A1A1A"/>
          <w:sz w:val="22"/>
          <w:szCs w:val="22"/>
        </w:rPr>
        <w:t>The Digital Personal Data Protection Act, 2023</w:t>
      </w:r>
      <w:r>
        <w:rPr>
          <w:rFonts w:ascii="Calibri" w:eastAsia="Times New Roman" w:hAnsi="Calibri" w:cs="Calibri"/>
          <w:color w:val="1A1A1A"/>
          <w:sz w:val="22"/>
          <w:szCs w:val="22"/>
        </w:rPr>
        <w:t>. https://www.meity.gov.in/</w:t>
      </w:r>
    </w:p>
    <w:p w14:paraId="10E24110"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Indian Computer Emergency Response Team (CERT-In). (2022, April 28). </w:t>
      </w:r>
      <w:r>
        <w:rPr>
          <w:rStyle w:val="Emphasis"/>
          <w:rFonts w:ascii="Calibri" w:eastAsia="Times New Roman" w:hAnsi="Calibri" w:cs="Calibri"/>
          <w:color w:val="1A1A1A"/>
          <w:sz w:val="22"/>
          <w:szCs w:val="22"/>
        </w:rPr>
        <w:t>Directions under sub-section (6) of section 70B of the Information Technology Act, 2000</w:t>
      </w:r>
      <w:r>
        <w:rPr>
          <w:rFonts w:ascii="Calibri" w:eastAsia="Times New Roman" w:hAnsi="Calibri" w:cs="Calibri"/>
          <w:color w:val="1A1A1A"/>
          <w:sz w:val="22"/>
          <w:szCs w:val="22"/>
        </w:rPr>
        <w:t>. https://www.cert-in.org.in/</w:t>
      </w:r>
    </w:p>
    <w:p w14:paraId="52E6AC52" w14:textId="77777777" w:rsidR="001A7ABA" w:rsidRDefault="001A7ABA">
      <w:pPr>
        <w:numPr>
          <w:ilvl w:val="0"/>
          <w:numId w:val="9"/>
        </w:numPr>
        <w:spacing w:before="100" w:beforeAutospacing="1" w:after="40"/>
        <w:rPr>
          <w:rFonts w:ascii="Calibri" w:eastAsia="Times New Roman" w:hAnsi="Calibri" w:cs="Calibri"/>
          <w:color w:val="1A1A1A"/>
          <w:sz w:val="22"/>
          <w:szCs w:val="22"/>
        </w:rPr>
      </w:pPr>
      <w:r>
        <w:rPr>
          <w:rFonts w:ascii="Calibri" w:eastAsia="Times New Roman" w:hAnsi="Calibri" w:cs="Calibri"/>
          <w:color w:val="1A1A1A"/>
          <w:sz w:val="22"/>
          <w:szCs w:val="22"/>
        </w:rPr>
        <w:t xml:space="preserve">European Parliament and Council. (2016). </w:t>
      </w:r>
      <w:r>
        <w:rPr>
          <w:rStyle w:val="Emphasis"/>
          <w:rFonts w:ascii="Calibri" w:eastAsia="Times New Roman" w:hAnsi="Calibri" w:cs="Calibri"/>
          <w:color w:val="1A1A1A"/>
          <w:sz w:val="22"/>
          <w:szCs w:val="22"/>
        </w:rPr>
        <w:t>Regulation (EU) 2016/679 (General Data Protection Regulation)</w:t>
      </w:r>
      <w:r>
        <w:rPr>
          <w:rFonts w:ascii="Calibri" w:eastAsia="Times New Roman" w:hAnsi="Calibri" w:cs="Calibri"/>
          <w:color w:val="1A1A1A"/>
          <w:sz w:val="22"/>
          <w:szCs w:val="22"/>
        </w:rPr>
        <w:t>.</w:t>
      </w:r>
    </w:p>
    <w:sectPr w:rsidR="001A7ABA" w:rsidSect="00BE4A82">
      <w:headerReference w:type="even" r:id="rId7"/>
      <w:headerReference w:type="default" r:id="rId8"/>
      <w:footerReference w:type="even" r:id="rId9"/>
      <w:footerReference w:type="default" r:id="rId10"/>
      <w:headerReference w:type="first" r:id="rId11"/>
      <w:footerReference w:type="first" r:id="rId12"/>
      <w:pgSz w:w="11906" w:h="16838"/>
      <w:pgMar w:top="1247" w:right="1247" w:bottom="1247"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0FB4A" w14:textId="77777777" w:rsidR="001A7ABA" w:rsidRDefault="001A7ABA" w:rsidP="00BE4A82">
      <w:r>
        <w:separator/>
      </w:r>
    </w:p>
  </w:endnote>
  <w:endnote w:type="continuationSeparator" w:id="0">
    <w:p w14:paraId="489C4F6E" w14:textId="77777777" w:rsidR="001A7ABA" w:rsidRDefault="001A7ABA" w:rsidP="00BE4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8783" w14:textId="77777777" w:rsidR="00BE4A82" w:rsidRDefault="00BE4A82" w:rsidP="004D42C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33ABA8C" w14:textId="77777777" w:rsidR="00BE4A82" w:rsidRDefault="00BE4A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57F8" w14:textId="4CC6CBD0" w:rsidR="00BE4A82" w:rsidRDefault="00BE4A82" w:rsidP="004D42C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0FF7042" w14:textId="77777777" w:rsidR="00BE4A82" w:rsidRDefault="00BE4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1542" w14:textId="77777777" w:rsidR="00BE4A82" w:rsidRDefault="00BE4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D697" w14:textId="77777777" w:rsidR="001A7ABA" w:rsidRDefault="001A7ABA" w:rsidP="00BE4A82">
      <w:r>
        <w:separator/>
      </w:r>
    </w:p>
  </w:footnote>
  <w:footnote w:type="continuationSeparator" w:id="0">
    <w:p w14:paraId="4F48EE52" w14:textId="77777777" w:rsidR="001A7ABA" w:rsidRDefault="001A7ABA" w:rsidP="00BE4A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5A1C" w14:textId="77777777" w:rsidR="00BE4A82" w:rsidRDefault="00BE4A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2AA1D" w14:textId="1C9341BF" w:rsidR="00BE4A82" w:rsidRPr="00BE4A82" w:rsidRDefault="00BE4A82" w:rsidP="00BE4A82">
    <w:pPr>
      <w:pStyle w:val="Header"/>
      <w:jc w:val="right"/>
      <w:rPr>
        <w:rFonts w:ascii="Calibri" w:hAnsi="Calibri" w:cs="Calibri"/>
        <w:color w:val="808080"/>
        <w:sz w:val="16"/>
      </w:rPr>
    </w:pPr>
    <w:r w:rsidRPr="00BE4A82">
      <w:rPr>
        <w:rFonts w:ascii="Calibri" w:hAnsi="Calibri" w:cs="Calibri"/>
        <w:color w:val="808080"/>
        <w:sz w:val="16"/>
      </w:rPr>
      <w:t>Technical Report  |  Arpit Yadav (Intern ID 2415)  |  RedKross Research Foundation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F495" w14:textId="77777777" w:rsidR="00BE4A82" w:rsidRDefault="00BE4A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3C75"/>
    <w:multiLevelType w:val="multilevel"/>
    <w:tmpl w:val="1C28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9174B"/>
    <w:multiLevelType w:val="multilevel"/>
    <w:tmpl w:val="74D8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268E2"/>
    <w:multiLevelType w:val="multilevel"/>
    <w:tmpl w:val="FF284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E7145"/>
    <w:multiLevelType w:val="multilevel"/>
    <w:tmpl w:val="47A63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562847"/>
    <w:multiLevelType w:val="multilevel"/>
    <w:tmpl w:val="C6680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AE7E78"/>
    <w:multiLevelType w:val="multilevel"/>
    <w:tmpl w:val="A8A2E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C267E3"/>
    <w:multiLevelType w:val="multilevel"/>
    <w:tmpl w:val="8C80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143DE4"/>
    <w:multiLevelType w:val="multilevel"/>
    <w:tmpl w:val="0EB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C0A48"/>
    <w:multiLevelType w:val="multilevel"/>
    <w:tmpl w:val="1916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8828615">
    <w:abstractNumId w:val="5"/>
  </w:num>
  <w:num w:numId="2" w16cid:durableId="1323503755">
    <w:abstractNumId w:val="1"/>
  </w:num>
  <w:num w:numId="3" w16cid:durableId="351414890">
    <w:abstractNumId w:val="7"/>
  </w:num>
  <w:num w:numId="4" w16cid:durableId="2099865334">
    <w:abstractNumId w:val="4"/>
  </w:num>
  <w:num w:numId="5" w16cid:durableId="1047266579">
    <w:abstractNumId w:val="2"/>
  </w:num>
  <w:num w:numId="6" w16cid:durableId="1171409401">
    <w:abstractNumId w:val="0"/>
  </w:num>
  <w:num w:numId="7" w16cid:durableId="2118062633">
    <w:abstractNumId w:val="6"/>
  </w:num>
  <w:num w:numId="8" w16cid:durableId="1549410541">
    <w:abstractNumId w:val="8"/>
  </w:num>
  <w:num w:numId="9" w16cid:durableId="1723820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4A82"/>
    <w:rsid w:val="001A7ABA"/>
    <w:rsid w:val="005124C7"/>
    <w:rsid w:val="00BE4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2120ED"/>
  <w15:chartTrackingRefBased/>
  <w15:docId w15:val="{7B233472-3333-469C-B9F7-D2D7DE91B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2F5D8A"/>
      </w:pBdr>
      <w:spacing w:before="100" w:beforeAutospacing="1" w:after="240"/>
      <w:outlineLvl w:val="0"/>
    </w:pPr>
    <w:rPr>
      <w:b/>
      <w:bCs/>
      <w:color w:val="1F3B57"/>
      <w:kern w:val="36"/>
      <w:sz w:val="44"/>
      <w:szCs w:val="44"/>
    </w:rPr>
  </w:style>
  <w:style w:type="paragraph" w:styleId="Heading2">
    <w:name w:val="heading 2"/>
    <w:basedOn w:val="Normal"/>
    <w:link w:val="Heading2Char"/>
    <w:uiPriority w:val="9"/>
    <w:qFormat/>
    <w:pPr>
      <w:spacing w:before="360" w:after="120"/>
      <w:outlineLvl w:val="1"/>
    </w:pPr>
    <w:rPr>
      <w:b/>
      <w:bCs/>
      <w:color w:val="1F3B57"/>
      <w:sz w:val="30"/>
      <w:szCs w:val="30"/>
    </w:rPr>
  </w:style>
  <w:style w:type="paragraph" w:styleId="Heading3">
    <w:name w:val="heading 3"/>
    <w:basedOn w:val="Normal"/>
    <w:link w:val="Heading3Char"/>
    <w:uiPriority w:val="9"/>
    <w:qFormat/>
    <w:pPr>
      <w:spacing w:before="240" w:after="80"/>
      <w:outlineLvl w:val="2"/>
    </w:pPr>
    <w:rPr>
      <w:b/>
      <w:bCs/>
      <w:color w:val="2F5D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60" w:after="120"/>
    </w:pPr>
  </w:style>
  <w:style w:type="paragraph" w:styleId="NormalWeb">
    <w:name w:val="Normal (Web)"/>
    <w:basedOn w:val="Normal"/>
    <w:uiPriority w:val="99"/>
    <w:semiHidden/>
    <w:unhideWhenUsed/>
    <w:pPr>
      <w:spacing w:before="60" w:after="120"/>
    </w:pPr>
  </w:style>
  <w:style w:type="paragraph" w:customStyle="1" w:styleId="toc-title">
    <w:name w:val="toc-title"/>
    <w:basedOn w:val="Normal"/>
    <w:pPr>
      <w:spacing w:before="100" w:beforeAutospacing="1" w:after="40"/>
    </w:pPr>
    <w:rPr>
      <w:b/>
      <w:bCs/>
      <w:color w:val="1F3B57"/>
      <w:sz w:val="30"/>
      <w:szCs w:val="30"/>
    </w:rPr>
  </w:style>
  <w:style w:type="paragraph" w:customStyle="1" w:styleId="caption">
    <w:name w:val="caption"/>
    <w:basedOn w:val="Normal"/>
    <w:pPr>
      <w:spacing w:before="100" w:beforeAutospacing="1" w:after="40"/>
      <w:jc w:val="center"/>
    </w:pPr>
    <w:rPr>
      <w:color w:val="555555"/>
      <w:sz w:val="19"/>
      <w:szCs w:val="19"/>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TOC2">
    <w:name w:val="toc 2"/>
    <w:basedOn w:val="Normal"/>
    <w:next w:val="Normal"/>
    <w:autoRedefine/>
    <w:uiPriority w:val="39"/>
    <w:unhideWhenUsed/>
    <w:rsid w:val="00BE4A82"/>
    <w:pPr>
      <w:spacing w:after="100"/>
      <w:ind w:left="240"/>
    </w:pPr>
  </w:style>
  <w:style w:type="paragraph" w:styleId="Header">
    <w:name w:val="header"/>
    <w:basedOn w:val="Normal"/>
    <w:link w:val="HeaderChar"/>
    <w:uiPriority w:val="99"/>
    <w:unhideWhenUsed/>
    <w:rsid w:val="00BE4A82"/>
    <w:pPr>
      <w:tabs>
        <w:tab w:val="center" w:pos="4513"/>
        <w:tab w:val="right" w:pos="9026"/>
      </w:tabs>
    </w:pPr>
  </w:style>
  <w:style w:type="character" w:customStyle="1" w:styleId="HeaderChar">
    <w:name w:val="Header Char"/>
    <w:basedOn w:val="DefaultParagraphFont"/>
    <w:link w:val="Header"/>
    <w:uiPriority w:val="99"/>
    <w:rsid w:val="00BE4A82"/>
    <w:rPr>
      <w:rFonts w:eastAsiaTheme="minorEastAsia"/>
      <w:sz w:val="24"/>
      <w:szCs w:val="24"/>
    </w:rPr>
  </w:style>
  <w:style w:type="paragraph" w:styleId="Footer">
    <w:name w:val="footer"/>
    <w:basedOn w:val="Normal"/>
    <w:link w:val="FooterChar"/>
    <w:uiPriority w:val="99"/>
    <w:unhideWhenUsed/>
    <w:rsid w:val="00BE4A82"/>
    <w:pPr>
      <w:tabs>
        <w:tab w:val="center" w:pos="4513"/>
        <w:tab w:val="right" w:pos="9026"/>
      </w:tabs>
    </w:pPr>
  </w:style>
  <w:style w:type="character" w:customStyle="1" w:styleId="FooterChar">
    <w:name w:val="Footer Char"/>
    <w:basedOn w:val="DefaultParagraphFont"/>
    <w:link w:val="Footer"/>
    <w:uiPriority w:val="99"/>
    <w:rsid w:val="00BE4A82"/>
    <w:rPr>
      <w:rFonts w:eastAsiaTheme="minorEastAsia"/>
      <w:sz w:val="24"/>
      <w:szCs w:val="24"/>
    </w:rPr>
  </w:style>
  <w:style w:type="character" w:styleId="PageNumber">
    <w:name w:val="page number"/>
    <w:basedOn w:val="DefaultParagraphFont"/>
    <w:uiPriority w:val="99"/>
    <w:semiHidden/>
    <w:unhideWhenUsed/>
    <w:rsid w:val="00BE4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3549</Words>
  <Characters>20235</Characters>
  <Application>Microsoft Office Word</Application>
  <DocSecurity>4</DocSecurity>
  <Lines>168</Lines>
  <Paragraphs>47</Paragraphs>
  <ScaleCrop>false</ScaleCrop>
  <Company/>
  <LinksUpToDate>false</LinksUpToDate>
  <CharactersWithSpaces>23737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Designing an Acceptable Use Policy for a Small Research Organisation</dc:title>
  <dc:subject/>
  <dc:creator>ARPIT YADAV</dc:creator>
  <cp:keywords/>
  <dc:description/>
  <cp:lastModifiedBy>ARPIT YADAV</cp:lastModifiedBy>
  <cp:revision>2</cp:revision>
  <dcterms:created xsi:type="dcterms:W3CDTF">2026-10-18T06:25:00Z</dcterms:created>
  <dcterms:modified xsi:type="dcterms:W3CDTF">2026-10-18T06:25:00Z</dcterms:modified>
</cp:coreProperties>
</file>