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57D" w:rsidRDefault="00E77CFC" w:rsidP="0016114F">
      <w:pPr>
        <w:spacing w:after="0" w:line="240" w:lineRule="auto"/>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PROJECT 1 Proposal</w:t>
      </w: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w:t>
      </w:r>
      <w:proofErr w:type="spellStart"/>
      <w:r>
        <w:rPr>
          <w:rFonts w:ascii="Times New Roman" w:eastAsia="Times New Roman" w:hAnsi="Times New Roman" w:cs="Times New Roman"/>
          <w:b/>
          <w:sz w:val="24"/>
          <w:szCs w:val="24"/>
        </w:rPr>
        <w:t>nkob</w:t>
      </w:r>
      <w:proofErr w:type="spellEnd"/>
    </w:p>
    <w:p w:rsidR="0016114F" w:rsidRDefault="0016114F" w:rsidP="0016114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Members: Heather Baldwin, Ida </w:t>
      </w:r>
      <w:proofErr w:type="spellStart"/>
      <w:r>
        <w:rPr>
          <w:rFonts w:ascii="Times New Roman" w:eastAsia="Times New Roman" w:hAnsi="Times New Roman" w:cs="Times New Roman"/>
          <w:b/>
          <w:sz w:val="24"/>
          <w:szCs w:val="24"/>
        </w:rPr>
        <w:t>Holaskova</w:t>
      </w:r>
      <w:proofErr w:type="spellEnd"/>
      <w:r>
        <w:rPr>
          <w:rFonts w:ascii="Times New Roman" w:eastAsia="Times New Roman" w:hAnsi="Times New Roman" w:cs="Times New Roman"/>
          <w:b/>
          <w:sz w:val="24"/>
          <w:szCs w:val="24"/>
        </w:rPr>
        <w:t>, Denzel Middleton</w:t>
      </w:r>
    </w:p>
    <w:p w:rsidR="008C357D" w:rsidRDefault="00E77CFC" w:rsidP="0016114F">
      <w:pPr>
        <w:spacing w:after="0" w:line="240" w:lineRule="auto"/>
        <w:jc w:val="both"/>
        <w:rPr>
          <w:rFonts w:ascii="Times New Roman" w:eastAsia="Times New Roman" w:hAnsi="Times New Roman" w:cs="Times New Roman"/>
          <w:b/>
          <w:sz w:val="24"/>
          <w:szCs w:val="24"/>
        </w:rPr>
      </w:pPr>
      <w:bookmarkStart w:id="1" w:name="_gjdgxs" w:colFirst="0" w:colLast="0"/>
      <w:bookmarkEnd w:id="1"/>
      <w:r>
        <w:rPr>
          <w:rFonts w:ascii="Times New Roman" w:eastAsia="Times New Roman" w:hAnsi="Times New Roman" w:cs="Times New Roman"/>
          <w:b/>
          <w:sz w:val="24"/>
          <w:szCs w:val="24"/>
        </w:rPr>
        <w:t>Date Sept 10, 2019</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Whole Genome Sequencing of an Antibiotic Resistant Strain of </w:t>
      </w:r>
      <w:r>
        <w:rPr>
          <w:rFonts w:ascii="Times New Roman" w:eastAsia="Times New Roman" w:hAnsi="Times New Roman" w:cs="Times New Roman"/>
          <w:b/>
          <w:i/>
          <w:sz w:val="24"/>
          <w:szCs w:val="24"/>
        </w:rPr>
        <w:t>Neisseria gonorrhoeae</w:t>
      </w:r>
    </w:p>
    <w:p w:rsidR="008C357D" w:rsidRDefault="008C357D" w:rsidP="0016114F">
      <w:pPr>
        <w:spacing w:after="0" w:line="240" w:lineRule="auto"/>
        <w:jc w:val="both"/>
        <w:rPr>
          <w:rFonts w:ascii="Times New Roman" w:eastAsia="Times New Roman" w:hAnsi="Times New Roman" w:cs="Times New Roman"/>
          <w:b/>
          <w:i/>
          <w:sz w:val="24"/>
          <w:szCs w:val="24"/>
        </w:rPr>
      </w:pP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8C357D" w:rsidRDefault="00E77CFC" w:rsidP="001611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2012, 78 million incidences of gonorrhea worldwide were reported to the World Health Organization (WHO) </w:t>
      </w:r>
      <w:r w:rsidR="006D1B1C">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adif661s3u","properties":{"formattedCitation":"({\\i{}1})","plainCitation":"(1)","noteIndex":0},"citationItems":[{"id":22,"uris":["http://zotero.org/users/local/QIlx6d2W/items/BFUYRD3V"],"uri":["http://zotero.org/users/local/QIlx6d2W/items/BFUYRD3V"],"itemData":{"id":22,"type":"article-journal","title":"Global Estimates of the Prevalence and Incidence of Four Curable Sexually Transmitted Infections in 2012 Based on Systematic Review and Global Reporting","container-title":"PLOS ONE","page":"e0143304","volume":"10","issue":"12","source":"PLoS Journals","abstract":"Background Quantifying sexually transmitted infection (STI) prevalence and incidence is important for planning interventions and advocating for resources. The World Health Organization (WHO) periodically estimates global and regional prevalence and incidence of four curable STIs: chlamydia, gonorrhoea, trichomoniasis and syphilis. Methods and Findings WHO’s 2012 estimates were based upon literature reviews of prevalence data from 2005 through 2012 among general populations for genitourinary infection with chlamydia, gonorrhoea, and trichomoniasis, and nationally reported data on syphilis seroprevalence among antenatal care attendees. Data were standardized for laboratory test type, geography, age, and high risk subpopulations, and combined using a Bayesian meta-analytic approach. Regional incidence estimates were generated from prevalence estimates by adjusting for average duration of infection. In 2012, among women aged 15–49 years, the estimated global prevalence of chlamydia was 4.2% (95% uncertainty interval (UI): 3.7–4.7%), gonorrhoea 0.8% (0.6–1.0%), trichomoniasis 5.0% (4.0–6.4%), and syphilis 0.5% (0.4–0.6%); among men, estimated chlamydia prevalence was 2.7% (2.0–3.6%), gonorrhoea 0.6% (0.4–0.9%), trichomoniasis 0.6% (0.4–0.8%), and syphilis 0.48% (0.3–0.7%). These figures correspond to an estimated 131 million new cases of chlamydia (100–166 million), 78 million of gonorrhoea (53–110 million), 143 million of trichomoniasis (98–202 million), and 6 million of syphilis (4–8 million). Prevalence and incidence estimates varied by region and sex. Conclusions Estimates of the global prevalence and incidence of chlamydia, gonorrhoea, trichomoniasis, and syphilis in adult women and men remain high, with nearly one million new infections with curable STI each day. The estimates highlight the urgent need for the public health community to ensure that well-recognized effective interventions for STI prevention, screening, diagnosis, and treatment are made more widely available. Improved estimation methods are needed to allow use of more varied data and generation of estimates at the national level.","DOI":"10.1371/journal.pone.0143304","ISSN":"1932-6203","journalAbbreviation":"PLOS ONE","language":"en","author":[{"family":"Newman","given":"Lori"},{"family":"Rowley","given":"Jane"},{"family":"Hoorn","given":"Stephen Vander"},{"family":"Wijesooriya","given":"Nalinka Saman"},{"family":"Unemo","given":"Magnus"},{"family":"Low","given":"Nicola"},{"family":"Stevens","given":"Gretchen"},{"family":"Gottlieb","given":"Sami"},{"family":"Kiarie","given":"James"},{"family":"Temmerman","given":"Marleen"}],"issued":{"date-parts":[["2015",12,8]]}}}],"schema":"https://github.com/citation-style-language/schema/raw/master/csl-citation.json"} </w:instrText>
      </w:r>
      <w:r w:rsidR="006D1B1C">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1</w:t>
      </w:r>
      <w:r w:rsidR="00136E9A" w:rsidRPr="00136E9A">
        <w:rPr>
          <w:rFonts w:ascii="Times New Roman" w:hAnsi="Times New Roman" w:cs="Times New Roman"/>
          <w:sz w:val="24"/>
          <w:szCs w:val="24"/>
        </w:rPr>
        <w:t>)</w:t>
      </w:r>
      <w:r w:rsidR="006D1B1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Gonorrhea is a sexually transmitted disease (STD) transmitted by </w:t>
      </w:r>
      <w:r>
        <w:rPr>
          <w:rFonts w:ascii="Times New Roman" w:eastAsia="Times New Roman" w:hAnsi="Times New Roman" w:cs="Times New Roman"/>
          <w:i/>
          <w:sz w:val="24"/>
          <w:szCs w:val="24"/>
        </w:rPr>
        <w:t>Neisseria gonorrhoeae</w:t>
      </w:r>
      <w:r>
        <w:rPr>
          <w:rFonts w:ascii="Times New Roman" w:eastAsia="Times New Roman" w:hAnsi="Times New Roman" w:cs="Times New Roman"/>
          <w:sz w:val="24"/>
          <w:szCs w:val="24"/>
        </w:rPr>
        <w:t xml:space="preserve">. Widespread and improper use of antibiotics have advanced antibiotic resistance of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to the extent of both multidrug-resistant and extensively drug-resistant strains being identified </w:t>
      </w:r>
      <w:r w:rsidR="006D1B1C">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a5a5anvlt5","properties":{"formattedCitation":"({\\i{}2})","plainCitation":"(2)","noteIndex":0},"citationItems":[{"id":20,"uris":["http://zotero.org/users/local/QIlx6d2W/items/PBLK7I6C"],"uri":["http://zotero.org/users/local/QIlx6d2W/items/PBLK7I6C"],"itemData":{"id":20,"type":"article-journal","title":"Meeting the public health challenge of multidrug- and extensively drug-resistant Neisseria gonorrhoeae","container-title":"Expert Review of Anti-Infective Therapy; London","page":"821-34","volume":"7","issue":"7","source":"ProQuest","abstract":"Globally, antimicrobial resistance (AMR) in Neisseria gonorrhoeae is increasing in prevalence, both within and across antibiotic classes, including extended-spectrum cephalosporins, raising concerns that gonorrhea may become untreatable in certain circumstances. The AMR surveillance that is essential to optimize standard treatments is often lacking or of poor quality in countries with high disease rates. Recent initiatives by the WHO to enhance global AMR surveillance that focus on multidrug- and extensively drug-resistant N. gonorrhoeae through revision of surveillance standards and use of a new panel of N. gonorrhoeae control strains are described. Keys to meeting these new challenges posed by gonococcal AMR remain the reduction in global burden of gonorrhea combined with implementation of wider strategies for general AMR control, and better understanding of mechanisms of emergence and spread of AMR.","DOI":"http://dx.doi.org/10.1586/eri.09.63","ISSN":"1478-7210","language":"English","author":[{"family":"Tapsall","given":"John W."},{"family":"Ndowa","given":"Francis"},{"family":"Lewis","given":"David A."},{"family":"Unemo","given":"Magnus"}],"issued":{"date-parts":[["2009",9]]}}}],"schema":"https://github.com/citation-style-language/schema/raw/master/csl-citation.json"} </w:instrText>
      </w:r>
      <w:r w:rsidR="006D1B1C">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2</w:t>
      </w:r>
      <w:r w:rsidR="00136E9A" w:rsidRPr="00136E9A">
        <w:rPr>
          <w:rFonts w:ascii="Times New Roman" w:hAnsi="Times New Roman" w:cs="Times New Roman"/>
          <w:sz w:val="24"/>
          <w:szCs w:val="24"/>
        </w:rPr>
        <w:t>)</w:t>
      </w:r>
      <w:r w:rsidR="006D1B1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Neisseria gonorrhoeae </w:t>
      </w:r>
      <w:r>
        <w:rPr>
          <w:rFonts w:ascii="Times New Roman" w:eastAsia="Times New Roman" w:hAnsi="Times New Roman" w:cs="Times New Roman"/>
          <w:sz w:val="24"/>
          <w:szCs w:val="24"/>
        </w:rPr>
        <w:t>colonizes in warm, moist regions of the female reproductive tract as well as the urethra in both males and females. The spread of infection to the fallopian tubes and/or the uterus can lead to the pathogenesis of pelvic inflammatory disease (PID). Both infertility and ectopic pregnancy rates increase in patients with a history of PID.</w:t>
      </w:r>
    </w:p>
    <w:p w:rsidR="008C357D" w:rsidRDefault="00E77CFC" w:rsidP="001611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t>Neisseria gonorrhoeae</w:t>
      </w:r>
      <w:r>
        <w:rPr>
          <w:rFonts w:ascii="Times New Roman" w:eastAsia="Times New Roman" w:hAnsi="Times New Roman" w:cs="Times New Roman"/>
          <w:sz w:val="24"/>
          <w:szCs w:val="24"/>
        </w:rPr>
        <w:t xml:space="preserve"> is constantly changing and new strains are evolving which has led to multidrug antibiotic resistance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WVzOKtdr","properties":{"formattedCitation":"({\\i{}3})","plainCitation":"(3)","noteIndex":0},"citationItems":[{"id":17,"uris":["http://zotero.org/users/local/QIlx6d2W/items/FFKGL6NR"],"uri":["http://zotero.org/users/local/QIlx6d2W/items/FFKGL6NR"],"itemData":{"id":17,"type":"article-journal","title":"Public health surveillance of multidrug-resistant clones of Neisseria gonorrhoeae in Europe: a genomic survey","container-title":"The Lancet. Infectious Diseases","page":"758-768","volume":"18","issue":"7","source":"PubMed Central","abstract":"Background\nTraditional methods for molecular epidemiology of Neisseria gonorrhoeae are suboptimal. Whole-genome sequencing (WGS) offers ideal resolution to describe population dynamics and to predict and infer transmission of antimicrobial resistance, and can enhance infection control through linkage with epidemiological data. We used WGS, in conjunction with linked epidemiological and phenotypic data, to describe the gonococcal population in 20 European countries. We aimed to detail changes in phenotypic antimicrobial resistance levels (and the reasons for these changes) and strain distribution (with a focus on antimicrobial resistance strains in risk groups), and to predict antimicrobial resistance from WGS data.\n\nMethods\nWe carried out an observational study, in which we sequenced isolates taken from patients with gonorrhoea from the European Gonococcal Antimicrobial Surveillance Programme in 20 countries from September to November, 2013. We also developed a web platform that we used for automated antimicrobial resistance prediction, molecular typing (N gonorrhoeae multi-antigen sequence typing [NG-MAST] and multilocus sequence typing), and phylogenetic clustering in conjunction with epidemiological and phenotypic data.\n\nFindings\nThe multidrug-resistant NG-MAST genogroup G1407 was predominant and accounted for the most cephalosporin resistance, but the prevalence of this genogroup decreased from 248 (23%) of 1066 isolates in a previous study from 2009–10 to 174 (17%) of 1054 isolates in this survey in 2013. This genogroup previously showed an association with men who have sex with men, but changed to an association with heterosexual people (odds ratio=4·29). WGS provided substantially improved resolution and accuracy over NG-MAST and multilocus sequence typing, predicted antimicrobial resistance relatively well, and identified discrepant isolates, mixed infections or contaminants, and multidrug-resistant clades linked to risk groups.\n\nInterpretation\nTo our knowledge, we provide the first use of joint analysis of WGS and epidemiological data in an international programme for regional surveillance of sexually transmitted infections. WGS provided enhanced understanding of the distribution of antimicrobial resistance clones, including replacement with clones that were more susceptible to antimicrobials, in several risk groups nationally and regionally. We provide a framework for genomic surveillance of gonococci through standardised sampling, use of WGS, and a shared information architecture for interpretation and dissemination by use of open access software.\n\nFunding\nThe European Centre for Disease Prevention and Control, The Centre for Genomic Pathogen Surveillance, Örebro University Hospital, and Wellcome.","DOI":"10.1016/S1473-3099(18)30225-1","ISSN":"1473-3099","note":"PMID: 29776807\nPMCID: PMC6010626","title-short":"Public health surveillance of multidrug-resistant clones of Neisseria gonorrhoeae in Europe","journalAbbreviation":"Lancet Infect Dis","author":[{"family":"Harris","given":"Simon R"},{"family":"Cole","given":"Michelle J"},{"family":"Spiteri","given":"Gianfranco"},{"family":"Sánchez-Busó","given":"Leonor"},{"family":"Golparian","given":"Daniel"},{"family":"Jacobsson","given":"Susanne"},{"family":"Goater","given":"Richard"},{"family":"Abudahab","given":"Khalil"},{"family":"Yeats","given":"Corin A"},{"family":"Bercot","given":"Beatrice"},{"family":"Borrego","given":"Maria José"},{"family":"Crowley","given":"Brendan"},{"family":"Stefanelli","given":"Paola"},{"family":"Tripodo","given":"Francesco"},{"family":"Abad","given":"Raquel"},{"family":"Aanensen","given":"David M"},{"family":"Unemo","given":"Magnus"}],"issued":{"date-parts":[["2018",7]]}}}],"schema":"https://github.com/citation-style-language/schema/raw/master/csl-citation.json"}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3</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Over the past decade, whole genome sequencing (WGS) has been utilized to examine the pathogenicity and antibiotic-resistant mechanisms of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 xml:space="preserve">as WGS offers improved accuracy and finer resolution to previously utilized methods including multi-antigen sequence typing </w:t>
      </w:r>
      <w:r w:rsidR="00FA6A12">
        <w:rPr>
          <w:rFonts w:ascii="Times New Roman" w:eastAsia="Times New Roman" w:hAnsi="Times New Roman" w:cs="Times New Roman"/>
          <w:i/>
          <w:sz w:val="24"/>
          <w:szCs w:val="24"/>
        </w:rPr>
        <w:fldChar w:fldCharType="begin"/>
      </w:r>
      <w:r w:rsidR="00136E9A">
        <w:rPr>
          <w:rFonts w:ascii="Times New Roman" w:eastAsia="Times New Roman" w:hAnsi="Times New Roman" w:cs="Times New Roman"/>
          <w:i/>
          <w:sz w:val="24"/>
          <w:szCs w:val="24"/>
        </w:rPr>
        <w:instrText xml:space="preserve"> ADDIN ZOTERO_ITEM CSL_CITATION {"citationID":"tGySRowS","properties":{"formattedCitation":"({\\i{}4}, {\\i{}5})","plainCitation":"(4, 5)","noteIndex":0},"citationItems":[{"id":28,"uris":["http://zotero.org/users/local/QIlx6d2W/items/EC8D9PLZ"],"uri":["http://zotero.org/users/local/QIlx6d2W/items/EC8D9PLZ"],"itemData":{"id":28,"type":"article-journal","title":"Genomic epidemiology and antimicrobial resistance of Neisseria gonorrhoeae in New Zealand","container-title":"Journal of Antimicrobial Chemotherapy","page":"353-364","volume":"73","issue":"2","source":"DOI.org (Crossref)","abstract":"Background: Antimicrobial-resistant Neisseria gonorrhoeae is a major threat to public health. No studies to date have examined the genomic epidemiology of gonorrhoea in the Western Paciﬁc Region, where the incidence of gonorrhoea is particularly high.\nMethods: A population-level study of N. gonorrhoeae in New Zealand (October 2014 to May 2015). Comprehensive susceptibility testing and WGS data were obtained for 398 isolates. Relatedness was inferred using phylogenetic trees, and pairwise core SNPs. Mutations and genes known to be associated with resistance were identiﬁed, and correlated with phenotype.\nResults: Eleven clusters were identiﬁed. In six of these clusters, .25% of isolates were from females, while in eight of them, .15% of isolates were from females. Drug resistance was common; 98%, 32% and 68% of isolates were non-susceptible to penicillin, ciproﬂoxacin and tetracycline, respectively. Elevated MICs to extendedspectrum cephalosporins (ESCs) were observed in 3.5% of isolates (ceﬁxime MICs \u00150.12 mg/L, ceftriaxone MICs \u00150.06 mg/L). Only nine isolates had penA XXXIV genotypes, three of which had decreased susceptibility to ESCs (MIC \" 0.12 mg/L). Azithromycin non-susceptibility was identiﬁed in 43 isolates (10.8%); two of these isolates had 23S mutations (C2611T, 4/4 alleles), while all had mutations in mtrR or its promoter.\nConclusions: The high proportion of females in clusters suggests transmission is not exclusively among MSM in New Zealand; re-assessment of risk factors for transmission may be warranted in this context. As elevated MICs of ESCs and/or azithromycin were found in closely related strains, targeted public health interventions to halt transmission are urgently needed.","DOI":"10.1093/jac/dkx405","ISSN":"0305-7453, 1460-2091","language":"en","author":[{"family":"Lee","given":"Robyn S"},{"family":"Seemann","given":"Torsten"},{"family":"Heffernan","given":"Helen"},{"family":"Kwong","given":"Jason C"},{"family":"Gonçalves da Silva","given":"Anders"},{"family":"Carter","given":"Glen P"},{"family":"Woodhouse","given":"Rosemary"},{"family":"Dyet","given":"Kristin H"},{"family":"Bulach","given":"Dieter M"},{"family":"Stinear","given":"Timothy P"},{"family":"Howden","given":"Benjamin P"},{"family":"Williamson","given":"Deborah A"}],"issued":{"date-parts":[["2018",2,1]]}}},{"id":14,"uris":["http://zotero.org/users/local/QIlx6d2W/items/HQHUPQ7V"],"uri":["http://zotero.org/users/local/QIlx6d2W/items/HQHUPQ7V"],"itemData":{"id":14,"type":"article-journal","title":"Genotypic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FA6A12">
        <w:rPr>
          <w:rFonts w:ascii="Times New Roman" w:eastAsia="Times New Roman" w:hAnsi="Times New Roman" w:cs="Times New Roman"/>
          <w:i/>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4</w:t>
      </w:r>
      <w:r w:rsidR="00136E9A" w:rsidRPr="00136E9A">
        <w:rPr>
          <w:rFonts w:ascii="Times New Roman" w:hAnsi="Times New Roman" w:cs="Times New Roman"/>
          <w:sz w:val="24"/>
          <w:szCs w:val="24"/>
        </w:rPr>
        <w:t xml:space="preserve">, </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FA6A12">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In addition, WGS can aid in the identification of the presence of multiple infections, sample contaminants, and discrepant isolates. Once the WGS is obtained, data can be screened in the future for the presence of known antibiotic resistance gene(s). O</w:t>
      </w:r>
      <w:r w:rsidR="00955971">
        <w:rPr>
          <w:rFonts w:ascii="Times New Roman" w:eastAsia="Times New Roman" w:hAnsi="Times New Roman" w:cs="Times New Roman"/>
          <w:sz w:val="24"/>
          <w:szCs w:val="24"/>
        </w:rPr>
        <w:t>f great significance, o</w:t>
      </w:r>
      <w:r>
        <w:rPr>
          <w:rFonts w:ascii="Times New Roman" w:eastAsia="Times New Roman" w:hAnsi="Times New Roman" w:cs="Times New Roman"/>
          <w:sz w:val="24"/>
          <w:szCs w:val="24"/>
        </w:rPr>
        <w:t xml:space="preserve">btaining the WGS of various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isolates is critical to the development effective</w:t>
      </w:r>
      <w:r w:rsidR="009559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treatment methods. The collected specimen, after verifying antibiotics resistance will be sequenced and compared to known resistant strains. </w:t>
      </w:r>
    </w:p>
    <w:p w:rsidR="008C357D" w:rsidRDefault="00E77CFC" w:rsidP="0016114F">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aim of the research is to assemble the WGS of the GCWGS_5192 (SRA number: SRX6631047) antibiotic resistant strain of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w:t>
      </w:r>
      <w:r w:rsidR="00955971">
        <w:rPr>
          <w:rFonts w:ascii="Times New Roman" w:eastAsia="Times New Roman" w:hAnsi="Times New Roman" w:cs="Times New Roman"/>
          <w:sz w:val="24"/>
          <w:szCs w:val="24"/>
        </w:rPr>
        <w:t xml:space="preserve"> </w:t>
      </w:r>
    </w:p>
    <w:p w:rsidR="00955971" w:rsidRDefault="00955971"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Ethics Statement</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Prior to study initiation, this investigation will be reviewed by the institutional review</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board at the West Virginia University.</w:t>
      </w: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E77CFC" w:rsidP="0016114F">
      <w:pPr>
        <w:spacing w:after="0" w:line="240" w:lineRule="auto"/>
        <w:jc w:val="both"/>
        <w:rPr>
          <w:rFonts w:ascii="Times New Roman" w:eastAsia="Times New Roman" w:hAnsi="Times New Roman" w:cs="Times New Roman"/>
          <w:b/>
          <w:sz w:val="24"/>
          <w:szCs w:val="24"/>
        </w:rPr>
      </w:pPr>
      <w:bookmarkStart w:id="2" w:name="_30j0zll" w:colFirst="0" w:colLast="0"/>
      <w:bookmarkEnd w:id="2"/>
      <w:r>
        <w:rPr>
          <w:rFonts w:ascii="Times New Roman" w:eastAsia="Times New Roman" w:hAnsi="Times New Roman" w:cs="Times New Roman"/>
          <w:b/>
          <w:i/>
          <w:sz w:val="24"/>
          <w:szCs w:val="24"/>
        </w:rPr>
        <w:t xml:space="preserve">N. gonorrhoeae </w:t>
      </w:r>
      <w:r>
        <w:rPr>
          <w:rFonts w:ascii="Times New Roman" w:eastAsia="Times New Roman" w:hAnsi="Times New Roman" w:cs="Times New Roman"/>
          <w:b/>
          <w:sz w:val="24"/>
          <w:szCs w:val="24"/>
        </w:rPr>
        <w:t>Isolates Sampling</w:t>
      </w:r>
    </w:p>
    <w:p w:rsidR="008C357D" w:rsidRDefault="008C357D" w:rsidP="0016114F">
      <w:pPr>
        <w:spacing w:after="0" w:line="240" w:lineRule="auto"/>
        <w:jc w:val="both"/>
        <w:rPr>
          <w:rFonts w:ascii="Times New Roman" w:eastAsia="Times New Roman" w:hAnsi="Times New Roman" w:cs="Times New Roman"/>
          <w:b/>
          <w:sz w:val="24"/>
          <w:szCs w:val="24"/>
        </w:rPr>
      </w:pPr>
      <w:bookmarkStart w:id="3" w:name="_8zlse2y0w51l" w:colFirst="0" w:colLast="0"/>
      <w:bookmarkEnd w:id="3"/>
    </w:p>
    <w:p w:rsidR="008C357D" w:rsidRDefault="00E77CFC" w:rsidP="0016114F">
      <w:pPr>
        <w:spacing w:after="0" w:line="240" w:lineRule="auto"/>
        <w:jc w:val="both"/>
        <w:rPr>
          <w:rFonts w:ascii="Times New Roman" w:eastAsia="Times New Roman" w:hAnsi="Times New Roman" w:cs="Times New Roman"/>
          <w:b/>
          <w:sz w:val="24"/>
          <w:szCs w:val="24"/>
        </w:rPr>
      </w:pPr>
      <w:bookmarkStart w:id="4" w:name="_ausos1u4soky" w:colFirst="0" w:colLast="0"/>
      <w:bookmarkEnd w:id="4"/>
      <w:r>
        <w:rPr>
          <w:rFonts w:ascii="Times New Roman" w:eastAsia="Times New Roman" w:hAnsi="Times New Roman" w:cs="Times New Roman"/>
          <w:b/>
          <w:sz w:val="24"/>
          <w:szCs w:val="24"/>
        </w:rPr>
        <w:t xml:space="preserve"> </w:t>
      </w:r>
      <w:r w:rsidR="0016114F">
        <w:rPr>
          <w:rFonts w:ascii="Times New Roman" w:eastAsia="Times New Roman" w:hAnsi="Times New Roman" w:cs="Times New Roman"/>
          <w:b/>
          <w:sz w:val="24"/>
          <w:szCs w:val="24"/>
        </w:rPr>
        <w:tab/>
      </w:r>
      <w:r>
        <w:rPr>
          <w:rFonts w:ascii="Times New Roman" w:eastAsia="Times New Roman" w:hAnsi="Times New Roman" w:cs="Times New Roman"/>
          <w:sz w:val="24"/>
          <w:szCs w:val="24"/>
        </w:rPr>
        <w:t>Isolates of</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N</w:t>
      </w:r>
      <w:r w:rsidR="0016114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gonorrhoeae </w:t>
      </w:r>
      <w:r>
        <w:rPr>
          <w:rFonts w:ascii="Times New Roman" w:eastAsia="Times New Roman" w:hAnsi="Times New Roman" w:cs="Times New Roman"/>
          <w:sz w:val="24"/>
          <w:szCs w:val="24"/>
        </w:rPr>
        <w:t xml:space="preserve">will be collected and cryopreserved according to protocol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Hr5OHH46","properties":{"formattedCitation":"({\\i{}5})","plainCitation":"(5)","noteIndex":0},"citationItems":[{"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addition to clinical information about the antimicrobial susceptibility testing, epidemiological data (sex, age, sexual orientation), the anatomical site sample was collected from, previous gonorrhea diagnosis, other sexually transmitted infections diagnosed during the current gonorrhea infection, place of residence (zip code), type of clinic that the patient visited, HIV status, and probable state or country of infection. Bacterial isolates obtained from clinical specimens will be </w:t>
      </w:r>
      <w:r>
        <w:rPr>
          <w:rFonts w:ascii="Times New Roman" w:eastAsia="Times New Roman" w:hAnsi="Times New Roman" w:cs="Times New Roman"/>
          <w:sz w:val="24"/>
          <w:szCs w:val="24"/>
        </w:rPr>
        <w:lastRenderedPageBreak/>
        <w:t xml:space="preserve">identified as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by matrix-assisted laser desorption ionization - time of flight mass spectrometry (MALDI-TOF MS) using the BioTyper (Bruker Corporation) and frozen at 80°C in reconstituted powdered milk. Prior to antimicrobial susceptibility testing (AST) and sequencing, isolates will be thawed and subcultured twice on chocolate agar (Hardy Diagnostics) incubated at 35°C2°C with 5% CO2, and the organism identification will be confirmed with Vitek MS MALDI-TOF MS (bioMérieux).</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Cell culture and Antimicrobial Resistance Testing</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gonococcal isolates will be cultured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qpreJtiG","properties":{"formattedCitation":"({\\i{}5})","plainCitation":"(5)","noteIndex":0},"citationItems":[{"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antimicrobial susceptibility testing will be done to determine the minimum inhibitory concentration (MIC) with Etests (bioMérieux; Marcy-l'Étoile, France) for cefixime and ceftriaxone, and an agar dilution breakpoint method or Etests for ciprofloxacin, azithromycin, and spectinomycin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uxfEgcn7","properties":{"formattedCitation":"({\\i{}5})","plainCitation":"(5)","noteIndex":0},"citationItems":[{"id":14,"uris":["http://zotero.org/users/local/QIlx6d2W/items/HQHUPQ7V"],"uri":["http://zotero.org/users/local/QIlx6d2W/items/HQHUPQ7V"],"itemData":{"id":14,"type":"article-journal","title":"Genotypic and Phenotypic Characterization of Antimicrobial Resistance in Neisseria gonorrhoeae: a Cross-Sectional Study of Isolates Recovered from Routine Urine Cultures in a High-Incidence Setting","container-title":"mSphere","volume":"4","issue":"4","source":"PubMed Central","abstract":"Neisseria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 The objectives of this study were to perform genomic and phenotypic characterization of antimicrobial resistance in Neisseria gonorrhoeae isolates recovered from urine samples from patients in St. Louis, MO, USA. Sixty-four clinical isolates were banked over a 2-year period and subjected to antimicrobial susceptibility testing (AST) by Kirby-Bauer disk diffusion (penicillin, tetracycline, cefuroxime, and ciprofloxacin) and gradient diffusion (tetracycline, doxycycline, azithromycin, ceftriaxone, cefixime, ciprofloxacin, gemifloxacin, and delafloxacin). The medical records for the patients were evaluated to determine the demographics, location, and prescribed treatment regimen. Isolate draft genomes were assembled from Illumina shotgun sequencing data, and resistance determinants were identified by ResFinder and PointFinder. Of the 64 isolates, 97% were nonsusceptible to penicillin, with resistant isolates all containing the blaTEM-1b gene; 78 and 81% of isolates were nonsusceptible to tetracycline and doxycycline, respectively, with resistant isolates all containing the tet(M) gene. One isolate was classified as non-wild-type to azithromycin, and all isolates were susceptible to ceftriaxone; 89% of patients received this combination of drugs as first-line therapy. Six percent of isolates were resistant to ciprofloxacin, with most resistant isolates containing multiple gyrA and parC mutations. Correlation between disk and gradient diffusion AST devices was high for tetracycline and ciprofloxacin (R2 &gt; 99% for both). The rates of N. gonorrhoeae antibiotic resistance in St. Louis are comparable to current rates reported nationally, except ciprofloxacin resistance was less common in our cohort. Strong associations between specific genetic markers and phenotypic susceptibility testing hold promise for the utility of genotype-based diagnostic assays to guide directed antibiotic therapy., IMPORTANCE\nNeisseria gonorrhoeae causes the sexually transmitted infection gonorrhea, which is most commonly diagnosed using a DNA-based detection method that does not require growth and isolation of N. gonorrhoeae in the laboratory. This is problematic because the rates of antibiotic resistance in N. gonorrhoeae are increasing, but without isolating the organism in the clinical laboratory, antibiotic susceptibility testing cannot be performed on strains recovered from clinical specimens. We observed an increase in the frequency of urine cultures growing N. gonorrhoeae after we implemented a total laboratory automation system for culture in our clinical laboratory. Here, we report on the rates of resistance to multiple historically used, first-line, and potential future-use antibiotics for 64 N. gonorrhoeae isolates. We found that the rates of antibiotic resistance in our isolates were comparable to national rates. Additionally, resistance to specific antibiotics correlated closely with the presence of genetic resistance genes, suggesting that DNA-based tests could also be designed to guide antibiotic therapy for treating gonorrhea.","URL":"https://www.ncbi.nlm.nih.gov/pmc/articles/PMC6656870/","DOI":"10.1128/mSphere.00373-19","ISSN":"2379-5042","note":"PMID: 31341071\nPMCID: PMC6656870","title-short":"Genotypic and Phenotypic Characterization of Antimicrobial Resistance in Neisseria gonorrhoeae","journalAbbreviation":"mSphere","author":[{"family":"Bailey","given":"Adam L."},{"family":"Potter","given":"Robert F."},{"family":"Wallace","given":"Meghan A."},{"family":"Johnson","given":"Caitlin"},{"family":"Dantas","given":"Gautam"},{"family":"Burnham","given":"Carey-Ann D."}],"issued":{"date-parts":[["2019",7,24]]},"accessed":{"date-parts":[["2019",9,9]]}}}],"schema":"https://github.com/citation-style-language/schema/raw/master/csl-citation.json"}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5</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w:t>
      </w:r>
    </w:p>
    <w:p w:rsidR="008C357D" w:rsidRDefault="008C357D" w:rsidP="0016114F">
      <w:pPr>
        <w:spacing w:line="240" w:lineRule="auto"/>
        <w:jc w:val="both"/>
        <w:rPr>
          <w:rFonts w:ascii="Times New Roman" w:eastAsia="Times New Roman" w:hAnsi="Times New Roman" w:cs="Times New Roman"/>
          <w:sz w:val="24"/>
          <w:szCs w:val="24"/>
        </w:rPr>
      </w:pPr>
    </w:p>
    <w:p w:rsidR="008C357D" w:rsidRDefault="00E77CFC" w:rsidP="0016114F">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WGS Procedures and Analyses</w:t>
      </w:r>
    </w:p>
    <w:p w:rsidR="008C357D" w:rsidRDefault="00E77CFC" w:rsidP="0016114F">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DNA will be extracted from a single isolate with a Wizard Genomic DNA Purification kit (Promega; Madison, WI, USA). Genomic DNA obtained from pure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 xml:space="preserve">culture (0.5 ng) will be used to create sequencing libraries with the Nextera kit (Illumina, San Diego, CA, USA)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odrRLb3o","properties":{"formattedCitation":"({\\i{}6})","plainCitation":"(6)","noteIndex":0},"citationItems":[{"id":34,"uris":["http://zotero.org/users/local/QIlx6d2W/items/UHGL8Z3H"],"uri":["http://zotero.org/users/local/QIlx6d2W/items/UHGL8Z3H"],"itemData":{"id":34,"type":"article-journal","title":"Inexpensive Multiplexed Library Preparation for Megabase-Sized Genomes","container-title":"PLOS ONE","page":"15","source":"Zotero","language":"en","author":[{"family":"Baym","given":"Michael"},{"family":"Kryazhimskiy","given":"Sergey"},{"family":"Lieberman","given":"Tami D"},{"family":"Chung","given":"Hattie"},{"family":"Desai","given":"Michael M"},{"family":"Kishony","given":"Roy"}],"issued":{"date-parts":[["2015"]]}}}],"schema":"https://github.com/citation-style-language/schema/raw/master/csl-citation.json"}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6</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sequenced on the Illumina MiSeq platform (SanDiego, CA, USA) at the Genomic Core at West Virginia University with collaboration with Genomics Core Facility at Marshall University (MU) in WV. Next generation sequencing (NGS) is the </w:t>
      </w:r>
      <w:r w:rsidR="00136E9A">
        <w:rPr>
          <w:rFonts w:ascii="Times New Roman" w:eastAsia="Times New Roman" w:hAnsi="Times New Roman" w:cs="Times New Roman"/>
          <w:sz w:val="24"/>
          <w:szCs w:val="24"/>
        </w:rPr>
        <w:t>cutting-edge</w:t>
      </w:r>
      <w:r>
        <w:rPr>
          <w:rFonts w:ascii="Times New Roman" w:eastAsia="Times New Roman" w:hAnsi="Times New Roman" w:cs="Times New Roman"/>
          <w:sz w:val="24"/>
          <w:szCs w:val="24"/>
        </w:rPr>
        <w:t xml:space="preserve"> technology and provides more accuracy and speed than previously known Sanger sequencing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xdCbpTSo","properties":{"formattedCitation":"({\\i{}7})","plainCitation":"(7)","noteIndex":0},"citationItems":[{"id":26,"uris":["http://zotero.org/users/local/QIlx6d2W/items/MCJMDYST"],"uri":["http://zotero.org/users/local/QIlx6d2W/items/MCJMDYST"],"itemData":{"id":26,"type":"article-journal","title":"Next generation sequencing technology: Advances and applications","container-title":"Biochimica et Biophysica Acta (BBA) - Molecular Basis of Disease","page":"1932-1941","volume":"1842","issue":"10","source":"DOI.org (Crossref)","abstract":"Impressive progress has been made in the ﬁeld of Next Generation Sequencing (NGS). Through advancements in the ﬁelds of molecular biology and technical engineering, parallelization of the sequencing reaction has profoundly increased the total number of produced sequence reads per run. Current sequencing platforms allow for a previously unprecedented view into complex mixtures of RNA and DNA samples. NGS is currently evolving into a molecular microscope ﬁnding its way into virtually every ﬁelds of biomedical research. In this chapter we review the technical background of the different commercially available NGS platforms with respect to template generation and the sequencing reaction and take a small step towards what the upcoming NGS technologies will bring. We close with an overview of different implementations of NGS into biomedical research. This article is part of a Special Issue entitled: From Genome to Function.","DOI":"10.1016/j.bbadis.2014.06.015","ISSN":"09254439","title-short":"Next generation sequencing technology","journalAbbreviation":"Biochimica et Biophysica Acta (BBA) - Molecular Basis of Disease","language":"en","author":[{"family":"Buermans","given":"H.P.J."},{"family":"Dunnen","given":"J.T.","non-dropping-particle":"den"}],"issued":{"date-parts":[["2014",10]]}}}],"schema":"https://github.com/citation-style-language/schema/raw/master/csl-citation.json"}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7</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E67E1A">
        <w:rPr>
          <w:rFonts w:ascii="Times New Roman" w:eastAsia="Times New Roman" w:hAnsi="Times New Roman" w:cs="Times New Roman"/>
          <w:sz w:val="24"/>
          <w:szCs w:val="24"/>
        </w:rPr>
        <w:t>.</w:t>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Paired</w:t>
      </w:r>
      <w:r w:rsidR="0016114F">
        <w:rPr>
          <w:rFonts w:ascii="Times New Roman" w:eastAsia="Times New Roman" w:hAnsi="Times New Roman" w:cs="Times New Roman"/>
          <w:sz w:val="24"/>
          <w:szCs w:val="24"/>
        </w:rPr>
        <w:t>-</w:t>
      </w:r>
      <w:r>
        <w:rPr>
          <w:rFonts w:ascii="Times New Roman" w:eastAsia="Times New Roman" w:hAnsi="Times New Roman" w:cs="Times New Roman"/>
          <w:sz w:val="24"/>
          <w:szCs w:val="24"/>
        </w:rPr>
        <w:t>end sequencing will be utilized to over single-end sequences due to higher quality and accuracy</w:t>
      </w:r>
      <w:r w:rsidR="00136E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alignable sequence data </w:t>
      </w:r>
      <w:r w:rsidR="00136E9A">
        <w:rPr>
          <w:rFonts w:ascii="Times New Roman" w:eastAsia="Times New Roman" w:hAnsi="Times New Roman" w:cs="Times New Roman"/>
          <w:i/>
          <w:sz w:val="24"/>
          <w:szCs w:val="24"/>
        </w:rPr>
        <w:fldChar w:fldCharType="begin"/>
      </w:r>
      <w:r w:rsidR="00136E9A">
        <w:rPr>
          <w:rFonts w:ascii="Times New Roman" w:eastAsia="Times New Roman" w:hAnsi="Times New Roman" w:cs="Times New Roman"/>
          <w:i/>
          <w:sz w:val="24"/>
          <w:szCs w:val="24"/>
        </w:rPr>
        <w:instrText xml:space="preserve"> ADDIN ZOTERO_ITEM CSL_CITATION {"citationID":"GiGQnQR1","properties":{"formattedCitation":"({\\i{}8})","plainCitation":"(8)","noteIndex":0},"citationItems":[{"id":38,"uris":["http://zotero.org/users/local/QIlx6d2W/items/RJG7R3NC"],"uri":["http://zotero.org/users/local/QIlx6d2W/items/RJG7R3NC"],"itemData":{"id":38,"type":"article-journal","title":"Experimental Design-Based Functional Mining and Characterization of High-Throughput Sequencing Data in the Sequence Read Archive","container-title":"PLoS ONE","page":"e77910","volume":"8","issue":"10","source":"DOI.org (Crossref)","abstract":"High-throughput sequencing technology, also called next-generation sequencing (NGS), has the potential to revolutionize the whole process of genome sequencing, transcriptomics, and epigenetics. Sequencing data is captured in a public primary data archive, the Sequence Read Archive (SRA). As of January 2013, data from more than 14,000 projects have been submitted to SRA, which is double that of the previous year. Researchers can download raw sequence data from SRA website to perform further analyses and to compare with their own data. However, it is extremely difficult to search entries and download raw sequences of interests with SRA because the data structure is complicated, and experimental conditions along with raw sequences are partly described in natural language. Additionally, some sequences are of inconsistent quality because anyone can submit sequencing data to SRA with no quality check. Therefore, as a criterion of data quality, we focused on SRA entries that were cited in journal articles. We extracted SRA IDs and PubMed IDs (PMIDs) from SRA and fulltext versions of journal articles and retrieved 2748 SRA ID-PMID pairs. We constructed a publication list referring to SRA entries. Since, one of the main themes of -omics analyses is clarification of disease mechanisms, we also characterized SRA entries by disease keywords, according to the Medical Subject Headings (MeSH) extracted from articles assigned to each SRA entry. We obtained 989 SRA ID-MeSH disease term pairs, and constructed a disease list referring to SRA data. We previously developed feature profiles of diseases in a system called ‘‘Gendoo’’. We generated hyperlinks between diseases extracted from SRA and the feature profiles of it. The developed project, publication and disease lists resulting from this study are available at our web service, called ‘‘DBCLS SRA’’ (http://sra.dbcls.jp/). This service will improve accessibility to high-quality data from SRA.","DOI":"10.1371/journal.pone.0077910","ISSN":"1932-6203","journalAbbreviation":"PLoS ONE","language":"en","author":[{"family":"Nakazato","given":"Takeru"},{"family":"Ohta","given":"Tazro"},{"family":"Bono","given":"Hidemasa"}],"editor":[{"family":"Aziz","given":"Ramy K."}],"issued":{"date-parts":[["2013",10,22]]}}}],"schema":"https://github.com/citation-style-language/schema/raw/master/csl-citation.json"} </w:instrText>
      </w:r>
      <w:r w:rsidR="00136E9A">
        <w:rPr>
          <w:rFonts w:ascii="Times New Roman" w:eastAsia="Times New Roman" w:hAnsi="Times New Roman" w:cs="Times New Roman"/>
          <w:i/>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8</w:t>
      </w:r>
      <w:r w:rsidR="00136E9A" w:rsidRPr="00136E9A">
        <w:rPr>
          <w:rFonts w:ascii="Times New Roman" w:hAnsi="Times New Roman" w:cs="Times New Roman"/>
          <w:sz w:val="24"/>
          <w:szCs w:val="24"/>
        </w:rPr>
        <w:t>)</w:t>
      </w:r>
      <w:r w:rsidR="00136E9A">
        <w:rPr>
          <w:rFonts w:ascii="Times New Roman" w:eastAsia="Times New Roman" w:hAnsi="Times New Roman" w:cs="Times New Roman"/>
          <w:i/>
          <w:sz w:val="24"/>
          <w:szCs w:val="24"/>
        </w:rPr>
        <w:fldChar w:fldCharType="end"/>
      </w:r>
      <w:r>
        <w:rPr>
          <w:rFonts w:ascii="Times New Roman" w:eastAsia="Times New Roman" w:hAnsi="Times New Roman" w:cs="Times New Roman"/>
          <w:sz w:val="24"/>
          <w:szCs w:val="24"/>
        </w:rPr>
        <w:t xml:space="preserve">. </w:t>
      </w:r>
    </w:p>
    <w:p w:rsidR="008C357D" w:rsidRDefault="00E77CFC" w:rsidP="0016114F">
      <w:pPr>
        <w:spacing w:after="0" w:line="240" w:lineRule="auto"/>
        <w:ind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workflow of WGS raw data processing </w:t>
      </w:r>
      <w:r w:rsidR="00E67E1A">
        <w:rPr>
          <w:rFonts w:ascii="Times New Roman" w:eastAsia="Times New Roman" w:hAnsi="Times New Roman" w:cs="Times New Roman"/>
          <w:sz w:val="24"/>
          <w:szCs w:val="24"/>
        </w:rPr>
        <w:t xml:space="preserve">will be carried out via High Performance Computing center (Spruce Knob). The experimental software pipeline </w:t>
      </w:r>
      <w:r>
        <w:rPr>
          <w:rFonts w:ascii="Times New Roman" w:eastAsia="Times New Roman" w:hAnsi="Times New Roman" w:cs="Times New Roman"/>
          <w:sz w:val="24"/>
          <w:szCs w:val="24"/>
        </w:rPr>
        <w:t>is demonstrated in Figure 1 below, modified from https://github.com/tseemann/nullarbor.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Specifically, FastQC will be used for quality check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SoDzMXW3","properties":{"formattedCitation":"({\\i{}9})","plainCitation":"(9)","noteIndex":0},"citationItems":[{"id":32,"uris":["http://zotero.org/users/local/QIlx6d2W/items/TRTDEDI6"],"uri":["http://zotero.org/users/local/QIlx6d2W/items/TRTDEDI6"],"itemData":{"id":32,"type":"article-journal","title":"FQC Dashboard: integrates FastQC results into a web-based, interactive, and extensible FASTQ quality control tool","container-title":"Bioinformatics","page":"3137-3139","volume":"33","issue":"19","source":"DOI.org (Crossref)","abstract":"Summary: FQC is software that facilitates quality control of FASTQ ﬁles by carrying out a QC protocol using FastQC, parsing results, and aggregating quality metrics into an interactive dashboard designed to richly summarize individual sequencing runs. The dashboard groups samples in dropdowns for navigation among the data sets, utilizes human-readable conﬁguration ﬁles to manipulate the pages and tabs, and is extensible with CSV data.","DOI":"10.1093/bioinformatics/btx373","ISSN":"1367-4803, 1460-2059","title-short":"FQC Dashboard","language":"en","author":[{"family":"Brown","given":"Joseph"},{"family":"Pirrung","given":"Meg"},{"family":"McCue","given":"Lee Ann"}],"editor":[{"family":"Wren","given":"Jonathan"}],"issued":{"date-parts":[["2017",10,1]]}}}],"schema":"https://github.com/citation-style-language/schema/raw/master/csl-citation.json"}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9</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raw WGS data. If the reads have Q score below 30, the Trimmomatic will be </w:t>
      </w:r>
      <w:r w:rsidR="00136E9A">
        <w:rPr>
          <w:rFonts w:ascii="Times New Roman" w:eastAsia="Times New Roman" w:hAnsi="Times New Roman" w:cs="Times New Roman"/>
          <w:sz w:val="24"/>
          <w:szCs w:val="24"/>
        </w:rPr>
        <w:t>used because</w:t>
      </w:r>
      <w:r>
        <w:rPr>
          <w:rFonts w:ascii="Times New Roman" w:eastAsia="Times New Roman" w:hAnsi="Times New Roman" w:cs="Times New Roman"/>
          <w:sz w:val="24"/>
          <w:szCs w:val="24"/>
        </w:rPr>
        <w:t xml:space="preserve"> it is specifically designed for paired-end data in addition to being flexible and efficient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p8mxL1Gf","properties":{"formattedCitation":"({\\i{}10})","plainCitation":"(10)","noteIndex":0},"citationItems":[{"id":5,"uris":["http://zotero.org/users/local/QIlx6d2W/items/6C7A7NPP"],"uri":["http://zotero.org/users/local/QIlx6d2W/items/6C7A7NPP"],"itemData":{"id":5,"type":"article-journal","title":"Trimmomatic: a flexible trimmer for Illumina sequence data","container-title":"Bioinformatics (Oxford, England)","page":"2114-2120","volume":"30","issue":"15","archive":"PubMed","archive_location":"24695404","abstract":"MOTIVATION: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 usadel@bio1.rwth-aachen.de SUPPLEMENTARY INFORMATION: Supplementary data are available at Bioinformatics online.","DOI":"10.1093/bioinformatics/btu170","ISSN":"1367-4811","journalAbbreviation":"Bioinformatics","language":"eng","author":[{"family":"Bolger","given":"Anthony M"},{"family":"Lohse","given":"Marc"},{"family":"Usadel","given":"Bjoern"}],"issued":{"date-parts":[["2014",8,1]]}}}],"schema":"https://github.com/citation-style-language/schema/raw/master/csl-citation.json"}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10</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Even though the purity of the culture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should be guaranteed using MALDI-TOF MS; as a second precaution to exact species identification, the Centrifuge will be utilized in the pipeline for identification of other possible - contaminant prokaryotic species. </w:t>
      </w:r>
      <w:r w:rsidRPr="00955971">
        <w:rPr>
          <w:rFonts w:ascii="Times New Roman" w:eastAsia="Times New Roman" w:hAnsi="Times New Roman" w:cs="Times New Roman"/>
          <w:color w:val="000000" w:themeColor="text1"/>
          <w:sz w:val="24"/>
          <w:szCs w:val="24"/>
          <w:highlight w:val="white"/>
        </w:rPr>
        <w:t xml:space="preserve">Centrifuge requires a relatively small index and classifies sequences at a very high speed allowing it to process millions of reads from a typical high-throughput DNA sequencing run within minutes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FzbinoiE","properties":{"formattedCitation":"({\\i{}11})","plainCitation":"(11)","noteIndex":0},"citationItems":[{"id":10,"uris":["http://zotero.org/users/local/QIlx6d2W/items/MRHJT8B7"],"uri":["http://zotero.org/users/local/QIlx6d2W/items/MRHJT8B7"],"itemData":{"id":10,"type":"article-journal","title":"Centrifuge: rapid and sensitive classification of metagenomic sequences","container-title":"Genome Research","source":"genome.cshlp.org","abstract":"An international, peer-reviewed genome sciences journal featuring outstanding original research that offers novel insights into the biology of all organisms","URL":"http://genome.cshlp.org/content/early/2016/11/16/gr.210641.116","DOI":"10.1101/gr.210641.116","ISSN":"1088-9051, 1549-5469","note":"PMID: 27852649","title-short":"Centrifuge","journalAbbreviation":"Genome Res.","language":"en","author":[{"family":"Kim","given":"Daehwan"},{"family":"Song","given":"Li"},{"family":"Breitwieser","given":"Florian P."},{"family":"Salzberg","given":"Steven L."}],"issued":{"date-parts":[["2016",10,17]]},"accessed":{"date-parts":[["2019",9,9]]}}}],"schema":"https://github.com/citation-style-language/schema/raw/master/csl-citation.json"}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11</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Samples will have less than 70% identity to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will be unacceptable and will be excluded. </w:t>
      </w:r>
      <w:r>
        <w:rPr>
          <w:rFonts w:ascii="Times New Roman" w:eastAsia="Times New Roman" w:hAnsi="Times New Roman" w:cs="Times New Roman"/>
          <w:color w:val="333333"/>
          <w:sz w:val="24"/>
          <w:szCs w:val="24"/>
        </w:rPr>
        <w:t>Finally</w:t>
      </w:r>
      <w:r>
        <w:rPr>
          <w:rFonts w:ascii="Times New Roman" w:eastAsia="Times New Roman" w:hAnsi="Times New Roman" w:cs="Times New Roman"/>
          <w:color w:val="333333"/>
          <w:sz w:val="24"/>
          <w:szCs w:val="24"/>
          <w:highlight w:val="white"/>
        </w:rPr>
        <w:t>, de Bruijn graph (DBG) a</w:t>
      </w:r>
      <w:r>
        <w:rPr>
          <w:rFonts w:ascii="Times New Roman" w:eastAsia="Times New Roman" w:hAnsi="Times New Roman" w:cs="Times New Roman"/>
          <w:sz w:val="24"/>
          <w:szCs w:val="24"/>
        </w:rPr>
        <w:t xml:space="preserve">ssembler algorithm, based on the k-mer approach, will be employed for it is faster and better suited for short reads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BblzdB5s","properties":{"formattedCitation":"({\\i{}12})","plainCitation":"(12)","noteIndex":0},"citationItems":[{"id":30,"uris":["http://zotero.org/users/local/QIlx6d2W/items/B4BW3PUR"],"uri":["http://zotero.org/users/local/QIlx6d2W/items/B4BW3PUR"],"itemData":{"id":30,"type":"article-journal","title":"A Comprehensive Study of De Novo Genome Assemblers: Current Challenges and Future Prospective","container-title":"Evolutionary Bioinformatics","page":"117693431875865","volume":"14","source":"DOI.org (Crossref)","abstract":"Background: Current advancements in next-generation sequencing technology have made possible to sequence whole genome but assembling a large number of short sequence reads is still a big challenge. In this article, we present the comparative study of seven assemblers, namely, ABySS, Velvet, Edena, SGA, Ray, SSAKE, and Perga, using prokaryotic and eukaryotic paired-end as well as single-end data sets from Illumina platform.\nResults: Results showed that in case of single-end data sets, Velvet and ABySS outperformed in all the seven assemblers with comparatively low assembling time and high genome fraction. Velvet consumed the least amount of memory than any other assembler. In case of paired-end data sets, Velvet consumed least amount of time and produced high genome fraction after ABySS and Ray. In terms of low memory usage, SGA and Edena outperformed in all the assemblers. Ray also showed good genome fraction; however, extremely high assembling time consumed by the Ray might make it prohibitively slow on larger data sets of single and paired-end data.\nConclusions: Our comparison study will provide assistance to the scientists for selecting the suitable assembler according to their data sets and will also assist the developers to upgrade or develop a new assembler for de novo assembling.","DOI":"10.1177/1176934318758650","ISSN":"1176-9343, 1176-9343","title-short":"A Comprehensive Study of De Novo Genome Assemblers","journalAbbreviation":"Evol Bioinform Online","language":"en","author":[{"family":"Khan","given":"Abdul Rafay"},{"family":"Pervez","given":"Muhammad Tariq"},{"family":"Babar","given":"Masroor Ellahi"},{"family":"Naveed","given":"Nasir"},{"family":"Shoaib","given":"Muhammad"}],"issued":{"date-parts":[["2018",1]]}}}],"schema":"https://github.com/citation-style-language/schema/raw/master/csl-citation.json"}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12</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Specifically, Velvet, one of the fastest suitable assembler for paired</w:t>
      </w:r>
      <w:r w:rsidR="009559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end data </w:t>
      </w:r>
      <w:r w:rsidR="00136E9A">
        <w:rPr>
          <w:rFonts w:ascii="Times New Roman" w:eastAsia="Times New Roman" w:hAnsi="Times New Roman" w:cs="Times New Roman"/>
          <w:sz w:val="24"/>
          <w:szCs w:val="24"/>
        </w:rPr>
        <w:fldChar w:fldCharType="begin"/>
      </w:r>
      <w:r w:rsidR="00136E9A">
        <w:rPr>
          <w:rFonts w:ascii="Times New Roman" w:eastAsia="Times New Roman" w:hAnsi="Times New Roman" w:cs="Times New Roman"/>
          <w:sz w:val="24"/>
          <w:szCs w:val="24"/>
        </w:rPr>
        <w:instrText xml:space="preserve"> ADDIN ZOTERO_ITEM CSL_CITATION {"citationID":"0yiWGe18","properties":{"formattedCitation":"({\\i{}12}, {\\i{}13})","plainCitation":"(12, 13)","noteIndex":0},"citationItems":[{"id":30,"uris":["http://zotero.org/users/local/QIlx6d2W/items/B4BW3PUR"],"uri":["http://zotero.org/users/local/QIlx6d2W/items/B4BW3PUR"],"itemData":{"id":30,"type":"article-journal","title":"A Comprehensive Study of De Novo Genome Assemblers: Current Challenges and Future Prospective","container-title":"Evolutionary Bioinformatics","page":"117693431875865","volume":"14","source":"DOI.org (Crossref)","abstract":"Background: Current advancements in next-generation sequencing technology have made possible to sequence whole genome but assembling a large number of short sequence reads is still a big challenge. In this article, we present the comparative study of seven assemblers, namely, ABySS, Velvet, Edena, SGA, Ray, SSAKE, and Perga, using prokaryotic and eukaryotic paired-end as well as single-end data sets from Illumina platform.\nResults: Results showed that in case of single-end data sets, Velvet and ABySS outperformed in all the seven assemblers with comparatively low assembling time and high genome fraction. Velvet consumed the least amount of memory than any other assembler. In case of paired-end data sets, Velvet consumed least amount of time and produced high genome fraction after ABySS and Ray. In terms of low memory usage, SGA and Edena outperformed in all the assemblers. Ray also showed good genome fraction; however, extremely high assembling time consumed by the Ray might make it prohibitively slow on larger data sets of single and paired-end data.\nConclusions: Our comparison study will provide assistance to the scientists for selecting the suitable assembler according to their data sets and will also assist the developers to upgrade or develop a new assembler for de novo assembling.","DOI":"10.1177/1176934318758650","ISSN":"1176-9343, 1176-9343","title-short":"A Comprehensive Study of De Novo Genome Assemblers","journalAbbreviation":"Evol Bioinform Online","language":"en","author":[{"family":"Khan","given":"Abdul Rafay"},{"family":"Pervez","given":"Muhammad Tariq"},{"family":"Babar","given":"Masroor Ellahi"},{"family":"Naveed","given":"Nasir"},{"family":"Shoaib","given":"Muhammad"}],"issued":{"date-parts":[["2018",1]]}}},{"id":7,"uris":["http://zotero.org/users/local/QIlx6d2W/items/4GWXI3VZ"],"uri":["http://zotero.org/users/local/QIlx6d2W/items/4GWXI3VZ"],"itemData":{"id":7,"type":"article-journal","title":"Using the Velvet de novo assembler for short-read sequencing technologies","container-title":"Current protocols in bioinformatics / editoral board, Andreas D. Baxevanis ... [et al.]","page":"Unit-11.5","volume":"CHAPTER","source":"PubMed Central","abstract":"The Velvet de novo assembler was designed to build contigs and eventually scaffolds from short read sequencing data. This protocol describes how to use Velvet, interpret its output and tune its parameters for optimal results. It also covers practical issues such as configuration, using the VelvetOptimiser routine and processing colorspace data.","DOI":"10.1002/0471250953.bi1105s31","ISSN":"1934-3396","note":"PMID: 20836074\nPMCID: PMC2952100","journalAbbreviation":"Curr Protoc Bioinformatics","author":[{"family":"Zerbino","given":"Daniel R."}],"issued":{"date-parts":[["2010",9]]}}}],"schema":"https://github.com/citation-style-language/schema/raw/master/csl-citation.json"} </w:instrText>
      </w:r>
      <w:r w:rsidR="00136E9A">
        <w:rPr>
          <w:rFonts w:ascii="Times New Roman" w:eastAsia="Times New Roman" w:hAnsi="Times New Roman" w:cs="Times New Roman"/>
          <w:sz w:val="24"/>
          <w:szCs w:val="24"/>
        </w:rPr>
        <w:fldChar w:fldCharType="separate"/>
      </w:r>
      <w:r w:rsidR="00136E9A" w:rsidRPr="00136E9A">
        <w:rPr>
          <w:rFonts w:ascii="Times New Roman" w:hAnsi="Times New Roman" w:cs="Times New Roman"/>
          <w:sz w:val="24"/>
          <w:szCs w:val="24"/>
        </w:rPr>
        <w:t>(</w:t>
      </w:r>
      <w:r w:rsidR="00136E9A" w:rsidRPr="00136E9A">
        <w:rPr>
          <w:rFonts w:ascii="Times New Roman" w:hAnsi="Times New Roman" w:cs="Times New Roman"/>
          <w:i/>
          <w:iCs/>
          <w:sz w:val="24"/>
          <w:szCs w:val="24"/>
        </w:rPr>
        <w:t>12</w:t>
      </w:r>
      <w:r w:rsidR="00136E9A" w:rsidRPr="00136E9A">
        <w:rPr>
          <w:rFonts w:ascii="Times New Roman" w:hAnsi="Times New Roman" w:cs="Times New Roman"/>
          <w:sz w:val="24"/>
          <w:szCs w:val="24"/>
        </w:rPr>
        <w:t xml:space="preserve">, </w:t>
      </w:r>
      <w:r w:rsidR="00136E9A" w:rsidRPr="00136E9A">
        <w:rPr>
          <w:rFonts w:ascii="Times New Roman" w:hAnsi="Times New Roman" w:cs="Times New Roman"/>
          <w:i/>
          <w:iCs/>
          <w:sz w:val="24"/>
          <w:szCs w:val="24"/>
        </w:rPr>
        <w:t>13</w:t>
      </w:r>
      <w:r w:rsidR="00136E9A" w:rsidRPr="00136E9A">
        <w:rPr>
          <w:rFonts w:ascii="Times New Roman" w:hAnsi="Times New Roman" w:cs="Times New Roman"/>
          <w:sz w:val="24"/>
          <w:szCs w:val="24"/>
        </w:rPr>
        <w:t>)</w:t>
      </w:r>
      <w:r w:rsidR="00136E9A">
        <w:rPr>
          <w:rFonts w:ascii="Times New Roman" w:eastAsia="Times New Roman" w:hAnsi="Times New Roman" w:cs="Times New Roman"/>
          <w:sz w:val="24"/>
          <w:szCs w:val="24"/>
        </w:rPr>
        <w:fldChar w:fldCharType="end"/>
      </w:r>
      <w:r w:rsidR="00136E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be used for the genome assembly</w:t>
      </w:r>
      <w:r w:rsidR="00630F00">
        <w:rPr>
          <w:rFonts w:ascii="Times New Roman" w:eastAsia="Times New Roman" w:hAnsi="Times New Roman" w:cs="Times New Roman"/>
          <w:sz w:val="24"/>
          <w:szCs w:val="24"/>
        </w:rPr>
        <w:t xml:space="preserve">. </w:t>
      </w:r>
      <w:proofErr w:type="spellStart"/>
      <w:r w:rsidR="00630F00">
        <w:rPr>
          <w:rFonts w:ascii="Times New Roman" w:eastAsia="Times New Roman" w:hAnsi="Times New Roman" w:cs="Times New Roman"/>
          <w:sz w:val="24"/>
          <w:szCs w:val="24"/>
        </w:rPr>
        <w:t>Assemblathon</w:t>
      </w:r>
      <w:proofErr w:type="spellEnd"/>
      <w:r w:rsidR="00630F00">
        <w:rPr>
          <w:rFonts w:ascii="Times New Roman" w:eastAsia="Times New Roman" w:hAnsi="Times New Roman" w:cs="Times New Roman"/>
          <w:sz w:val="24"/>
          <w:szCs w:val="24"/>
        </w:rPr>
        <w:t xml:space="preserve"> script on contig files will be used to calculate N50 contig length for data reporting </w:t>
      </w:r>
      <w:r w:rsidR="00630F00" w:rsidRPr="00630F00">
        <w:rPr>
          <w:rFonts w:ascii="Times New Roman" w:eastAsia="Times New Roman" w:hAnsi="Times New Roman" w:cs="Times New Roman"/>
          <w:i/>
          <w:sz w:val="24"/>
          <w:szCs w:val="24"/>
        </w:rPr>
        <w:t>(12).</w:t>
      </w:r>
      <w:r w:rsidR="00630F00">
        <w:rPr>
          <w:rFonts w:ascii="Times New Roman" w:eastAsia="Times New Roman" w:hAnsi="Times New Roman" w:cs="Times New Roman"/>
          <w:sz w:val="24"/>
          <w:szCs w:val="24"/>
        </w:rPr>
        <w:t xml:space="preserve"> The assembled genome will be compared to the known reference genome available on NCBI. </w:t>
      </w:r>
    </w:p>
    <w:p w:rsidR="008C357D" w:rsidRDefault="008C357D" w:rsidP="0016114F">
      <w:pPr>
        <w:spacing w:after="0" w:line="240" w:lineRule="auto"/>
        <w:jc w:val="both"/>
        <w:rPr>
          <w:rFonts w:ascii="Times New Roman" w:eastAsia="Times New Roman" w:hAnsi="Times New Roman" w:cs="Times New Roman"/>
          <w:sz w:val="24"/>
          <w:szCs w:val="24"/>
        </w:rPr>
      </w:pPr>
    </w:p>
    <w:p w:rsidR="00FA6A12" w:rsidRDefault="00E77CFC" w:rsidP="0016114F">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sample analyzed will be referred as GCWGS_5192 (SRA number </w:t>
      </w:r>
      <w:hyperlink r:id="rId6">
        <w:r>
          <w:rPr>
            <w:rFonts w:ascii="Times New Roman" w:eastAsia="Times New Roman" w:hAnsi="Times New Roman" w:cs="Times New Roman"/>
            <w:b/>
            <w:color w:val="1155CC"/>
            <w:sz w:val="24"/>
            <w:szCs w:val="24"/>
            <w:u w:val="single"/>
          </w:rPr>
          <w:t>SRX6631047</w:t>
        </w:r>
      </w:hyperlink>
      <w:r>
        <w:rPr>
          <w:rFonts w:ascii="Times New Roman" w:eastAsia="Times New Roman" w:hAnsi="Times New Roman" w:cs="Times New Roman"/>
          <w:sz w:val="24"/>
          <w:szCs w:val="24"/>
        </w:rPr>
        <w:t xml:space="preserve">). The coverage is 107% (2,295,960 pb /2,153,922 bp) compared to reference genome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(NCBI Accession NC_002946).]</w:t>
      </w:r>
      <w:r w:rsidR="00FA6A12">
        <w:rPr>
          <w:rFonts w:ascii="Times New Roman" w:eastAsia="Times New Roman" w:hAnsi="Times New Roman" w:cs="Times New Roman"/>
          <w:sz w:val="24"/>
          <w:szCs w:val="24"/>
        </w:rPr>
        <w:br w:type="page"/>
      </w: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E77CFC"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hidden="0" allowOverlap="1">
            <wp:simplePos x="0" y="0"/>
            <wp:positionH relativeFrom="column">
              <wp:posOffset>776288</wp:posOffset>
            </wp:positionH>
            <wp:positionV relativeFrom="paragraph">
              <wp:posOffset>219075</wp:posOffset>
            </wp:positionV>
            <wp:extent cx="4394200" cy="26860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4021" t="4648" r="18241" b="22221"/>
                    <a:stretch>
                      <a:fillRect/>
                    </a:stretch>
                  </pic:blipFill>
                  <pic:spPr>
                    <a:xfrm>
                      <a:off x="0" y="0"/>
                      <a:ext cx="4394200" cy="2686050"/>
                    </a:xfrm>
                    <a:prstGeom prst="rect">
                      <a:avLst/>
                    </a:prstGeom>
                    <a:ln/>
                  </pic:spPr>
                </pic:pic>
              </a:graphicData>
            </a:graphic>
          </wp:anchor>
        </w:drawing>
      </w: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8C357D"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b/>
          <w:sz w:val="24"/>
          <w:szCs w:val="24"/>
        </w:rPr>
      </w:pPr>
    </w:p>
    <w:p w:rsidR="008C357D" w:rsidRDefault="00E77CFC" w:rsidP="0016114F">
      <w:pPr>
        <w:pBdr>
          <w:top w:val="nil"/>
          <w:left w:val="nil"/>
          <w:bottom w:val="nil"/>
          <w:right w:val="nil"/>
          <w:between w:val="nil"/>
        </w:pBdr>
        <w:shd w:val="clear" w:color="auto" w:fill="FFFFFF"/>
        <w:spacing w:before="6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Pr>
          <w:rFonts w:ascii="Times New Roman" w:eastAsia="Times New Roman" w:hAnsi="Times New Roman" w:cs="Times New Roman"/>
          <w:sz w:val="24"/>
          <w:szCs w:val="24"/>
        </w:rPr>
        <w:t>An overview of the genome assembly protocol.</w:t>
      </w: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genomes used in this study will be deposited into the NCBI Whole Genome Database. </w:t>
      </w:r>
    </w:p>
    <w:p w:rsidR="008C357D" w:rsidRDefault="008C357D" w:rsidP="0016114F">
      <w:pPr>
        <w:spacing w:after="0" w:line="240" w:lineRule="auto"/>
        <w:jc w:val="both"/>
        <w:rPr>
          <w:rFonts w:ascii="Times New Roman" w:eastAsia="Times New Roman" w:hAnsi="Times New Roman" w:cs="Times New Roman"/>
          <w:sz w:val="24"/>
          <w:szCs w:val="24"/>
          <w:highlight w:val="yellow"/>
        </w:rPr>
      </w:pP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Grants</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WV-INBRE grant (P20GM103434), the COBRE ACCORD grant (P20GM121299) and the West Virginia Clinical and Translational Science Institute (WV-CTSI) grant (U54GM104942). </w:t>
      </w: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Facilities</w:t>
      </w:r>
    </w:p>
    <w:p w:rsidR="008C357D" w:rsidRDefault="008C357D" w:rsidP="0016114F">
      <w:pPr>
        <w:spacing w:after="0" w:line="240" w:lineRule="auto"/>
        <w:jc w:val="both"/>
        <w:rPr>
          <w:rFonts w:ascii="Times New Roman" w:eastAsia="Times New Roman" w:hAnsi="Times New Roman" w:cs="Times New Roman"/>
          <w:b/>
          <w:sz w:val="24"/>
          <w:szCs w:val="24"/>
        </w:rPr>
      </w:pPr>
    </w:p>
    <w:p w:rsidR="008C357D" w:rsidRDefault="00E77CFC" w:rsidP="0016114F">
      <w:pPr>
        <w:spacing w:after="0" w:line="240" w:lineRule="auto"/>
        <w:ind w:firstLine="720"/>
        <w:jc w:val="both"/>
        <w:rPr>
          <w:rFonts w:ascii="Times New Roman" w:eastAsia="Times New Roman" w:hAnsi="Times New Roman" w:cs="Times New Roman"/>
          <w:b/>
          <w:color w:val="24292E"/>
          <w:sz w:val="24"/>
          <w:szCs w:val="24"/>
        </w:rPr>
      </w:pPr>
      <w:r>
        <w:rPr>
          <w:rFonts w:ascii="Times New Roman" w:eastAsia="Times New Roman" w:hAnsi="Times New Roman" w:cs="Times New Roman"/>
          <w:sz w:val="24"/>
          <w:szCs w:val="24"/>
        </w:rPr>
        <w:t>The MU Genomics Core Facility provides Next Generation Sequencing (NGS) services to investigators at universities, and in government and industry. The Genomics Core is equipped with an Illumina MiSeq sequencer with the capability to perform whole genome sequencing.</w:t>
      </w:r>
    </w:p>
    <w:p w:rsidR="008C357D" w:rsidRDefault="008C357D" w:rsidP="0016114F">
      <w:pPr>
        <w:spacing w:after="0" w:line="240" w:lineRule="auto"/>
        <w:jc w:val="both"/>
        <w:rPr>
          <w:rFonts w:ascii="Times New Roman" w:eastAsia="Times New Roman" w:hAnsi="Times New Roman" w:cs="Times New Roman"/>
          <w:b/>
          <w:color w:val="24292E"/>
          <w:sz w:val="24"/>
          <w:szCs w:val="24"/>
        </w:rPr>
      </w:pPr>
    </w:p>
    <w:p w:rsidR="008C357D" w:rsidRDefault="00E77CFC" w:rsidP="0016114F">
      <w:pPr>
        <w:spacing w:after="0" w:line="240" w:lineRule="auto"/>
        <w:jc w:val="both"/>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Division of Labor</w:t>
      </w:r>
    </w:p>
    <w:p w:rsidR="008C357D" w:rsidRDefault="008C357D" w:rsidP="0016114F">
      <w:pPr>
        <w:spacing w:after="0" w:line="240" w:lineRule="auto"/>
        <w:jc w:val="both"/>
        <w:rPr>
          <w:rFonts w:ascii="Times New Roman" w:eastAsia="Times New Roman" w:hAnsi="Times New Roman" w:cs="Times New Roman"/>
          <w:b/>
          <w:color w:val="24292E"/>
          <w:sz w:val="24"/>
          <w:szCs w:val="24"/>
        </w:rPr>
      </w:pPr>
    </w:p>
    <w:p w:rsidR="00FA6A12" w:rsidRPr="0016114F" w:rsidRDefault="00E77CFC" w:rsidP="0016114F">
      <w:pPr>
        <w:spacing w:after="0" w:line="240" w:lineRule="auto"/>
        <w:ind w:firstLine="720"/>
        <w:jc w:val="both"/>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HB researched and wrote the background and checked the quality of the dataset, IH and HB searched the methods, IH wrote the methods and the workflow and DM predicted and wrote the expected outcomes and contributed to experimental design, pipeline components identification and selection. </w:t>
      </w:r>
      <w:r w:rsidR="00E67E1A">
        <w:rPr>
          <w:rFonts w:ascii="Times New Roman" w:eastAsia="Times New Roman" w:hAnsi="Times New Roman" w:cs="Times New Roman"/>
          <w:color w:val="24292E"/>
          <w:sz w:val="24"/>
          <w:szCs w:val="24"/>
        </w:rPr>
        <w:t xml:space="preserve">HB will write code for quality control using </w:t>
      </w:r>
      <w:proofErr w:type="spellStart"/>
      <w:r w:rsidR="00E67E1A">
        <w:rPr>
          <w:rFonts w:ascii="Times New Roman" w:eastAsia="Times New Roman" w:hAnsi="Times New Roman" w:cs="Times New Roman"/>
          <w:color w:val="24292E"/>
          <w:sz w:val="24"/>
          <w:szCs w:val="24"/>
        </w:rPr>
        <w:t>FastQC</w:t>
      </w:r>
      <w:proofErr w:type="spellEnd"/>
      <w:r w:rsidR="00E67E1A">
        <w:rPr>
          <w:rFonts w:ascii="Times New Roman" w:eastAsia="Times New Roman" w:hAnsi="Times New Roman" w:cs="Times New Roman"/>
          <w:color w:val="24292E"/>
          <w:sz w:val="24"/>
          <w:szCs w:val="24"/>
        </w:rPr>
        <w:t xml:space="preserve"> and </w:t>
      </w:r>
      <w:proofErr w:type="spellStart"/>
      <w:r w:rsidR="00E67E1A">
        <w:rPr>
          <w:rFonts w:ascii="Times New Roman" w:eastAsia="Times New Roman" w:hAnsi="Times New Roman" w:cs="Times New Roman"/>
          <w:color w:val="24292E"/>
          <w:sz w:val="24"/>
          <w:szCs w:val="24"/>
        </w:rPr>
        <w:t>Trimmomatic</w:t>
      </w:r>
      <w:proofErr w:type="spellEnd"/>
      <w:r w:rsidR="0016114F">
        <w:rPr>
          <w:rFonts w:ascii="Times New Roman" w:eastAsia="Times New Roman" w:hAnsi="Times New Roman" w:cs="Times New Roman"/>
          <w:color w:val="24292E"/>
          <w:sz w:val="24"/>
          <w:szCs w:val="24"/>
        </w:rPr>
        <w:t>,</w:t>
      </w:r>
      <w:r w:rsidR="00E67E1A">
        <w:rPr>
          <w:rFonts w:ascii="Times New Roman" w:eastAsia="Times New Roman" w:hAnsi="Times New Roman" w:cs="Times New Roman"/>
          <w:color w:val="24292E"/>
          <w:sz w:val="24"/>
          <w:szCs w:val="24"/>
        </w:rPr>
        <w:t xml:space="preserve"> if need be. IH will write code for Centrifuge. DM will code for the assembling of the genome using DBG and Velvet.</w:t>
      </w:r>
      <w:r w:rsidR="0016114F">
        <w:rPr>
          <w:rFonts w:ascii="Times New Roman" w:eastAsia="Times New Roman" w:hAnsi="Times New Roman" w:cs="Times New Roman"/>
          <w:color w:val="24292E"/>
          <w:sz w:val="24"/>
          <w:szCs w:val="24"/>
        </w:rPr>
        <w:t xml:space="preserve"> </w:t>
      </w:r>
      <w:r>
        <w:rPr>
          <w:rFonts w:ascii="Times New Roman" w:eastAsia="Times New Roman" w:hAnsi="Times New Roman" w:cs="Times New Roman"/>
          <w:color w:val="24292E"/>
          <w:sz w:val="24"/>
          <w:szCs w:val="24"/>
        </w:rPr>
        <w:t xml:space="preserve">HB and IH will contribute to the interpretation of the results. DM, IH, and HB will contribute equally to the writing of the manuscript. If conflict arises among investigators, including lack of contribution, the issue will be discussed with the course instructor. </w:t>
      </w:r>
    </w:p>
    <w:p w:rsidR="008C357D" w:rsidRDefault="00E77CFC" w:rsidP="001611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EXPECTED OUTCOME</w:t>
      </w:r>
    </w:p>
    <w:p w:rsidR="008C357D" w:rsidRDefault="008C357D" w:rsidP="0016114F">
      <w:pPr>
        <w:spacing w:after="0" w:line="240" w:lineRule="auto"/>
        <w:jc w:val="both"/>
        <w:rPr>
          <w:rFonts w:ascii="Times New Roman" w:eastAsia="Times New Roman" w:hAnsi="Times New Roman" w:cs="Times New Roman"/>
          <w:b/>
          <w:sz w:val="24"/>
          <w:szCs w:val="24"/>
        </w:rPr>
      </w:pPr>
    </w:p>
    <w:p w:rsidR="0017733B" w:rsidRDefault="00E77CFC" w:rsidP="0016114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An assembled whole genome </w:t>
      </w:r>
      <w:r>
        <w:rPr>
          <w:rFonts w:ascii="Times New Roman" w:eastAsia="Times New Roman" w:hAnsi="Times New Roman" w:cs="Times New Roman"/>
          <w:i/>
          <w:sz w:val="24"/>
          <w:szCs w:val="24"/>
        </w:rPr>
        <w:t>N. gonorrhea</w:t>
      </w:r>
      <w:r>
        <w:rPr>
          <w:rFonts w:ascii="Times New Roman" w:eastAsia="Times New Roman" w:hAnsi="Times New Roman" w:cs="Times New Roman"/>
          <w:sz w:val="24"/>
          <w:szCs w:val="24"/>
        </w:rPr>
        <w:t xml:space="preserve"> sequence is expected at the completion of experimentation. This new knowledge will aid in identifying novel genes involved in antibiotic resistance phenotypes of </w:t>
      </w:r>
      <w:r>
        <w:rPr>
          <w:rFonts w:ascii="Times New Roman" w:eastAsia="Times New Roman" w:hAnsi="Times New Roman" w:cs="Times New Roman"/>
          <w:i/>
          <w:sz w:val="24"/>
          <w:szCs w:val="24"/>
        </w:rPr>
        <w:t>N. gonorrhoeae</w:t>
      </w:r>
      <w:r>
        <w:rPr>
          <w:rFonts w:ascii="Times New Roman" w:eastAsia="Times New Roman" w:hAnsi="Times New Roman" w:cs="Times New Roman"/>
          <w:sz w:val="24"/>
          <w:szCs w:val="24"/>
        </w:rPr>
        <w:t xml:space="preserve"> being reported. Alternatives to the pipeline outlined above would be to use the </w:t>
      </w:r>
      <w:proofErr w:type="spellStart"/>
      <w:r>
        <w:rPr>
          <w:rFonts w:ascii="Times New Roman" w:eastAsia="Times New Roman" w:hAnsi="Times New Roman" w:cs="Times New Roman"/>
          <w:sz w:val="24"/>
          <w:szCs w:val="24"/>
        </w:rPr>
        <w:t>ABySS</w:t>
      </w:r>
      <w:proofErr w:type="spellEnd"/>
      <w:r>
        <w:rPr>
          <w:rFonts w:ascii="Times New Roman" w:eastAsia="Times New Roman" w:hAnsi="Times New Roman" w:cs="Times New Roman"/>
          <w:sz w:val="24"/>
          <w:szCs w:val="24"/>
        </w:rPr>
        <w:t xml:space="preserve"> assembler instead of Velvet to assemble the </w:t>
      </w:r>
      <w:r>
        <w:rPr>
          <w:rFonts w:ascii="Times New Roman" w:eastAsia="Times New Roman" w:hAnsi="Times New Roman" w:cs="Times New Roman"/>
          <w:i/>
          <w:sz w:val="24"/>
          <w:szCs w:val="24"/>
        </w:rPr>
        <w:t xml:space="preserve">N. gonorrhoeae </w:t>
      </w:r>
      <w:r>
        <w:rPr>
          <w:rFonts w:ascii="Times New Roman" w:eastAsia="Times New Roman" w:hAnsi="Times New Roman" w:cs="Times New Roman"/>
          <w:sz w:val="24"/>
          <w:szCs w:val="24"/>
        </w:rPr>
        <w:t>genome</w:t>
      </w:r>
      <w:r w:rsidR="0017733B">
        <w:rPr>
          <w:rFonts w:ascii="Times New Roman" w:eastAsia="Times New Roman" w:hAnsi="Times New Roman" w:cs="Times New Roman"/>
          <w:sz w:val="24"/>
          <w:szCs w:val="24"/>
        </w:rPr>
        <w:t xml:space="preserve"> due to mishaps in k-</w:t>
      </w:r>
      <w:proofErr w:type="spellStart"/>
      <w:r w:rsidR="0017733B">
        <w:rPr>
          <w:rFonts w:ascii="Times New Roman" w:eastAsia="Times New Roman" w:hAnsi="Times New Roman" w:cs="Times New Roman"/>
          <w:sz w:val="24"/>
          <w:szCs w:val="24"/>
        </w:rPr>
        <w:t>mer</w:t>
      </w:r>
      <w:proofErr w:type="spellEnd"/>
      <w:r w:rsidR="0017733B">
        <w:rPr>
          <w:rFonts w:ascii="Times New Roman" w:eastAsia="Times New Roman" w:hAnsi="Times New Roman" w:cs="Times New Roman"/>
          <w:sz w:val="24"/>
          <w:szCs w:val="24"/>
        </w:rPr>
        <w:t xml:space="preserve"> development or inaccurate matches in contig formation</w:t>
      </w:r>
      <w:r>
        <w:rPr>
          <w:rFonts w:ascii="Times New Roman" w:eastAsia="Times New Roman" w:hAnsi="Times New Roman" w:cs="Times New Roman"/>
          <w:sz w:val="24"/>
          <w:szCs w:val="24"/>
        </w:rPr>
        <w:t>. The challenges that may arise include,</w:t>
      </w:r>
      <w:r w:rsidR="0017733B">
        <w:rPr>
          <w:rFonts w:ascii="Times New Roman" w:eastAsia="Times New Roman" w:hAnsi="Times New Roman" w:cs="Times New Roman"/>
          <w:sz w:val="24"/>
          <w:szCs w:val="24"/>
        </w:rPr>
        <w:t xml:space="preserve"> data with low quality,</w:t>
      </w:r>
      <w:r>
        <w:rPr>
          <w:rFonts w:ascii="Times New Roman" w:eastAsia="Times New Roman" w:hAnsi="Times New Roman" w:cs="Times New Roman"/>
          <w:sz w:val="24"/>
          <w:szCs w:val="24"/>
        </w:rPr>
        <w:t xml:space="preserv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development, repeats, and sample contamination. </w:t>
      </w:r>
    </w:p>
    <w:p w:rsidR="008C357D" w:rsidRDefault="0017733B" w:rsidP="0016114F">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event of low-quality data, NCBI has </w:t>
      </w:r>
      <w:r w:rsidR="009C6B0E">
        <w:rPr>
          <w:rFonts w:ascii="Times New Roman" w:eastAsia="Times New Roman" w:hAnsi="Times New Roman" w:cs="Times New Roman"/>
          <w:sz w:val="24"/>
          <w:szCs w:val="24"/>
        </w:rPr>
        <w:t>2130</w:t>
      </w:r>
      <w:r>
        <w:rPr>
          <w:rFonts w:ascii="Times New Roman" w:eastAsia="Times New Roman" w:hAnsi="Times New Roman" w:cs="Times New Roman"/>
          <w:sz w:val="24"/>
          <w:szCs w:val="24"/>
        </w:rPr>
        <w:t xml:space="preserve"> matches to </w:t>
      </w:r>
      <w:r w:rsidR="009C6B0E">
        <w:rPr>
          <w:rFonts w:ascii="Times New Roman" w:eastAsia="Times New Roman" w:hAnsi="Times New Roman" w:cs="Times New Roman"/>
          <w:i/>
          <w:sz w:val="24"/>
          <w:szCs w:val="24"/>
        </w:rPr>
        <w:t>N. gonorrhoeae</w:t>
      </w:r>
      <w:r w:rsidR="009C6B0E">
        <w:rPr>
          <w:rFonts w:ascii="Times New Roman" w:eastAsia="Times New Roman" w:hAnsi="Times New Roman" w:cs="Times New Roman"/>
          <w:i/>
          <w:sz w:val="24"/>
          <w:szCs w:val="24"/>
        </w:rPr>
        <w:t xml:space="preserve"> </w:t>
      </w:r>
      <w:r w:rsidR="00630F00">
        <w:rPr>
          <w:rFonts w:ascii="Times New Roman" w:eastAsia="Times New Roman" w:hAnsi="Times New Roman" w:cs="Times New Roman"/>
          <w:sz w:val="24"/>
          <w:szCs w:val="24"/>
        </w:rPr>
        <w:t>isolates</w:t>
      </w:r>
      <w:r>
        <w:rPr>
          <w:rFonts w:ascii="Times New Roman" w:eastAsia="Times New Roman" w:hAnsi="Times New Roman" w:cs="Times New Roman"/>
          <w:sz w:val="24"/>
          <w:szCs w:val="24"/>
        </w:rPr>
        <w:t xml:space="preserve"> in which the dataset can </w:t>
      </w:r>
      <w:r w:rsidR="009C6B0E">
        <w:rPr>
          <w:rFonts w:ascii="Times New Roman" w:eastAsia="Times New Roman" w:hAnsi="Times New Roman" w:cs="Times New Roman"/>
          <w:sz w:val="24"/>
          <w:szCs w:val="24"/>
        </w:rPr>
        <w:t xml:space="preserve">be changed to use an alternate raw data set to carry out the experiments. </w:t>
      </w:r>
      <w:r w:rsidR="00E77CFC">
        <w:rPr>
          <w:rFonts w:ascii="Times New Roman" w:eastAsia="Times New Roman" w:hAnsi="Times New Roman" w:cs="Times New Roman"/>
          <w:sz w:val="24"/>
          <w:szCs w:val="24"/>
        </w:rPr>
        <w:t>K-</w:t>
      </w:r>
      <w:proofErr w:type="spellStart"/>
      <w:r w:rsidR="00E77CFC">
        <w:rPr>
          <w:rFonts w:ascii="Times New Roman" w:eastAsia="Times New Roman" w:hAnsi="Times New Roman" w:cs="Times New Roman"/>
          <w:sz w:val="24"/>
          <w:szCs w:val="24"/>
        </w:rPr>
        <w:t>mer</w:t>
      </w:r>
      <w:proofErr w:type="spellEnd"/>
      <w:r w:rsidR="00E77CFC">
        <w:rPr>
          <w:rFonts w:ascii="Times New Roman" w:eastAsia="Times New Roman" w:hAnsi="Times New Roman" w:cs="Times New Roman"/>
          <w:sz w:val="24"/>
          <w:szCs w:val="24"/>
        </w:rPr>
        <w:t xml:space="preserve"> size is important in the assembling process; a k-mer too small will allow repeats to occur. Repeats will ruin the assembled genome. Contamination of host, other bacteria, or viral components can affect the assembling process of a whole genome sequence of </w:t>
      </w:r>
      <w:r w:rsidR="00E77CFC">
        <w:rPr>
          <w:rFonts w:ascii="Times New Roman" w:eastAsia="Times New Roman" w:hAnsi="Times New Roman" w:cs="Times New Roman"/>
          <w:i/>
          <w:sz w:val="24"/>
          <w:szCs w:val="24"/>
        </w:rPr>
        <w:t>N. gonorrhoeae</w:t>
      </w:r>
      <w:r w:rsidR="00E77CFC">
        <w:rPr>
          <w:rFonts w:ascii="Times New Roman" w:eastAsia="Times New Roman" w:hAnsi="Times New Roman" w:cs="Times New Roman"/>
          <w:sz w:val="24"/>
          <w:szCs w:val="24"/>
        </w:rPr>
        <w:t xml:space="preserve">.  </w:t>
      </w: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rsidP="0016114F">
      <w:pPr>
        <w:spacing w:after="0" w:line="240" w:lineRule="auto"/>
        <w:jc w:val="both"/>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rPr>
      </w:pPr>
    </w:p>
    <w:p w:rsidR="0016114F" w:rsidRDefault="0016114F">
      <w:pPr>
        <w:spacing w:after="0" w:line="240" w:lineRule="auto"/>
        <w:rPr>
          <w:rFonts w:ascii="Times New Roman" w:eastAsia="Times New Roman" w:hAnsi="Times New Roman" w:cs="Times New Roman"/>
          <w:sz w:val="24"/>
          <w:szCs w:val="24"/>
        </w:rPr>
      </w:pPr>
    </w:p>
    <w:p w:rsidR="008C357D" w:rsidRDefault="008C357D">
      <w:pPr>
        <w:spacing w:after="0" w:line="240" w:lineRule="auto"/>
        <w:rPr>
          <w:rFonts w:ascii="Times New Roman" w:eastAsia="Times New Roman" w:hAnsi="Times New Roman" w:cs="Times New Roman"/>
          <w:sz w:val="24"/>
          <w:szCs w:val="24"/>
          <w:highlight w:val="yellow"/>
        </w:rPr>
      </w:pPr>
    </w:p>
    <w:p w:rsidR="008C357D" w:rsidRDefault="00E77C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E77CFC" w:rsidRPr="00E77CFC" w:rsidRDefault="00E77CFC" w:rsidP="00E77CFC">
      <w:pPr>
        <w:pStyle w:val="Bibliography"/>
        <w:rPr>
          <w:rFonts w:ascii="Times New Roman" w:hAnsi="Times New Roman" w:cs="Times New Roman"/>
          <w:sz w:val="24"/>
        </w:rPr>
      </w:pPr>
      <w:r>
        <w:rPr>
          <w:rFonts w:eastAsia="Times New Roman"/>
          <w:highlight w:val="yellow"/>
        </w:rPr>
        <w:fldChar w:fldCharType="begin"/>
      </w:r>
      <w:r>
        <w:rPr>
          <w:rFonts w:eastAsia="Times New Roman"/>
          <w:highlight w:val="yellow"/>
        </w:rPr>
        <w:instrText xml:space="preserve"> ADDIN ZOTERO_BIBL {"uncited":[],"omitted":[],"custom":[]} CSL_BIBLIOGRAPHY </w:instrText>
      </w:r>
      <w:r>
        <w:rPr>
          <w:rFonts w:eastAsia="Times New Roman"/>
          <w:highlight w:val="yellow"/>
        </w:rPr>
        <w:fldChar w:fldCharType="separate"/>
      </w:r>
      <w:r w:rsidRPr="00E77CFC">
        <w:rPr>
          <w:rFonts w:ascii="Times New Roman" w:hAnsi="Times New Roman" w:cs="Times New Roman"/>
          <w:sz w:val="24"/>
        </w:rPr>
        <w:t xml:space="preserve">1. </w:t>
      </w:r>
      <w:r w:rsidRPr="00E77CFC">
        <w:rPr>
          <w:rFonts w:ascii="Times New Roman" w:hAnsi="Times New Roman" w:cs="Times New Roman"/>
          <w:sz w:val="24"/>
        </w:rPr>
        <w:tab/>
        <w:t xml:space="preserve">L. Newman, J. Rowley, S. V. Hoorn, N. S. Wijesooriya, M. Unemo, N. Low, G. Stevens, S. Gottlieb, J. Kiarie, M. Temmerman, Global Estimates of the Prevalence and Incidence of Four Curable Sexually Transmitted Infections in 2012 Based on Systematic Review and Global Reporting. </w:t>
      </w:r>
      <w:r w:rsidRPr="00E77CFC">
        <w:rPr>
          <w:rFonts w:ascii="Times New Roman" w:hAnsi="Times New Roman" w:cs="Times New Roman"/>
          <w:i/>
          <w:iCs/>
          <w:sz w:val="24"/>
        </w:rPr>
        <w:t>PLOS ONE</w:t>
      </w:r>
      <w:r w:rsidRPr="00E77CFC">
        <w:rPr>
          <w:rFonts w:ascii="Times New Roman" w:hAnsi="Times New Roman" w:cs="Times New Roman"/>
          <w:sz w:val="24"/>
        </w:rPr>
        <w:t xml:space="preserve">. </w:t>
      </w:r>
      <w:r w:rsidRPr="00E77CFC">
        <w:rPr>
          <w:rFonts w:ascii="Times New Roman" w:hAnsi="Times New Roman" w:cs="Times New Roman"/>
          <w:b/>
          <w:bCs/>
          <w:sz w:val="24"/>
        </w:rPr>
        <w:t>10</w:t>
      </w:r>
      <w:r w:rsidRPr="00E77CFC">
        <w:rPr>
          <w:rFonts w:ascii="Times New Roman" w:hAnsi="Times New Roman" w:cs="Times New Roman"/>
          <w:sz w:val="24"/>
        </w:rPr>
        <w:t>, e0143304 (2015).</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2. </w:t>
      </w:r>
      <w:r w:rsidRPr="00E77CFC">
        <w:rPr>
          <w:rFonts w:ascii="Times New Roman" w:hAnsi="Times New Roman" w:cs="Times New Roman"/>
          <w:sz w:val="24"/>
        </w:rPr>
        <w:tab/>
        <w:t xml:space="preserve">J. W. Tapsall, F. Ndowa, D. A. Lewis, M. Unemo, Meeting the public health challenge of multidrug- and extensively drug-resistant Neisseria gonorrhoeae. </w:t>
      </w:r>
      <w:r w:rsidRPr="00E77CFC">
        <w:rPr>
          <w:rFonts w:ascii="Times New Roman" w:hAnsi="Times New Roman" w:cs="Times New Roman"/>
          <w:i/>
          <w:iCs/>
          <w:sz w:val="24"/>
        </w:rPr>
        <w:t>Expert Review of Anti-Infective Therapy; London</w:t>
      </w:r>
      <w:r w:rsidRPr="00E77CFC">
        <w:rPr>
          <w:rFonts w:ascii="Times New Roman" w:hAnsi="Times New Roman" w:cs="Times New Roman"/>
          <w:sz w:val="24"/>
        </w:rPr>
        <w:t xml:space="preserve">. </w:t>
      </w:r>
      <w:r w:rsidRPr="00E77CFC">
        <w:rPr>
          <w:rFonts w:ascii="Times New Roman" w:hAnsi="Times New Roman" w:cs="Times New Roman"/>
          <w:b/>
          <w:bCs/>
          <w:sz w:val="24"/>
        </w:rPr>
        <w:t>7</w:t>
      </w:r>
      <w:r w:rsidRPr="00E77CFC">
        <w:rPr>
          <w:rFonts w:ascii="Times New Roman" w:hAnsi="Times New Roman" w:cs="Times New Roman"/>
          <w:sz w:val="24"/>
        </w:rPr>
        <w:t>, 821–34 (2009).</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3. </w:t>
      </w:r>
      <w:r w:rsidRPr="00E77CFC">
        <w:rPr>
          <w:rFonts w:ascii="Times New Roman" w:hAnsi="Times New Roman" w:cs="Times New Roman"/>
          <w:sz w:val="24"/>
        </w:rPr>
        <w:tab/>
        <w:t xml:space="preserve">S. R. Harris, M. J. Cole, G. Spiteri, L. Sánchez-Busó, D. Golparian, S. Jacobsson, R. Goater, K. Abudahab, C. A. Yeats, B. Bercot, M. J. Borrego, B. Crowley, P. Stefanelli, F. Tripodo, R. Abad, D. M. Aanensen, M. Unemo, Public health surveillance of multidrug-resistant clones of Neisseria gonorrhoeae in Europe: a genomic survey. </w:t>
      </w:r>
      <w:r w:rsidRPr="00E77CFC">
        <w:rPr>
          <w:rFonts w:ascii="Times New Roman" w:hAnsi="Times New Roman" w:cs="Times New Roman"/>
          <w:i/>
          <w:iCs/>
          <w:sz w:val="24"/>
        </w:rPr>
        <w:t>Lancet Infect Dis</w:t>
      </w:r>
      <w:r w:rsidRPr="00E77CFC">
        <w:rPr>
          <w:rFonts w:ascii="Times New Roman" w:hAnsi="Times New Roman" w:cs="Times New Roman"/>
          <w:sz w:val="24"/>
        </w:rPr>
        <w:t xml:space="preserve">. </w:t>
      </w:r>
      <w:r w:rsidRPr="00E77CFC">
        <w:rPr>
          <w:rFonts w:ascii="Times New Roman" w:hAnsi="Times New Roman" w:cs="Times New Roman"/>
          <w:b/>
          <w:bCs/>
          <w:sz w:val="24"/>
        </w:rPr>
        <w:t>18</w:t>
      </w:r>
      <w:r w:rsidRPr="00E77CFC">
        <w:rPr>
          <w:rFonts w:ascii="Times New Roman" w:hAnsi="Times New Roman" w:cs="Times New Roman"/>
          <w:sz w:val="24"/>
        </w:rPr>
        <w:t>, 758–768 (2018).</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4. </w:t>
      </w:r>
      <w:r w:rsidRPr="00E77CFC">
        <w:rPr>
          <w:rFonts w:ascii="Times New Roman" w:hAnsi="Times New Roman" w:cs="Times New Roman"/>
          <w:sz w:val="24"/>
        </w:rPr>
        <w:tab/>
        <w:t xml:space="preserve">R. S. Lee, T. Seemann, H. Heffernan, J. C. Kwong, A. Gonçalves da Silva, G. P. Carter, R. Woodhouse, K. H. Dyet, D. M. Bulach, T. P. Stinear, B. P. Howden, D. A. Williamson, Genomic epidemiology and antimicrobial resistance of Neisseria gonorrhoeae in New Zealand. </w:t>
      </w:r>
      <w:r w:rsidRPr="00E77CFC">
        <w:rPr>
          <w:rFonts w:ascii="Times New Roman" w:hAnsi="Times New Roman" w:cs="Times New Roman"/>
          <w:i/>
          <w:iCs/>
          <w:sz w:val="24"/>
        </w:rPr>
        <w:t>Journal of Antimicrobial Chemotherapy</w:t>
      </w:r>
      <w:r w:rsidRPr="00E77CFC">
        <w:rPr>
          <w:rFonts w:ascii="Times New Roman" w:hAnsi="Times New Roman" w:cs="Times New Roman"/>
          <w:sz w:val="24"/>
        </w:rPr>
        <w:t xml:space="preserve">. </w:t>
      </w:r>
      <w:r w:rsidRPr="00E77CFC">
        <w:rPr>
          <w:rFonts w:ascii="Times New Roman" w:hAnsi="Times New Roman" w:cs="Times New Roman"/>
          <w:b/>
          <w:bCs/>
          <w:sz w:val="24"/>
        </w:rPr>
        <w:t>73</w:t>
      </w:r>
      <w:r w:rsidRPr="00E77CFC">
        <w:rPr>
          <w:rFonts w:ascii="Times New Roman" w:hAnsi="Times New Roman" w:cs="Times New Roman"/>
          <w:sz w:val="24"/>
        </w:rPr>
        <w:t>, 353–364 (2018).</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5. </w:t>
      </w:r>
      <w:r w:rsidRPr="00E77CFC">
        <w:rPr>
          <w:rFonts w:ascii="Times New Roman" w:hAnsi="Times New Roman" w:cs="Times New Roman"/>
          <w:sz w:val="24"/>
        </w:rPr>
        <w:tab/>
        <w:t xml:space="preserve">A. L. Bailey, R. F. Potter, M. A. Wallace, C. Johnson, G. Dantas, C.-A. D. Burnham, Genotypic and Phenotypic Characterization of Antimicrobial Resistance in Neisseria gonorrhoeae: a Cross-Sectional Study of Isolates Recovered from Routine Urine Cultures in a High-Incidence Setting. </w:t>
      </w:r>
      <w:r w:rsidRPr="00E77CFC">
        <w:rPr>
          <w:rFonts w:ascii="Times New Roman" w:hAnsi="Times New Roman" w:cs="Times New Roman"/>
          <w:i/>
          <w:iCs/>
          <w:sz w:val="24"/>
        </w:rPr>
        <w:t>mSphere</w:t>
      </w:r>
      <w:r w:rsidRPr="00E77CFC">
        <w:rPr>
          <w:rFonts w:ascii="Times New Roman" w:hAnsi="Times New Roman" w:cs="Times New Roman"/>
          <w:sz w:val="24"/>
        </w:rPr>
        <w:t xml:space="preserve">. </w:t>
      </w:r>
      <w:r w:rsidRPr="00E77CFC">
        <w:rPr>
          <w:rFonts w:ascii="Times New Roman" w:hAnsi="Times New Roman" w:cs="Times New Roman"/>
          <w:b/>
          <w:bCs/>
          <w:sz w:val="24"/>
        </w:rPr>
        <w:t>4</w:t>
      </w:r>
      <w:r w:rsidRPr="00E77CFC">
        <w:rPr>
          <w:rFonts w:ascii="Times New Roman" w:hAnsi="Times New Roman" w:cs="Times New Roman"/>
          <w:sz w:val="24"/>
        </w:rPr>
        <w:t xml:space="preserve"> (2019), doi:10.1128/mSphere.00373-19.</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6. </w:t>
      </w:r>
      <w:r w:rsidRPr="00E77CFC">
        <w:rPr>
          <w:rFonts w:ascii="Times New Roman" w:hAnsi="Times New Roman" w:cs="Times New Roman"/>
          <w:sz w:val="24"/>
        </w:rPr>
        <w:tab/>
        <w:t xml:space="preserve">M. Baym, S. Kryazhimskiy, T. D. Lieberman, H. Chung, M. M. Desai, R. Kishony, Inexpensive Multiplexed Library Preparation for Megabase-Sized Genomes. </w:t>
      </w:r>
      <w:r w:rsidRPr="00E77CFC">
        <w:rPr>
          <w:rFonts w:ascii="Times New Roman" w:hAnsi="Times New Roman" w:cs="Times New Roman"/>
          <w:i/>
          <w:iCs/>
          <w:sz w:val="24"/>
        </w:rPr>
        <w:t>PLOS ONE</w:t>
      </w:r>
      <w:r w:rsidRPr="00E77CFC">
        <w:rPr>
          <w:rFonts w:ascii="Times New Roman" w:hAnsi="Times New Roman" w:cs="Times New Roman"/>
          <w:sz w:val="24"/>
        </w:rPr>
        <w:t>, 15 (2015).</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7. </w:t>
      </w:r>
      <w:r w:rsidRPr="00E77CFC">
        <w:rPr>
          <w:rFonts w:ascii="Times New Roman" w:hAnsi="Times New Roman" w:cs="Times New Roman"/>
          <w:sz w:val="24"/>
        </w:rPr>
        <w:tab/>
        <w:t xml:space="preserve">H. P. J. Buermans, J. T. den Dunnen, Next generation sequencing technology: Advances and applications. </w:t>
      </w:r>
      <w:r w:rsidRPr="00E77CFC">
        <w:rPr>
          <w:rFonts w:ascii="Times New Roman" w:hAnsi="Times New Roman" w:cs="Times New Roman"/>
          <w:i/>
          <w:iCs/>
          <w:sz w:val="24"/>
        </w:rPr>
        <w:t>Biochimica et Biophysica Acta (BBA) - Molecular Basis of Disease</w:t>
      </w:r>
      <w:r w:rsidRPr="00E77CFC">
        <w:rPr>
          <w:rFonts w:ascii="Times New Roman" w:hAnsi="Times New Roman" w:cs="Times New Roman"/>
          <w:sz w:val="24"/>
        </w:rPr>
        <w:t xml:space="preserve">. </w:t>
      </w:r>
      <w:r w:rsidRPr="00E77CFC">
        <w:rPr>
          <w:rFonts w:ascii="Times New Roman" w:hAnsi="Times New Roman" w:cs="Times New Roman"/>
          <w:b/>
          <w:bCs/>
          <w:sz w:val="24"/>
        </w:rPr>
        <w:t>1842</w:t>
      </w:r>
      <w:r w:rsidRPr="00E77CFC">
        <w:rPr>
          <w:rFonts w:ascii="Times New Roman" w:hAnsi="Times New Roman" w:cs="Times New Roman"/>
          <w:sz w:val="24"/>
        </w:rPr>
        <w:t>, 1932–1941 (2014).</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8. </w:t>
      </w:r>
      <w:r w:rsidRPr="00E77CFC">
        <w:rPr>
          <w:rFonts w:ascii="Times New Roman" w:hAnsi="Times New Roman" w:cs="Times New Roman"/>
          <w:sz w:val="24"/>
        </w:rPr>
        <w:tab/>
        <w:t xml:space="preserve">T. Nakazato, T. Ohta, H. Bono, Experimental Design-Based Functional Mining and Characterization of High-Throughput Sequencing Data in the Sequence Read Archive. </w:t>
      </w:r>
      <w:r w:rsidRPr="00E77CFC">
        <w:rPr>
          <w:rFonts w:ascii="Times New Roman" w:hAnsi="Times New Roman" w:cs="Times New Roman"/>
          <w:i/>
          <w:iCs/>
          <w:sz w:val="24"/>
        </w:rPr>
        <w:t>PLoS ONE</w:t>
      </w:r>
      <w:r w:rsidRPr="00E77CFC">
        <w:rPr>
          <w:rFonts w:ascii="Times New Roman" w:hAnsi="Times New Roman" w:cs="Times New Roman"/>
          <w:sz w:val="24"/>
        </w:rPr>
        <w:t xml:space="preserve">. </w:t>
      </w:r>
      <w:r w:rsidRPr="00E77CFC">
        <w:rPr>
          <w:rFonts w:ascii="Times New Roman" w:hAnsi="Times New Roman" w:cs="Times New Roman"/>
          <w:b/>
          <w:bCs/>
          <w:sz w:val="24"/>
        </w:rPr>
        <w:t>8</w:t>
      </w:r>
      <w:r w:rsidRPr="00E77CFC">
        <w:rPr>
          <w:rFonts w:ascii="Times New Roman" w:hAnsi="Times New Roman" w:cs="Times New Roman"/>
          <w:sz w:val="24"/>
        </w:rPr>
        <w:t>, e77910 (2013).</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9. </w:t>
      </w:r>
      <w:r w:rsidRPr="00E77CFC">
        <w:rPr>
          <w:rFonts w:ascii="Times New Roman" w:hAnsi="Times New Roman" w:cs="Times New Roman"/>
          <w:sz w:val="24"/>
        </w:rPr>
        <w:tab/>
        <w:t xml:space="preserve">J. Brown, M. Pirrung, L. A. McCue, FQC Dashboard: integrates FastQC results into a web-based, interactive, and extensible FASTQ quality control tool. </w:t>
      </w:r>
      <w:r w:rsidRPr="00E77CFC">
        <w:rPr>
          <w:rFonts w:ascii="Times New Roman" w:hAnsi="Times New Roman" w:cs="Times New Roman"/>
          <w:i/>
          <w:iCs/>
          <w:sz w:val="24"/>
        </w:rPr>
        <w:t>Bioinformatics</w:t>
      </w:r>
      <w:r w:rsidRPr="00E77CFC">
        <w:rPr>
          <w:rFonts w:ascii="Times New Roman" w:hAnsi="Times New Roman" w:cs="Times New Roman"/>
          <w:sz w:val="24"/>
        </w:rPr>
        <w:t xml:space="preserve">. </w:t>
      </w:r>
      <w:r w:rsidRPr="00E77CFC">
        <w:rPr>
          <w:rFonts w:ascii="Times New Roman" w:hAnsi="Times New Roman" w:cs="Times New Roman"/>
          <w:b/>
          <w:bCs/>
          <w:sz w:val="24"/>
        </w:rPr>
        <w:t>33</w:t>
      </w:r>
      <w:r w:rsidRPr="00E77CFC">
        <w:rPr>
          <w:rFonts w:ascii="Times New Roman" w:hAnsi="Times New Roman" w:cs="Times New Roman"/>
          <w:sz w:val="24"/>
        </w:rPr>
        <w:t>, 3137–3139 (2017).</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10. </w:t>
      </w:r>
      <w:r w:rsidRPr="00E77CFC">
        <w:rPr>
          <w:rFonts w:ascii="Times New Roman" w:hAnsi="Times New Roman" w:cs="Times New Roman"/>
          <w:sz w:val="24"/>
        </w:rPr>
        <w:tab/>
        <w:t xml:space="preserve">A. M. Bolger, M. Lohse, B. Usadel, Trimmomatic: a flexible trimmer for Illumina sequence data. </w:t>
      </w:r>
      <w:r w:rsidRPr="00E77CFC">
        <w:rPr>
          <w:rFonts w:ascii="Times New Roman" w:hAnsi="Times New Roman" w:cs="Times New Roman"/>
          <w:i/>
          <w:iCs/>
          <w:sz w:val="24"/>
        </w:rPr>
        <w:t>Bioinformatics</w:t>
      </w:r>
      <w:r w:rsidRPr="00E77CFC">
        <w:rPr>
          <w:rFonts w:ascii="Times New Roman" w:hAnsi="Times New Roman" w:cs="Times New Roman"/>
          <w:sz w:val="24"/>
        </w:rPr>
        <w:t xml:space="preserve">. </w:t>
      </w:r>
      <w:r w:rsidRPr="00E77CFC">
        <w:rPr>
          <w:rFonts w:ascii="Times New Roman" w:hAnsi="Times New Roman" w:cs="Times New Roman"/>
          <w:b/>
          <w:bCs/>
          <w:sz w:val="24"/>
        </w:rPr>
        <w:t>30</w:t>
      </w:r>
      <w:r w:rsidRPr="00E77CFC">
        <w:rPr>
          <w:rFonts w:ascii="Times New Roman" w:hAnsi="Times New Roman" w:cs="Times New Roman"/>
          <w:sz w:val="24"/>
        </w:rPr>
        <w:t>, 2114–2120 (2014).</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11. </w:t>
      </w:r>
      <w:r w:rsidRPr="00E77CFC">
        <w:rPr>
          <w:rFonts w:ascii="Times New Roman" w:hAnsi="Times New Roman" w:cs="Times New Roman"/>
          <w:sz w:val="24"/>
        </w:rPr>
        <w:tab/>
        <w:t xml:space="preserve">D. Kim, L. Song, F. P. Breitwieser, S. L. Salzberg, Centrifuge: rapid and sensitive classification of metagenomic sequences. </w:t>
      </w:r>
      <w:r w:rsidRPr="00E77CFC">
        <w:rPr>
          <w:rFonts w:ascii="Times New Roman" w:hAnsi="Times New Roman" w:cs="Times New Roman"/>
          <w:i/>
          <w:iCs/>
          <w:sz w:val="24"/>
        </w:rPr>
        <w:t>Genome Res.</w:t>
      </w:r>
      <w:r w:rsidRPr="00E77CFC">
        <w:rPr>
          <w:rFonts w:ascii="Times New Roman" w:hAnsi="Times New Roman" w:cs="Times New Roman"/>
          <w:sz w:val="24"/>
        </w:rPr>
        <w:t xml:space="preserve"> (2016), doi:10.1101/gr.210641.116.</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lastRenderedPageBreak/>
        <w:t xml:space="preserve">12. </w:t>
      </w:r>
      <w:r w:rsidRPr="00E77CFC">
        <w:rPr>
          <w:rFonts w:ascii="Times New Roman" w:hAnsi="Times New Roman" w:cs="Times New Roman"/>
          <w:sz w:val="24"/>
        </w:rPr>
        <w:tab/>
        <w:t xml:space="preserve">A. R. Khan, M. T. Pervez, M. E. Babar, N. Naveed, M. Shoaib, A Comprehensive Study of De Novo Genome Assemblers: Current Challenges and Future Prospective. </w:t>
      </w:r>
      <w:r w:rsidRPr="00E77CFC">
        <w:rPr>
          <w:rFonts w:ascii="Times New Roman" w:hAnsi="Times New Roman" w:cs="Times New Roman"/>
          <w:i/>
          <w:iCs/>
          <w:sz w:val="24"/>
        </w:rPr>
        <w:t>Evol Bioinform Online</w:t>
      </w:r>
      <w:r w:rsidRPr="00E77CFC">
        <w:rPr>
          <w:rFonts w:ascii="Times New Roman" w:hAnsi="Times New Roman" w:cs="Times New Roman"/>
          <w:sz w:val="24"/>
        </w:rPr>
        <w:t xml:space="preserve">. </w:t>
      </w:r>
      <w:r w:rsidRPr="00E77CFC">
        <w:rPr>
          <w:rFonts w:ascii="Times New Roman" w:hAnsi="Times New Roman" w:cs="Times New Roman"/>
          <w:b/>
          <w:bCs/>
          <w:sz w:val="24"/>
        </w:rPr>
        <w:t>14</w:t>
      </w:r>
      <w:r w:rsidRPr="00E77CFC">
        <w:rPr>
          <w:rFonts w:ascii="Times New Roman" w:hAnsi="Times New Roman" w:cs="Times New Roman"/>
          <w:sz w:val="24"/>
        </w:rPr>
        <w:t>, 117693431875865 (2018).</w:t>
      </w:r>
    </w:p>
    <w:p w:rsidR="00E77CFC" w:rsidRPr="00E77CFC" w:rsidRDefault="00E77CFC" w:rsidP="00E77CFC">
      <w:pPr>
        <w:pStyle w:val="Bibliography"/>
        <w:rPr>
          <w:rFonts w:ascii="Times New Roman" w:hAnsi="Times New Roman" w:cs="Times New Roman"/>
          <w:sz w:val="24"/>
        </w:rPr>
      </w:pPr>
      <w:r w:rsidRPr="00E77CFC">
        <w:rPr>
          <w:rFonts w:ascii="Times New Roman" w:hAnsi="Times New Roman" w:cs="Times New Roman"/>
          <w:sz w:val="24"/>
        </w:rPr>
        <w:t xml:space="preserve">13. </w:t>
      </w:r>
      <w:r w:rsidRPr="00E77CFC">
        <w:rPr>
          <w:rFonts w:ascii="Times New Roman" w:hAnsi="Times New Roman" w:cs="Times New Roman"/>
          <w:sz w:val="24"/>
        </w:rPr>
        <w:tab/>
        <w:t xml:space="preserve">D. R. Zerbino, </w:t>
      </w:r>
      <w:r w:rsidRPr="00E77CFC">
        <w:rPr>
          <w:rFonts w:ascii="Times New Roman" w:hAnsi="Times New Roman" w:cs="Times New Roman"/>
          <w:i/>
          <w:iCs/>
          <w:sz w:val="24"/>
        </w:rPr>
        <w:t>Curr Protoc Bioinformatics</w:t>
      </w:r>
      <w:r w:rsidRPr="00E77CFC">
        <w:rPr>
          <w:rFonts w:ascii="Times New Roman" w:hAnsi="Times New Roman" w:cs="Times New Roman"/>
          <w:sz w:val="24"/>
        </w:rPr>
        <w:t>, in press, doi:10.1002/0471250953.bi1105s31.</w:t>
      </w:r>
    </w:p>
    <w:p w:rsidR="008C357D" w:rsidRDefault="00E77CFC">
      <w:pPr>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fldChar w:fldCharType="end"/>
      </w:r>
    </w:p>
    <w:sectPr w:rsidR="008C357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72B" w:rsidRDefault="0010772B">
      <w:pPr>
        <w:spacing w:after="0" w:line="240" w:lineRule="auto"/>
      </w:pPr>
      <w:r>
        <w:separator/>
      </w:r>
    </w:p>
  </w:endnote>
  <w:endnote w:type="continuationSeparator" w:id="0">
    <w:p w:rsidR="0010772B" w:rsidRDefault="00107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57D" w:rsidRDefault="00E77CF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A6A12">
      <w:rPr>
        <w:noProof/>
        <w:color w:val="000000"/>
      </w:rPr>
      <w:t>1</w:t>
    </w:r>
    <w:r>
      <w:rPr>
        <w:color w:val="000000"/>
      </w:rPr>
      <w:fldChar w:fldCharType="end"/>
    </w:r>
  </w:p>
  <w:p w:rsidR="008C357D" w:rsidRDefault="008C357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72B" w:rsidRDefault="0010772B">
      <w:pPr>
        <w:spacing w:after="0" w:line="240" w:lineRule="auto"/>
      </w:pPr>
      <w:r>
        <w:separator/>
      </w:r>
    </w:p>
  </w:footnote>
  <w:footnote w:type="continuationSeparator" w:id="0">
    <w:p w:rsidR="0010772B" w:rsidRDefault="001077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57D"/>
    <w:rsid w:val="0010772B"/>
    <w:rsid w:val="00136E9A"/>
    <w:rsid w:val="0016114F"/>
    <w:rsid w:val="0017733B"/>
    <w:rsid w:val="00630F00"/>
    <w:rsid w:val="006D1B1C"/>
    <w:rsid w:val="008C357D"/>
    <w:rsid w:val="00955971"/>
    <w:rsid w:val="009C6B0E"/>
    <w:rsid w:val="00A75FAE"/>
    <w:rsid w:val="00BE3A38"/>
    <w:rsid w:val="00CA292A"/>
    <w:rsid w:val="00D566CE"/>
    <w:rsid w:val="00E67E1A"/>
    <w:rsid w:val="00E77CFC"/>
    <w:rsid w:val="00FA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7B67"/>
  <w15:docId w15:val="{961AF1CE-FDFF-49AF-AA4D-AC645556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FA6A12"/>
    <w:pPr>
      <w:tabs>
        <w:tab w:val="left" w:pos="384"/>
      </w:tabs>
      <w:spacing w:after="240" w:line="240" w:lineRule="auto"/>
      <w:ind w:left="384" w:hanging="384"/>
    </w:pPr>
  </w:style>
  <w:style w:type="paragraph" w:styleId="BalloonText">
    <w:name w:val="Balloon Text"/>
    <w:basedOn w:val="Normal"/>
    <w:link w:val="BalloonTextChar"/>
    <w:uiPriority w:val="99"/>
    <w:semiHidden/>
    <w:unhideWhenUsed/>
    <w:rsid w:val="006D1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B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sra/SRX6631047%5Baccn%5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9391</Words>
  <Characters>53531</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62797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Holaskova</dc:creator>
  <cp:lastModifiedBy>Microsoft Office User</cp:lastModifiedBy>
  <cp:revision>2</cp:revision>
  <cp:lastPrinted>2019-09-10T14:25:00Z</cp:lastPrinted>
  <dcterms:created xsi:type="dcterms:W3CDTF">2019-09-10T18:37:00Z</dcterms:created>
  <dcterms:modified xsi:type="dcterms:W3CDTF">2019-09-10T18:37:00Z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id="q1wB7ATE"/&gt;&lt;style id="http://www.zotero.org/styles/science" hasBibliography="1" bibliographyStyleHasBeenSet="1"/&gt;&lt;prefs&gt;&lt;pref name="fieldType" value="Field"/&gt;&lt;/prefs&gt;&lt;/data&gt;</vt:lpwstr>
  </property>
</Properties>
</file>