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Pakistan Stock Exchange Market Briefing: March 4, 2026</w:t>
      </w:r>
      <w:bookmarkStart w:id="0" w:name="_GoBack"/>
      <w:bookmarkEnd w:id="0"/>
    </w:p>
    <w:p>
      <w:pPr>
        <w:pStyle w:val="3"/>
        <w:keepNext w:val="0"/>
        <w:keepLines w:val="0"/>
        <w:widowControl/>
        <w:suppressLineNumbers w:val="0"/>
      </w:pPr>
      <w:r>
        <w:t>Executive Summary</w:t>
      </w:r>
    </w:p>
    <w:p>
      <w:pPr>
        <w:pStyle w:val="7"/>
        <w:keepNext w:val="0"/>
        <w:keepLines w:val="0"/>
        <w:widowControl/>
        <w:suppressLineNumbers w:val="0"/>
      </w:pPr>
      <w:r>
        <w:t>On March 4, 2026, the Pakistan Stock Exchange (PSX) experienced a notable bearish trend, with both the KSE100 and KSE30 indices closing significantly lower. The KSE100 index fell by 1,354.88 points, while the KSE30 index decreased by 412.22 points. Despite the downward price movement, market activity remained robust with a current volume of over 622 million shares.</w:t>
      </w:r>
    </w:p>
    <w:p>
      <w:pPr>
        <w:pStyle w:val="7"/>
        <w:keepNext w:val="0"/>
        <w:keepLines w:val="0"/>
        <w:widowControl/>
        <w:suppressLineNumbers w:val="0"/>
      </w:pPr>
      <w:r>
        <w:t>Key corporate developments included the announcement of a substantial annual loss by Apna Microfinance Bank Limited (AMBL) and the scheduling of Extraordinary General Meetings (EOGMs) for K-Electric and Kot Addu Power Company. The futures market showed a total open interest value of approximately 27.59 billion PKR, while off-market transactions accounted for over 42 million shares. Notably, no short sale transactions were declared through the F-8 window for the day.</w:t>
      </w:r>
    </w:p>
    <w:p>
      <w:pPr>
        <w:pStyle w:val="7"/>
        <w:keepNext w:val="0"/>
        <w:keepLines w:val="0"/>
        <w:widowControl/>
        <w:suppressLineNumbers w:val="0"/>
      </w:pPr>
      <w:r>
        <w:t xml:space="preserve">-------------------------------------------------------------------------------- </w:t>
      </w:r>
    </w:p>
    <w:p>
      <w:pPr>
        <w:pStyle w:val="3"/>
        <w:keepNext w:val="0"/>
        <w:keepLines w:val="0"/>
        <w:widowControl/>
        <w:suppressLineNumbers w:val="0"/>
      </w:pPr>
      <w:r>
        <w:t>Market Performance and Indices</w:t>
      </w:r>
    </w:p>
    <w:p>
      <w:pPr>
        <w:pStyle w:val="7"/>
        <w:keepNext w:val="0"/>
        <w:keepLines w:val="0"/>
        <w:widowControl/>
        <w:suppressLineNumbers w:val="0"/>
      </w:pPr>
      <w:r>
        <w:t>The trading session ended with more decliners than gainers, resulting in a negative net change for the primary indices.</w:t>
      </w:r>
    </w:p>
    <w:p>
      <w:pPr>
        <w:pStyle w:val="4"/>
        <w:keepNext w:val="0"/>
        <w:keepLines w:val="0"/>
        <w:widowControl/>
        <w:suppressLineNumbers w:val="0"/>
      </w:pPr>
      <w:r>
        <w:t>Daily Index Summary</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85"/>
        <w:gridCol w:w="2519"/>
        <w:gridCol w:w="2336"/>
        <w:gridCol w:w="1996"/>
      </w:tblGrid>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Index</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Previous Close</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Current Close</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Net Change</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KSE100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157,132.10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155,777.21</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-1,354.88</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KSE30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48,302.97</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47,890.76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-412.22</w:t>
            </w:r>
          </w:p>
        </w:tc>
      </w:tr>
    </w:tbl>
    <w:p>
      <w:pPr>
        <w:pStyle w:val="7"/>
        <w:keepNext w:val="0"/>
        <w:keepLines w:val="0"/>
        <w:widowControl/>
        <w:suppressLineNumbers w:val="0"/>
      </w:pPr>
      <w:r>
        <w:rPr>
          <w:b/>
          <w:bCs/>
        </w:rPr>
        <w:t>Market Statistics:</w:t>
      </w:r>
    </w:p>
    <w:p>
      <w:pPr>
        <w:keepNext w:val="0"/>
        <w:keepLines w:val="0"/>
        <w:widowControl/>
        <w:numPr>
          <w:ilvl w:val="0"/>
          <w:numId w:val="1"/>
        </w:numPr>
        <w:suppressLineNumbers w:val="0"/>
        <w:spacing w:before="0" w:beforeAutospacing="1" w:after="0" w:afterAutospacing="1"/>
        <w:ind w:left="720" w:hanging="360"/>
      </w:pPr>
      <w:r>
        <w:rPr>
          <w:b/>
          <w:bCs/>
        </w:rPr>
        <w:t>Current Volume:</w:t>
      </w:r>
      <w:r>
        <w:t xml:space="preserve"> 622,692,153 shares.</w:t>
      </w:r>
    </w:p>
    <w:p>
      <w:pPr>
        <w:keepNext w:val="0"/>
        <w:keepLines w:val="0"/>
        <w:widowControl/>
        <w:numPr>
          <w:ilvl w:val="0"/>
          <w:numId w:val="1"/>
        </w:numPr>
        <w:suppressLineNumbers w:val="0"/>
        <w:spacing w:before="0" w:beforeAutospacing="1" w:after="0" w:afterAutospacing="1"/>
        <w:ind w:left="720" w:hanging="360"/>
      </w:pPr>
      <w:r>
        <w:rPr>
          <w:b/>
          <w:bCs/>
        </w:rPr>
        <w:t>Previous Volume:</w:t>
      </w:r>
      <w:r>
        <w:t xml:space="preserve"> 770,695,162 shares.</w:t>
      </w:r>
    </w:p>
    <w:p>
      <w:pPr>
        <w:keepNext w:val="0"/>
        <w:keepLines w:val="0"/>
        <w:widowControl/>
        <w:numPr>
          <w:ilvl w:val="0"/>
          <w:numId w:val="1"/>
        </w:numPr>
        <w:suppressLineNumbers w:val="0"/>
        <w:spacing w:before="0" w:beforeAutospacing="1" w:after="0" w:afterAutospacing="1"/>
        <w:ind w:left="720" w:hanging="360"/>
      </w:pPr>
      <w:r>
        <w:rPr>
          <w:b/>
          <w:bCs/>
        </w:rPr>
        <w:t>Advancers (Plus):</w:t>
      </w:r>
      <w:r>
        <w:t xml:space="preserve"> 201</w:t>
      </w:r>
    </w:p>
    <w:p>
      <w:pPr>
        <w:keepNext w:val="0"/>
        <w:keepLines w:val="0"/>
        <w:widowControl/>
        <w:numPr>
          <w:ilvl w:val="0"/>
          <w:numId w:val="1"/>
        </w:numPr>
        <w:suppressLineNumbers w:val="0"/>
        <w:spacing w:before="0" w:beforeAutospacing="1" w:after="0" w:afterAutospacing="1"/>
        <w:ind w:left="720" w:hanging="360"/>
      </w:pPr>
      <w:r>
        <w:rPr>
          <w:b/>
          <w:bCs/>
        </w:rPr>
        <w:t>Decliners (Minus):</w:t>
      </w:r>
      <w:r>
        <w:t xml:space="preserve"> 213</w:t>
      </w:r>
    </w:p>
    <w:p>
      <w:pPr>
        <w:keepNext w:val="0"/>
        <w:keepLines w:val="0"/>
        <w:widowControl/>
        <w:numPr>
          <w:ilvl w:val="0"/>
          <w:numId w:val="1"/>
        </w:numPr>
        <w:suppressLineNumbers w:val="0"/>
        <w:spacing w:before="0" w:beforeAutospacing="1" w:after="0" w:afterAutospacing="1"/>
        <w:ind w:left="720" w:hanging="360"/>
      </w:pPr>
      <w:r>
        <w:rPr>
          <w:b/>
          <w:bCs/>
        </w:rPr>
        <w:t>Neutral (Equal):</w:t>
      </w:r>
      <w:r>
        <w:t xml:space="preserve"> 65</w:t>
      </w:r>
    </w:p>
    <w:p>
      <w:pPr>
        <w:keepNext w:val="0"/>
        <w:keepLines w:val="0"/>
        <w:widowControl/>
        <w:numPr>
          <w:ilvl w:val="0"/>
          <w:numId w:val="1"/>
        </w:numPr>
        <w:suppressLineNumbers w:val="0"/>
        <w:spacing w:before="0" w:beforeAutospacing="1" w:after="0" w:afterAutospacing="1"/>
        <w:ind w:left="720" w:hanging="360"/>
      </w:pPr>
      <w:r>
        <w:rPr>
          <w:b/>
          <w:bCs/>
        </w:rPr>
        <w:t>Total Symbols Traded:</w:t>
      </w:r>
      <w:r>
        <w:t xml:space="preserve"> 479</w:t>
      </w:r>
    </w:p>
    <w:p>
      <w:pPr>
        <w:pStyle w:val="7"/>
        <w:keepNext w:val="0"/>
        <w:keepLines w:val="0"/>
        <w:widowControl/>
        <w:suppressLineNumbers w:val="0"/>
      </w:pPr>
      <w:r>
        <w:t xml:space="preserve">-------------------------------------------------------------------------------- </w:t>
      </w:r>
    </w:p>
    <w:p>
      <w:pPr>
        <w:pStyle w:val="3"/>
        <w:keepNext w:val="0"/>
        <w:keepLines w:val="0"/>
        <w:widowControl/>
        <w:suppressLineNumbers w:val="0"/>
      </w:pPr>
      <w:r>
        <w:t>Deliverable Future Contracts (DFC) and Open Interest</w:t>
      </w:r>
    </w:p>
    <w:p>
      <w:pPr>
        <w:pStyle w:val="7"/>
        <w:keepNext w:val="0"/>
        <w:keepLines w:val="0"/>
        <w:widowControl/>
        <w:suppressLineNumbers w:val="0"/>
      </w:pPr>
      <w:r>
        <w:t>The futures market displayed significant engagement across various sectors, with a total of 1,394,553 contracts and an open interest value of 27,591,036,565 PKR.</w:t>
      </w:r>
    </w:p>
    <w:p>
      <w:pPr>
        <w:pStyle w:val="4"/>
        <w:keepNext w:val="0"/>
        <w:keepLines w:val="0"/>
        <w:widowControl/>
        <w:suppressLineNumbers w:val="0"/>
      </w:pPr>
      <w:r>
        <w:t>High Open Interest by Symbol (Top Tiers)</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967"/>
        <w:gridCol w:w="2190"/>
        <w:gridCol w:w="2733"/>
        <w:gridCol w:w="1446"/>
      </w:tblGrid>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Symbol</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Open Interest (Volume)</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Open Interest (Value in PKR)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 of Free Float</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TRG-MAR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40,165,500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1,719,485,055</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11.33%</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KEL-MAR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74,230,500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555,244,140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2.69%</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CNERGY-MAR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68,109,500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437,262,990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4.96%</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UNITY-MAR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26,816,000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256,897,280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7.49%</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WAVESAPP-MAR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14,385,500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114,077,015</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10.74%</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TPLP-MAR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23,721,500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160,357,340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7.05%</w:t>
            </w:r>
          </w:p>
        </w:tc>
      </w:tr>
    </w:tbl>
    <w:p>
      <w:pPr>
        <w:pStyle w:val="4"/>
        <w:keepNext w:val="0"/>
        <w:keepLines w:val="0"/>
        <w:widowControl/>
        <w:suppressLineNumbers w:val="0"/>
      </w:pPr>
      <w:r>
        <w:t>Stock Index Futures (SIF) Indicative Fair Value</w:t>
      </w:r>
    </w:p>
    <w:p>
      <w:pPr>
        <w:pStyle w:val="7"/>
        <w:keepNext w:val="0"/>
        <w:keepLines w:val="0"/>
        <w:widowControl/>
        <w:suppressLineNumbers w:val="0"/>
      </w:pPr>
      <w:r>
        <w:t>The indicative fair value for SIF contracts was calculated based on a financing rate of 2.75%, an index dividend yield of 4.1%, and an index cash price as of the close.</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769"/>
        <w:gridCol w:w="2105"/>
        <w:gridCol w:w="1853"/>
        <w:gridCol w:w="2609"/>
      </w:tblGrid>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Contract</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Index Cash Price</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Days to Expire</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Indicative Fair Value</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BKTI-MAR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45,388.60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26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45,478.00</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BKTI-APR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45,388.60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54</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45,573.00</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BKTI-MAY</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45,388.60</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89</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45,693.00</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KSE30-MAR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47,890.76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26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47,985.00</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KSE30-APR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47,890.76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54</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48,086.00</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KSE30-MAY</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47,890.76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89</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48,212.00</w:t>
            </w:r>
          </w:p>
        </w:tc>
      </w:tr>
      <w:tr>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rPr>
                <w:b/>
                <w:bCs/>
              </w:rPr>
              <w:t>OGTI-MAR</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30,631.34</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26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7"/>
              <w:keepNext w:val="0"/>
              <w:keepLines w:val="0"/>
              <w:widowControl/>
              <w:suppressLineNumbers w:val="0"/>
            </w:pPr>
            <w:r>
              <w:t>30,691.00</w:t>
            </w:r>
          </w:p>
        </w:tc>
      </w:tr>
    </w:tbl>
    <w:p>
      <w:pPr>
        <w:pStyle w:val="7"/>
        <w:keepNext w:val="0"/>
        <w:keepLines w:val="0"/>
        <w:widowControl/>
        <w:suppressLineNumbers w:val="0"/>
      </w:pPr>
      <w:r>
        <w:t xml:space="preserve">-------------------------------------------------------------------------------- </w:t>
      </w:r>
    </w:p>
    <w:p>
      <w:pPr>
        <w:pStyle w:val="3"/>
        <w:keepNext w:val="0"/>
        <w:keepLines w:val="0"/>
        <w:widowControl/>
        <w:suppressLineNumbers w:val="0"/>
      </w:pPr>
      <w:r>
        <w:t>Corporate Announcements and Financial Results</w:t>
      </w:r>
    </w:p>
    <w:p>
      <w:pPr>
        <w:pStyle w:val="4"/>
        <w:keepNext w:val="0"/>
        <w:keepLines w:val="0"/>
        <w:widowControl/>
        <w:suppressLineNumbers w:val="0"/>
      </w:pPr>
      <w:r>
        <w:t>Financial Performance: Apna Microfinance Bank Limited (AMBL)</w:t>
      </w:r>
    </w:p>
    <w:p>
      <w:pPr>
        <w:pStyle w:val="7"/>
        <w:keepNext w:val="0"/>
        <w:keepLines w:val="0"/>
        <w:widowControl/>
        <w:suppressLineNumbers w:val="0"/>
      </w:pPr>
      <w:r>
        <w:t>AMBL reported its annual results for the period ended December 31, 2025. The bank faced significant financial headwinds:</w:t>
      </w:r>
    </w:p>
    <w:p>
      <w:pPr>
        <w:keepNext w:val="0"/>
        <w:keepLines w:val="0"/>
        <w:widowControl/>
        <w:numPr>
          <w:ilvl w:val="0"/>
          <w:numId w:val="2"/>
        </w:numPr>
        <w:suppressLineNumbers w:val="0"/>
        <w:spacing w:before="0" w:beforeAutospacing="1" w:after="0" w:afterAutospacing="1"/>
        <w:ind w:left="720" w:hanging="360"/>
      </w:pPr>
      <w:r>
        <w:rPr>
          <w:b/>
          <w:bCs/>
        </w:rPr>
        <w:t>Loss Before Tax:</w:t>
      </w:r>
      <w:r>
        <w:t xml:space="preserve"> 1,648.078 Million PKR.</w:t>
      </w:r>
    </w:p>
    <w:p>
      <w:pPr>
        <w:keepNext w:val="0"/>
        <w:keepLines w:val="0"/>
        <w:widowControl/>
        <w:numPr>
          <w:ilvl w:val="0"/>
          <w:numId w:val="2"/>
        </w:numPr>
        <w:suppressLineNumbers w:val="0"/>
        <w:spacing w:before="0" w:beforeAutospacing="1" w:after="0" w:afterAutospacing="1"/>
        <w:ind w:left="720" w:hanging="360"/>
      </w:pPr>
      <w:r>
        <w:rPr>
          <w:b/>
          <w:bCs/>
        </w:rPr>
        <w:t>Loss After Tax:</w:t>
      </w:r>
      <w:r>
        <w:t xml:space="preserve"> 1,648.078 Million PKR.</w:t>
      </w:r>
    </w:p>
    <w:p>
      <w:pPr>
        <w:keepNext w:val="0"/>
        <w:keepLines w:val="0"/>
        <w:widowControl/>
        <w:numPr>
          <w:ilvl w:val="0"/>
          <w:numId w:val="2"/>
        </w:numPr>
        <w:suppressLineNumbers w:val="0"/>
        <w:spacing w:before="0" w:beforeAutospacing="1" w:after="0" w:afterAutospacing="1"/>
        <w:ind w:left="720" w:hanging="360"/>
      </w:pPr>
      <w:r>
        <w:rPr>
          <w:b/>
          <w:bCs/>
        </w:rPr>
        <w:t>Earnings Per Share (EPS):</w:t>
      </w:r>
      <w:r>
        <w:t xml:space="preserve"> (3.84) PKR.</w:t>
      </w:r>
    </w:p>
    <w:p>
      <w:pPr>
        <w:keepNext w:val="0"/>
        <w:keepLines w:val="0"/>
        <w:widowControl/>
        <w:numPr>
          <w:ilvl w:val="0"/>
          <w:numId w:val="2"/>
        </w:numPr>
        <w:suppressLineNumbers w:val="0"/>
        <w:spacing w:before="0" w:beforeAutospacing="1" w:after="0" w:afterAutospacing="1"/>
        <w:ind w:left="720" w:hanging="360"/>
      </w:pPr>
      <w:r>
        <w:rPr>
          <w:b/>
          <w:bCs/>
        </w:rPr>
        <w:t>Entitlement:</w:t>
      </w:r>
      <w:r>
        <w:t xml:space="preserve"> Nil.</w:t>
      </w:r>
    </w:p>
    <w:p>
      <w:pPr>
        <w:keepNext w:val="0"/>
        <w:keepLines w:val="0"/>
        <w:widowControl/>
        <w:numPr>
          <w:ilvl w:val="0"/>
          <w:numId w:val="2"/>
        </w:numPr>
        <w:suppressLineNumbers w:val="0"/>
        <w:spacing w:before="0" w:beforeAutospacing="1" w:after="0" w:afterAutospacing="1"/>
        <w:ind w:left="720" w:hanging="360"/>
      </w:pPr>
      <w:r>
        <w:rPr>
          <w:b/>
          <w:bCs/>
        </w:rPr>
        <w:t>Annual General Meeting (AGM):</w:t>
      </w:r>
      <w:r>
        <w:t xml:space="preserve"> Scheduled for March 27, 2026, at 09:00 AM.</w:t>
      </w:r>
    </w:p>
    <w:p>
      <w:pPr>
        <w:pStyle w:val="4"/>
        <w:keepNext w:val="0"/>
        <w:keepLines w:val="0"/>
        <w:widowControl/>
        <w:suppressLineNumbers w:val="0"/>
      </w:pPr>
      <w:r>
        <w:t>Dividends and Corporate Meetings</w:t>
      </w:r>
    </w:p>
    <w:p>
      <w:pPr>
        <w:keepNext w:val="0"/>
        <w:keepLines w:val="0"/>
        <w:widowControl/>
        <w:numPr>
          <w:ilvl w:val="0"/>
          <w:numId w:val="3"/>
        </w:numPr>
        <w:suppressLineNumbers w:val="0"/>
        <w:spacing w:before="0" w:beforeAutospacing="1" w:after="0" w:afterAutospacing="1"/>
        <w:ind w:left="720" w:hanging="360"/>
      </w:pPr>
      <w:r>
        <w:rPr>
          <w:b/>
          <w:bCs/>
        </w:rPr>
        <w:t>JS Global Banking Sector (ETF):</w:t>
      </w:r>
      <w:r>
        <w:t xml:space="preserve"> Credited a 55% Interim Cash Dividend for the year ended December 31, 2025, on March 24, 2026.</w:t>
      </w:r>
    </w:p>
    <w:p>
      <w:pPr>
        <w:keepNext w:val="0"/>
        <w:keepLines w:val="0"/>
        <w:widowControl/>
        <w:numPr>
          <w:ilvl w:val="0"/>
          <w:numId w:val="3"/>
        </w:numPr>
        <w:suppressLineNumbers w:val="0"/>
        <w:spacing w:before="0" w:beforeAutospacing="1" w:after="0" w:afterAutospacing="1"/>
        <w:ind w:left="720" w:hanging="360"/>
      </w:pPr>
      <w:r>
        <w:rPr>
          <w:b/>
          <w:bCs/>
        </w:rPr>
        <w:t>K-Electric Limited (KEL):</w:t>
      </w:r>
      <w:r>
        <w:t xml:space="preserve"> Scheduled an Extraordinary General Meeting (EOGM) for March 25, 2026. Book closure will occur from March 17 to March 25.</w:t>
      </w:r>
    </w:p>
    <w:p>
      <w:pPr>
        <w:keepNext w:val="0"/>
        <w:keepLines w:val="0"/>
        <w:widowControl/>
        <w:numPr>
          <w:ilvl w:val="0"/>
          <w:numId w:val="3"/>
        </w:numPr>
        <w:suppressLineNumbers w:val="0"/>
        <w:spacing w:before="0" w:beforeAutospacing="1" w:after="0" w:afterAutospacing="1"/>
        <w:ind w:left="720" w:hanging="360"/>
      </w:pPr>
      <w:r>
        <w:rPr>
          <w:b/>
          <w:bCs/>
        </w:rPr>
        <w:t>Kot Addu Power Company (KAPCO):</w:t>
      </w:r>
      <w:r>
        <w:t xml:space="preserve"> Announced revised book closure dates for its EOGM, now set for March 10 to March 12, 2026.</w:t>
      </w:r>
    </w:p>
    <w:p>
      <w:pPr>
        <w:pStyle w:val="7"/>
        <w:keepNext w:val="0"/>
        <w:keepLines w:val="0"/>
        <w:widowControl/>
        <w:suppressLineNumbers w:val="0"/>
      </w:pPr>
      <w:r>
        <w:t xml:space="preserve">-------------------------------------------------------------------------------- </w:t>
      </w:r>
    </w:p>
    <w:p>
      <w:pPr>
        <w:pStyle w:val="3"/>
        <w:keepNext w:val="0"/>
        <w:keepLines w:val="0"/>
        <w:widowControl/>
        <w:suppressLineNumbers w:val="0"/>
      </w:pPr>
      <w:r>
        <w:t>Off-Market Activity (NDM)</w:t>
      </w:r>
    </w:p>
    <w:p>
      <w:pPr>
        <w:pStyle w:val="7"/>
        <w:keepNext w:val="0"/>
        <w:keepLines w:val="0"/>
        <w:widowControl/>
        <w:suppressLineNumbers w:val="0"/>
      </w:pPr>
      <w:r>
        <w:t>Off-market transactions represented a substantial volume of 42,141,548 shares. Significant trades included:</w:t>
      </w:r>
    </w:p>
    <w:p>
      <w:pPr>
        <w:keepNext w:val="0"/>
        <w:keepLines w:val="0"/>
        <w:widowControl/>
        <w:numPr>
          <w:ilvl w:val="0"/>
          <w:numId w:val="4"/>
        </w:numPr>
        <w:suppressLineNumbers w:val="0"/>
        <w:spacing w:before="0" w:beforeAutospacing="1" w:after="0" w:afterAutospacing="1"/>
        <w:ind w:left="720" w:hanging="360"/>
      </w:pPr>
      <w:r>
        <w:rPr>
          <w:b/>
          <w:bCs/>
        </w:rPr>
        <w:t>K-Electric Ltd.:</w:t>
      </w:r>
      <w:r>
        <w:t xml:space="preserve"> Two major transactions of 10,000,000 shares each at rates of 7.44 and 7.52 PKR respectively.</w:t>
      </w:r>
    </w:p>
    <w:p>
      <w:pPr>
        <w:keepNext w:val="0"/>
        <w:keepLines w:val="0"/>
        <w:widowControl/>
        <w:numPr>
          <w:ilvl w:val="0"/>
          <w:numId w:val="4"/>
        </w:numPr>
        <w:suppressLineNumbers w:val="0"/>
        <w:spacing w:before="0" w:beforeAutospacing="1" w:after="0" w:afterAutospacing="1"/>
        <w:ind w:left="720" w:hanging="360"/>
      </w:pPr>
      <w:r>
        <w:rPr>
          <w:b/>
          <w:bCs/>
        </w:rPr>
        <w:t>WorldCall Telecom:</w:t>
      </w:r>
      <w:r>
        <w:t xml:space="preserve"> 5,000,000 shares traded at a rate of 1.99 PKR.</w:t>
      </w:r>
    </w:p>
    <w:p>
      <w:pPr>
        <w:keepNext w:val="0"/>
        <w:keepLines w:val="0"/>
        <w:widowControl/>
        <w:numPr>
          <w:ilvl w:val="0"/>
          <w:numId w:val="4"/>
        </w:numPr>
        <w:suppressLineNumbers w:val="0"/>
        <w:spacing w:before="0" w:beforeAutospacing="1" w:after="0" w:afterAutospacing="1"/>
        <w:ind w:left="720" w:hanging="360"/>
      </w:pPr>
      <w:r>
        <w:rPr>
          <w:b/>
          <w:bCs/>
        </w:rPr>
        <w:t>Bunnys Limited:</w:t>
      </w:r>
      <w:r>
        <w:t xml:space="preserve"> 2,000,000 shares traded at 4.50 PKR.</w:t>
      </w:r>
    </w:p>
    <w:p>
      <w:pPr>
        <w:keepNext w:val="0"/>
        <w:keepLines w:val="0"/>
        <w:widowControl/>
        <w:numPr>
          <w:ilvl w:val="0"/>
          <w:numId w:val="4"/>
        </w:numPr>
        <w:suppressLineNumbers w:val="0"/>
        <w:spacing w:before="0" w:beforeAutospacing="1" w:after="0" w:afterAutospacing="1"/>
        <w:ind w:left="720" w:hanging="360"/>
      </w:pPr>
      <w:r>
        <w:rPr>
          <w:b/>
          <w:bCs/>
        </w:rPr>
        <w:t>Pak Stock Exchange:</w:t>
      </w:r>
      <w:r>
        <w:t xml:space="preserve"> 1,600,000 shares traded at 50.00 PKR.</w:t>
      </w:r>
    </w:p>
    <w:p>
      <w:pPr>
        <w:keepNext w:val="0"/>
        <w:keepLines w:val="0"/>
        <w:widowControl/>
        <w:numPr>
          <w:ilvl w:val="0"/>
          <w:numId w:val="4"/>
        </w:numPr>
        <w:suppressLineNumbers w:val="0"/>
        <w:spacing w:before="0" w:beforeAutospacing="1" w:after="0" w:afterAutospacing="1"/>
        <w:ind w:left="720" w:hanging="360"/>
      </w:pPr>
      <w:r>
        <w:rPr>
          <w:b/>
          <w:bCs/>
        </w:rPr>
        <w:t>Frieslandcampina:</w:t>
      </w:r>
      <w:r>
        <w:t xml:space="preserve"> Two transactions of 1,000,000 shares each at 70.13 PKR.</w:t>
      </w:r>
    </w:p>
    <w:p>
      <w:pPr>
        <w:keepNext w:val="0"/>
        <w:keepLines w:val="0"/>
        <w:widowControl/>
        <w:numPr>
          <w:ilvl w:val="0"/>
          <w:numId w:val="4"/>
        </w:numPr>
        <w:suppressLineNumbers w:val="0"/>
        <w:spacing w:before="0" w:beforeAutospacing="1" w:after="0" w:afterAutospacing="1"/>
        <w:ind w:left="720" w:hanging="360"/>
      </w:pPr>
      <w:r>
        <w:rPr>
          <w:b/>
          <w:bCs/>
        </w:rPr>
        <w:t>Bank AL-Habib:</w:t>
      </w:r>
      <w:r>
        <w:t xml:space="preserve"> 1,569,435 shares traded at 154.98 PKR.</w:t>
      </w:r>
    </w:p>
    <w:p>
      <w:pPr>
        <w:pStyle w:val="7"/>
        <w:keepNext w:val="0"/>
        <w:keepLines w:val="0"/>
        <w:widowControl/>
        <w:suppressLineNumbers w:val="0"/>
      </w:pPr>
      <w:r>
        <w:t xml:space="preserve">-------------------------------------------------------------------------------- </w:t>
      </w:r>
    </w:p>
    <w:p>
      <w:pPr>
        <w:pStyle w:val="3"/>
        <w:keepNext w:val="0"/>
        <w:keepLines w:val="0"/>
        <w:widowControl/>
        <w:suppressLineNumbers w:val="0"/>
      </w:pPr>
      <w:r>
        <w:t>Sectoral Highlights and Individual Scrip Movements</w:t>
      </w:r>
    </w:p>
    <w:p>
      <w:pPr>
        <w:pStyle w:val="7"/>
        <w:keepNext w:val="0"/>
        <w:keepLines w:val="0"/>
        <w:widowControl/>
        <w:suppressLineNumbers w:val="0"/>
      </w:pPr>
      <w:r>
        <w:t>The closing rates across various sectors revealed widespread volatility.</w:t>
      </w:r>
    </w:p>
    <w:p>
      <w:pPr>
        <w:keepNext w:val="0"/>
        <w:keepLines w:val="0"/>
        <w:widowControl/>
        <w:numPr>
          <w:ilvl w:val="0"/>
          <w:numId w:val="5"/>
        </w:numPr>
        <w:suppressLineNumbers w:val="0"/>
        <w:spacing w:before="0" w:beforeAutospacing="1" w:after="0" w:afterAutospacing="1"/>
        <w:ind w:left="720" w:hanging="360"/>
      </w:pPr>
      <w:r>
        <w:rPr>
          <w:b/>
          <w:bCs/>
        </w:rPr>
        <w:t>Commercial Banks:</w:t>
      </w:r>
      <w:r>
        <w:t xml:space="preserve"> United Bank (UBL) closed at 412.85 (-5.83), Habib Bank (HBL) at 269.57 (-10.36), and National Bank (NBP) at 245.62 (-7.51).</w:t>
      </w:r>
    </w:p>
    <w:p>
      <w:pPr>
        <w:keepNext w:val="0"/>
        <w:keepLines w:val="0"/>
        <w:widowControl/>
        <w:numPr>
          <w:ilvl w:val="0"/>
          <w:numId w:val="5"/>
        </w:numPr>
        <w:suppressLineNumbers w:val="0"/>
        <w:spacing w:before="0" w:beforeAutospacing="1" w:after="0" w:afterAutospacing="1"/>
        <w:ind w:left="720" w:hanging="360"/>
      </w:pPr>
      <w:r>
        <w:rPr>
          <w:b/>
          <w:bCs/>
        </w:rPr>
        <w:t>Tobacco:</w:t>
      </w:r>
      <w:r>
        <w:t xml:space="preserve"> Pakistan Tobacco (PAKT) saw a significant drop of 30.11, closing at 1,230.28.</w:t>
      </w:r>
    </w:p>
    <w:p>
      <w:pPr>
        <w:keepNext w:val="0"/>
        <w:keepLines w:val="0"/>
        <w:widowControl/>
        <w:numPr>
          <w:ilvl w:val="0"/>
          <w:numId w:val="5"/>
        </w:numPr>
        <w:suppressLineNumbers w:val="0"/>
        <w:spacing w:before="0" w:beforeAutospacing="1" w:after="0" w:afterAutospacing="1"/>
        <w:ind w:left="720" w:hanging="360"/>
      </w:pPr>
      <w:r>
        <w:rPr>
          <w:b/>
          <w:bCs/>
        </w:rPr>
        <w:t>Refinery:</w:t>
      </w:r>
      <w:r>
        <w:t xml:space="preserve"> Attock Refinery (ATRL) gained 6.96 to close at 699.33, while Cnergyico PK (CNERGY) saw a slight increase to 6.41.</w:t>
      </w:r>
    </w:p>
    <w:p>
      <w:pPr>
        <w:keepNext w:val="0"/>
        <w:keepLines w:val="0"/>
        <w:widowControl/>
        <w:numPr>
          <w:ilvl w:val="0"/>
          <w:numId w:val="5"/>
        </w:numPr>
        <w:suppressLineNumbers w:val="0"/>
        <w:spacing w:before="0" w:beforeAutospacing="1" w:after="0" w:afterAutospacing="1"/>
        <w:ind w:left="720" w:hanging="360"/>
      </w:pPr>
      <w:r>
        <w:rPr>
          <w:b/>
          <w:bCs/>
        </w:rPr>
        <w:t>Power Generation:</w:t>
      </w:r>
      <w:r>
        <w:t xml:space="preserve"> K-Electric (KEL) ended at 7.44 (+0.15), whereas Hub Power Co. (HUBC) declined by 2.68 to 204.28.</w:t>
      </w:r>
    </w:p>
    <w:p>
      <w:pPr>
        <w:keepNext w:val="0"/>
        <w:keepLines w:val="0"/>
        <w:widowControl/>
        <w:numPr>
          <w:ilvl w:val="0"/>
          <w:numId w:val="5"/>
        </w:numPr>
        <w:suppressLineNumbers w:val="0"/>
        <w:spacing w:before="0" w:beforeAutospacing="1" w:after="0" w:afterAutospacing="1"/>
        <w:ind w:left="720" w:hanging="360"/>
      </w:pPr>
      <w:r>
        <w:rPr>
          <w:b/>
          <w:bCs/>
        </w:rPr>
        <w:t>Automobile Assembler:</w:t>
      </w:r>
      <w:r>
        <w:t xml:space="preserve"> Sazgar Engineering (SAZEW) gained 23.92, closing at 2,073.71. Millat Tractors (MTL) also rose by 6.1 to 494.61.</w:t>
      </w:r>
    </w:p>
    <w:p>
      <w:pPr>
        <w:keepNext w:val="0"/>
        <w:keepLines w:val="0"/>
        <w:widowControl/>
        <w:numPr>
          <w:ilvl w:val="0"/>
          <w:numId w:val="5"/>
        </w:numPr>
        <w:suppressLineNumbers w:val="0"/>
        <w:spacing w:before="0" w:beforeAutospacing="1" w:after="0" w:afterAutospacing="1"/>
        <w:ind w:left="720" w:hanging="360"/>
      </w:pPr>
      <w:r>
        <w:rPr>
          <w:b/>
          <w:bCs/>
        </w:rPr>
        <w:t>Pharmaceuticals:</w:t>
      </w:r>
      <w:r>
        <w:t xml:space="preserve"> Highnoon Laboratories (HINOON) declined by 21.71 to 887.58, while Abbott Laboratories (ABOT) dropped 18.3 to close at 980.00.</w:t>
      </w:r>
    </w:p>
    <w:p>
      <w:pPr>
        <w:keepNext w:val="0"/>
        <w:keepLines w:val="0"/>
        <w:widowControl/>
        <w:numPr>
          <w:ilvl w:val="0"/>
          <w:numId w:val="5"/>
        </w:numPr>
        <w:suppressLineNumbers w:val="0"/>
        <w:spacing w:before="0" w:beforeAutospacing="1" w:after="0" w:afterAutospacing="1"/>
        <w:ind w:left="720" w:hanging="360"/>
      </w:pPr>
      <w:r>
        <w:rPr>
          <w:b/>
          <w:bCs/>
        </w:rPr>
        <w:t>Food &amp; Personal Care:</w:t>
      </w:r>
      <w:r>
        <w:t xml:space="preserve"> Unilever Foods (UPFL) surged by 1,256.45 to close at 25,295.00. Rafhan Maize (RMPL) increased by 118.31 to 9,196.97. Shield Corporation (SCL) gained 83.86 to reach 922.86.</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91F621"/>
    <w:multiLevelType w:val="multilevel"/>
    <w:tmpl w:val="AF91F6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DACADC8"/>
    <w:multiLevelType w:val="multilevel"/>
    <w:tmpl w:val="FDACAD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7B83C1"/>
    <w:multiLevelType w:val="multilevel"/>
    <w:tmpl w:val="FF7B8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BA67E08"/>
    <w:multiLevelType w:val="multilevel"/>
    <w:tmpl w:val="6BA67E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BBE4563"/>
    <w:multiLevelType w:val="multilevel"/>
    <w:tmpl w:val="7BBE45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E3356"/>
    <w:rsid w:val="FFFE3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2026-03-05T16:50:00Z</dcterms:created>
  <dc:creator>MohammadJaved</dc:creator>
  <cp:lastModifiedBy>MohammadJaved</cp:lastModifiedBy>
  <dcterms:modified xsi:type="dcterms:W3CDTF">2026-03-05T16:51:49Z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