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theme/theme1.xml" ContentType="application/vnd.openxmlformats-officedocument.theme+xml"/>
  <Override PartName="/word/media/image1.png" ContentType="image/png"/>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l Nile" w:hAnsi="Al Nile"/>
          <w:b/>
          <w:bCs/>
        </w:rPr>
      </w:pPr>
      <w:r>
        <w:rPr/>
        <w:drawing>
          <wp:anchor behindDoc="0" distT="0" distB="0" distL="0" distR="0" simplePos="0" locked="0" layoutInCell="0" allowOverlap="1" relativeHeight="2">
            <wp:simplePos x="0" y="0"/>
            <wp:positionH relativeFrom="column">
              <wp:posOffset>223520</wp:posOffset>
            </wp:positionH>
            <wp:positionV relativeFrom="paragraph">
              <wp:posOffset>-81915</wp:posOffset>
            </wp:positionV>
            <wp:extent cx="1471295" cy="14801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471295" cy="1480185"/>
                    </a:xfrm>
                    <a:prstGeom prst="rect">
                      <a:avLst/>
                    </a:prstGeom>
                  </pic:spPr>
                </pic:pic>
              </a:graphicData>
            </a:graphic>
          </wp:anchor>
        </w:drawing>
      </w:r>
    </w:p>
    <w:p>
      <w:pPr>
        <w:pStyle w:val="Normal"/>
        <w:rPr>
          <w:rFonts w:ascii="Al Nile" w:hAnsi="Al Nile"/>
          <w:b/>
          <w:bCs/>
        </w:rPr>
      </w:pPr>
      <w:r>
        <w:rPr/>
      </w:r>
    </w:p>
    <w:p>
      <w:pPr>
        <w:pStyle w:val="Normal"/>
        <w:rPr>
          <w:rFonts w:ascii="Al Nile" w:hAnsi="Al Nile"/>
          <w:b/>
          <w:bCs/>
        </w:rPr>
      </w:pPr>
      <w:r>
        <w:rPr/>
      </w:r>
    </w:p>
    <w:p>
      <w:pPr>
        <w:pStyle w:val="Normal"/>
        <w:rPr>
          <w:rFonts w:ascii="Al Nile" w:hAnsi="Al Nile"/>
          <w:b/>
          <w:bCs/>
        </w:rPr>
      </w:pPr>
      <w:r>
        <w:rPr/>
      </w:r>
    </w:p>
    <w:p>
      <w:pPr>
        <w:pStyle w:val="Normal"/>
        <w:rPr>
          <w:rFonts w:ascii="Al Nile" w:hAnsi="Al Nile"/>
          <w:b/>
          <w:bCs/>
        </w:rPr>
      </w:pPr>
      <w:r>
        <w:rPr/>
      </w:r>
    </w:p>
    <w:p>
      <w:pPr>
        <w:pStyle w:val="Normal"/>
        <w:rPr>
          <w:rFonts w:ascii="Al Nile" w:hAnsi="Al Nile"/>
          <w:b/>
          <w:bCs/>
        </w:rPr>
      </w:pPr>
      <w:r>
        <w:rPr/>
      </w:r>
    </w:p>
    <w:p>
      <w:pPr>
        <w:pStyle w:val="Normal"/>
        <w:rPr>
          <w:rFonts w:ascii="Al Nile" w:hAnsi="Al Nile"/>
          <w:b/>
          <w:bCs/>
        </w:rPr>
      </w:pPr>
      <w:r>
        <w:rPr>
          <w:rFonts w:ascii="Al Nile" w:hAnsi="Al Nile"/>
          <w:b/>
          <w:bCs/>
          <w:sz w:val="28"/>
          <w:szCs w:val="28"/>
          <w:lang w:val="en-US"/>
        </w:rPr>
        <w:t>Muhammad Abdullah 22I-2465</w:t>
      </w:r>
    </w:p>
    <w:p>
      <w:pPr>
        <w:pStyle w:val="Normal"/>
        <w:rPr>
          <w:rFonts w:ascii="Al Nile" w:hAnsi="Al Nile"/>
          <w:b/>
          <w:bCs/>
        </w:rPr>
      </w:pPr>
      <w:r>
        <w:rPr>
          <w:rFonts w:ascii="Al Nile" w:hAnsi="Al Nile"/>
          <w:b/>
          <w:bCs/>
          <w:sz w:val="28"/>
          <w:szCs w:val="28"/>
          <w:lang w:val="en-US"/>
        </w:rPr>
        <w:t>Muhammad Usman 22I-2288</w:t>
      </w:r>
    </w:p>
    <w:p>
      <w:pPr>
        <w:pStyle w:val="Normal"/>
        <w:rPr>
          <w:rFonts w:ascii="Al Nile" w:hAnsi="Al Nile"/>
          <w:b/>
          <w:bCs/>
        </w:rPr>
      </w:pPr>
      <w:r>
        <w:rPr>
          <w:rFonts w:ascii="Al Nile" w:hAnsi="Al Nile"/>
          <w:b/>
          <w:bCs/>
          <w:sz w:val="28"/>
          <w:szCs w:val="28"/>
          <w:lang w:val="en-US"/>
        </w:rPr>
        <w:t>Muhammad Usman 22I-7463</w:t>
      </w:r>
    </w:p>
    <w:p>
      <w:pPr>
        <w:pStyle w:val="Normal"/>
        <w:rPr>
          <w:rFonts w:ascii="Al Nile" w:hAnsi="Al Nile"/>
          <w:b/>
          <w:bCs/>
        </w:rPr>
      </w:pPr>
      <w:r>
        <w:rPr>
          <w:rFonts w:ascii="Al Nile" w:hAnsi="Al Nile"/>
          <w:b/>
          <w:bCs/>
          <w:sz w:val="28"/>
          <w:szCs w:val="28"/>
          <w:lang w:val="en-US"/>
        </w:rPr>
        <w:t>Mohammad Arqam Javed 22I-9087</w:t>
      </w:r>
    </w:p>
    <w:p>
      <w:pPr>
        <w:pStyle w:val="Normal"/>
        <w:rPr>
          <w:rFonts w:ascii="Al Nile" w:hAnsi="Al Nile"/>
          <w:b/>
          <w:bCs/>
        </w:rPr>
      </w:pPr>
      <w:r>
        <w:rPr>
          <w:rFonts w:ascii="Al Nile" w:hAnsi="Al Nile"/>
          <w:b/>
          <w:bCs/>
          <w:sz w:val="28"/>
          <w:szCs w:val="28"/>
          <w:lang w:val="en-US"/>
        </w:rPr>
        <w:t>FINTECH-C</w:t>
      </w:r>
    </w:p>
    <w:p>
      <w:pPr>
        <w:pStyle w:val="Normal"/>
        <w:jc w:val="center"/>
        <w:rPr>
          <w:rFonts w:ascii="Al Nile" w:hAnsi="Al Nile"/>
          <w:b/>
          <w:bCs/>
        </w:rPr>
      </w:pPr>
      <w:r>
        <w:rPr>
          <w:rFonts w:ascii="Al Nile" w:hAnsi="Al Nile"/>
          <w:b/>
          <w:bCs/>
          <w:sz w:val="28"/>
          <w:szCs w:val="28"/>
          <w:lang w:val="en-US"/>
        </w:rPr>
        <w:t>Interpreation</w:t>
      </w:r>
    </w:p>
    <w:p>
      <w:pPr>
        <w:pStyle w:val="Normal"/>
        <w:rPr>
          <w:sz w:val="28"/>
          <w:szCs w:val="28"/>
          <w:lang w:val="en-US"/>
        </w:rPr>
      </w:pPr>
      <w:r>
        <w:rPr>
          <w:sz w:val="28"/>
          <w:szCs w:val="28"/>
          <w:lang w:val="en-US"/>
        </w:rPr>
      </w:r>
    </w:p>
    <w:tbl>
      <w:tblPr>
        <w:tblW w:w="10138"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4125"/>
        <w:gridCol w:w="1306"/>
        <w:gridCol w:w="967"/>
        <w:gridCol w:w="1131"/>
        <w:gridCol w:w="850"/>
        <w:gridCol w:w="1759"/>
      </w:tblGrid>
      <w:tr>
        <w:trPr>
          <w:trHeight w:val="290" w:hRule="atLeast"/>
        </w:trPr>
        <w:tc>
          <w:tcPr>
            <w:tcW w:w="4125"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4"/>
                <w:szCs w:val="24"/>
                <w:lang w:eastAsia="en-GB"/>
                <w14:ligatures w14:val="none"/>
              </w:rPr>
            </w:pPr>
            <w:r>
              <w:rPr>
                <w:rFonts w:eastAsia="Times New Roman" w:cs="Times New Roman" w:ascii="Times New Roman" w:hAnsi="Times New Roman"/>
                <w:kern w:val="0"/>
                <w:sz w:val="24"/>
                <w:szCs w:val="24"/>
                <w:lang w:eastAsia="en-GB"/>
                <w14:ligatures w14:val="none"/>
              </w:rPr>
            </w:r>
          </w:p>
        </w:tc>
        <w:tc>
          <w:tcPr>
            <w:tcW w:w="3404" w:type="dxa"/>
            <w:gridSpan w:val="3"/>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BHP Group Income Statement </w:t>
            </w:r>
          </w:p>
        </w:tc>
        <w:tc>
          <w:tcPr>
            <w:tcW w:w="85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759"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 </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2022</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2021</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2020</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2019</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2018</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Revenue</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$65,098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$56,921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$42,931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$44,288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$43,129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Cost Of Goods Sold</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$10,495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$8,698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$8,303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$8,534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$7,915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Gross Profit</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$54,603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$48,223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$34,628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$35,754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$35,214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Research And Development Expenses</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$199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$134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$517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$516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$641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SG&amp;A Expenses</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$4,618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$4,357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$4,055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$4,032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$3,990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Operating Income Or Expenses</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($9,482)</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($10,626)</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($9,029)</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($9,000)</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($7,966)</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Operating Expenses</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$19,982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$20,201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$19,713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$19,377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$18,885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Operating Income</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$34,621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$28,022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$14,915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$16,377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$16,329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Non-Operating Income/Expense</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($1,484)</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($3,730)</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($1,405)</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($1,328)</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($1,578)</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Pre-Tax Income</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$33,137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$24,292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$13,510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$15,049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$14,751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Taxes</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$10,737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$10,616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$4,774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$5,529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$7,007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After Taxes</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$22,400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$13,676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$8,736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$9,520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$7,744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Income</w:t>
            </w:r>
          </w:p>
        </w:tc>
        <w:tc>
          <w:tcPr>
            <w:tcW w:w="1306"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967"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1131"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850"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1759"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From Continuous Operations</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$22,400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$13,676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$8,736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$9,520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$7,744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From Discontinued Operations</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$10,655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($225)</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($335)</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FF0000"/>
                <w:kern w:val="0"/>
                <w:lang w:eastAsia="en-GB"/>
                <w14:ligatures w14:val="none"/>
              </w:rPr>
              <w:t>($2,921)</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Net Income</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$30,900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$11,304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$7,956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$8,306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$3,705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EBITDA</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$40,304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$33,106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$21,027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$22,206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$22,617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EBIT</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$34,621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$28,022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$14,915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$16,377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$16,329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Basic Shares Outstanding</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2,531</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2,529</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2,529</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2,590</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2,662</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Shares Outstanding</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2,536</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2,534</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2,535</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2,597</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2,669</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Basic EPS</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$12.21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$4.47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$3.15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$3.21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$1.39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EPS-Earnings Per Share</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$12.19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$4.46 </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$3.15 </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$3.20 </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$1.39 </w:t>
            </w:r>
          </w:p>
        </w:tc>
      </w:tr>
      <w:tr>
        <w:trPr>
          <w:trHeight w:val="290" w:hRule="atLeast"/>
        </w:trPr>
        <w:tc>
          <w:tcPr>
            <w:tcW w:w="4125"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Book Value Per Share</w:t>
            </w:r>
          </w:p>
        </w:tc>
        <w:tc>
          <w:tcPr>
            <w:tcW w:w="1306"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19.253</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21.968</w:t>
            </w:r>
          </w:p>
        </w:tc>
        <w:tc>
          <w:tcPr>
            <w:tcW w:w="11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20.613</w:t>
            </w:r>
          </w:p>
        </w:tc>
        <w:tc>
          <w:tcPr>
            <w:tcW w:w="85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20.492</w:t>
            </w:r>
          </w:p>
        </w:tc>
        <w:tc>
          <w:tcPr>
            <w:tcW w:w="17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22.792</w:t>
            </w:r>
          </w:p>
        </w:tc>
      </w:tr>
    </w:tbl>
    <w:p>
      <w:pPr>
        <w:pStyle w:val="Normal"/>
        <w:rPr>
          <w:sz w:val="28"/>
          <w:szCs w:val="28"/>
          <w:lang w:val="en-US"/>
        </w:rPr>
      </w:pPr>
      <w:r>
        <w:rPr>
          <w:sz w:val="28"/>
          <w:szCs w:val="28"/>
          <w:lang w:val="en-US"/>
        </w:rPr>
      </w:r>
    </w:p>
    <w:tbl>
      <w:tblPr>
        <w:tblW w:w="10322"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3449"/>
        <w:gridCol w:w="233"/>
        <w:gridCol w:w="1643"/>
        <w:gridCol w:w="1247"/>
        <w:gridCol w:w="1420"/>
        <w:gridCol w:w="967"/>
        <w:gridCol w:w="1363"/>
      </w:tblGrid>
      <w:tr>
        <w:trPr>
          <w:trHeight w:val="290" w:hRule="atLeast"/>
        </w:trPr>
        <w:tc>
          <w:tcPr>
            <w:tcW w:w="3449"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4"/>
                <w:szCs w:val="24"/>
                <w:lang w:eastAsia="en-GB"/>
                <w14:ligatures w14:val="none"/>
              </w:rPr>
            </w:pPr>
            <w:r>
              <w:rPr>
                <w:rFonts w:eastAsia="Times New Roman" w:cs="Times New Roman" w:ascii="Times New Roman" w:hAnsi="Times New Roman"/>
                <w:kern w:val="0"/>
                <w:sz w:val="24"/>
                <w:szCs w:val="24"/>
                <w:lang w:eastAsia="en-GB"/>
                <w14:ligatures w14:val="none"/>
              </w:rPr>
            </w:r>
          </w:p>
        </w:tc>
        <w:tc>
          <w:tcPr>
            <w:tcW w:w="233"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4310" w:type="dxa"/>
            <w:gridSpan w:val="3"/>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BHP Group Balance Sheet</w:t>
            </w:r>
          </w:p>
        </w:tc>
        <w:tc>
          <w:tcPr>
            <w:tcW w:w="967"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363"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233"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1643"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2022</w:t>
            </w:r>
          </w:p>
        </w:tc>
        <w:tc>
          <w:tcPr>
            <w:tcW w:w="1247"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2021</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2020</w:t>
            </w:r>
          </w:p>
        </w:tc>
        <w:tc>
          <w:tcPr>
            <w:tcW w:w="967"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2019</w:t>
            </w:r>
          </w:p>
        </w:tc>
        <w:tc>
          <w:tcPr>
            <w:tcW w:w="1363"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2018</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Cash On Hand</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$17,865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$15,476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$13,510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$15,700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$16,071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Receivables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$5,426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$6,059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$3,364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$3,462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$3,096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Inventory</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$4,935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$4,426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$4,101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$3,840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$3,764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Pre-Paid Expenses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1247"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1420"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967"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1363"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Current Assets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$438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$408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$496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$371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$260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Current Assets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$28,664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$26,693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$21,471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$23,373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$35,130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Property, Plant, And Equipment</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$61,295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$73,813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$72,362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$68,041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$67,182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Long-Term Investments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$2,222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$3,352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$5,107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$3,872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$3,472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Goodwill And Intangible Assets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$1,369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$1,437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$1,574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$675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$778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Long-Term Assets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$92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$25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$43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$55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$69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Long-Term Assets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$66,502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$82,234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$84,262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$77,488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$76,863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Assets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$95,166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$108,927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$105,733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$100,861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$111,993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Current Liabilities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$16,919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$16,403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$14,824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$12,339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$13,989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Long Term Debt</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$13,806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$18,355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$22,036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$23,167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$24,069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Non-Current Liabilities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$12,562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$15,065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$12,709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$10,016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$9,456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Long Term Liabilities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$29,481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$36,919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$38,734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$36,698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$37,334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Liabilities</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$46,400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$53,322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$53,558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$49,037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$51,323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Common Stock Net</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$4,638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$2,168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$2,168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$2,168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$2,243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Retained Earnings (Accumulated Deficit)</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$40,338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$46,779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$43,396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$42,819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$51,064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Comprehensive Income</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1247"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1420"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967"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1363"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Share Holders Equity</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$12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$2,350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$2,306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$2,285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$2,290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Share Holder Equity</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$48,766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$55,605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$52,175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$51,824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$60,670 </w:t>
            </w:r>
          </w:p>
        </w:tc>
      </w:tr>
      <w:tr>
        <w:trPr>
          <w:trHeight w:val="290" w:hRule="atLeast"/>
        </w:trPr>
        <w:tc>
          <w:tcPr>
            <w:tcW w:w="344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Liabilities And Share Holders Equity</w:t>
            </w:r>
          </w:p>
        </w:tc>
        <w:tc>
          <w:tcPr>
            <w:tcW w:w="233"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64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$95,166 </w:t>
            </w:r>
          </w:p>
        </w:tc>
        <w:tc>
          <w:tcPr>
            <w:tcW w:w="124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$108,927 </w:t>
            </w:r>
          </w:p>
        </w:tc>
        <w:tc>
          <w:tcPr>
            <w:tcW w:w="142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$105,733 </w:t>
            </w:r>
          </w:p>
        </w:tc>
        <w:tc>
          <w:tcPr>
            <w:tcW w:w="967"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$100,861 </w:t>
            </w:r>
          </w:p>
        </w:tc>
        <w:tc>
          <w:tcPr>
            <w:tcW w:w="136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$111,993 </w:t>
            </w:r>
          </w:p>
        </w:tc>
      </w:tr>
    </w:tbl>
    <w:p>
      <w:pPr>
        <w:pStyle w:val="Normal"/>
        <w:rPr>
          <w:sz w:val="28"/>
          <w:szCs w:val="28"/>
          <w:lang w:val="en-US"/>
        </w:rPr>
      </w:pPr>
      <w:r>
        <w:rPr>
          <w:sz w:val="28"/>
          <w:szCs w:val="28"/>
          <w:lang w:val="en-US"/>
        </w:rPr>
      </w:r>
    </w:p>
    <w:p>
      <w:pPr>
        <w:pStyle w:val="Normal"/>
        <w:rPr/>
      </w:pPr>
      <w:r>
        <w:fldChar w:fldCharType="begin"/>
      </w:r>
      <w:r>
        <w:rPr/>
        <w:instrText xml:space="preserve">LINK Excel.Sheet.12 "C:\\Users\\Hp\\Downloads\\Accounting Project 1.xlsx" "Sheet3!R1C1:R19C6" \a \f 4 \h</w:instrText>
      </w:r>
      <w:r>
        <w:rPr/>
      </w:r>
      <w:r>
        <w:rPr/>
        <w:fldChar w:fldCharType="separate"/>
      </w:r>
      <w:r/>
      <w:r>
        <w:rPr/>
      </w:r>
    </w:p>
    <w:tbl>
      <w:tblPr>
        <w:tblW w:w="850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3700"/>
        <w:gridCol w:w="959"/>
        <w:gridCol w:w="962"/>
        <w:gridCol w:w="958"/>
        <w:gridCol w:w="962"/>
        <w:gridCol w:w="958"/>
      </w:tblGrid>
      <w:tr>
        <w:trPr>
          <w:trHeight w:val="290" w:hRule="atLeast"/>
        </w:trPr>
        <w:tc>
          <w:tcPr>
            <w:tcW w:w="3700"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4"/>
                <w:szCs w:val="24"/>
                <w:lang w:eastAsia="en-GB"/>
                <w14:ligatures w14:val="none"/>
              </w:rPr>
            </w:pPr>
            <w:r>
              <w:rPr>
                <w:rFonts w:eastAsia="Times New Roman" w:cs="Times New Roman" w:ascii="Times New Roman" w:hAnsi="Times New Roman"/>
                <w:kern w:val="0"/>
                <w:sz w:val="24"/>
                <w:szCs w:val="24"/>
                <w:lang w:eastAsia="en-GB"/>
                <w14:ligatures w14:val="none"/>
              </w:rPr>
            </w:r>
          </w:p>
        </w:tc>
        <w:tc>
          <w:tcPr>
            <w:tcW w:w="959"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2882" w:type="dxa"/>
            <w:gridSpan w:val="3"/>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Statemnet Vertical Test</w:t>
            </w:r>
          </w:p>
        </w:tc>
        <w:tc>
          <w:tcPr>
            <w:tcW w:w="958"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2022</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2021</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2019</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2018</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Revenue</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Cost Of Goods Sold</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16.10%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15.30%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19.30%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19.30%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18.40%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Gross Profit</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83.90%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84.70%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80.70%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80.70%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81.60%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Research And Development Exp.</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0.30%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0.20%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1.20%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1.20%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1.50%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SG&amp;A Expenses</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7.10%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7.70%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9.40%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9.10%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9.30%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Operating Inc. Or Exp.</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-14.50%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-18.70%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-21.00%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-20.30%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-18.50%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Operating Expenses</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30.70%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35.50%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45.90%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43.80%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43.80%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Operating Income</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53.10%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49.30%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34.70%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36.90%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37.80%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Non-Operating Inc./Exp.</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-2.30%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-6.60%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-3.30%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-3.00%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-3.70%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Pre-Tax Income</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50.80%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42.70%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31.50%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34.00%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34.20%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Taxes</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16.50%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18.70%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11.10%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12.50%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16.20%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After Taxes</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34.30%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24.00%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20.30%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21.50%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17.90%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From Continuous Ops.</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34.30%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24.00%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20.30%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21.50%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17.90%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From Discontinued Ops.</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16.40%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0.00%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0.00%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-6.60%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-6.80%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Net Income</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50.70%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19.90%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18.50%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18.90%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8.60%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EBITDA</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61.90%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58.20%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48.90%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50.10%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52.40%</w:t>
            </w:r>
          </w:p>
        </w:tc>
      </w:tr>
      <w:tr>
        <w:trPr>
          <w:trHeight w:val="290" w:hRule="atLeast"/>
        </w:trPr>
        <w:tc>
          <w:tcPr>
            <w:tcW w:w="370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EBIT</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53.10%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49.30%</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34.70%</w:t>
            </w:r>
          </w:p>
        </w:tc>
        <w:tc>
          <w:tcPr>
            <w:tcW w:w="96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36.98%</w:t>
            </w:r>
          </w:p>
        </w:tc>
        <w:tc>
          <w:tcPr>
            <w:tcW w:w="958"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37.86%</w:t>
            </w:r>
          </w:p>
        </w:tc>
      </w:tr>
    </w:tbl>
    <w:p>
      <w:pPr>
        <w:pStyle w:val="Normal"/>
        <w:rPr>
          <w:sz w:val="28"/>
          <w:szCs w:val="28"/>
          <w:lang w:val="en-US"/>
        </w:rPr>
      </w:pPr>
      <w:r/>
      <w:r>
        <w:rPr/>
        <w:fldChar w:fldCharType="end"/>
      </w:r>
      <w:r>
        <w:rPr/>
      </w:r>
    </w:p>
    <w:p>
      <w:pPr>
        <w:pStyle w:val="Normal"/>
        <w:rPr>
          <w:b/>
          <w:bCs/>
        </w:rPr>
      </w:pPr>
      <w:r>
        <w:rPr>
          <w:b/>
          <w:bCs/>
          <w:sz w:val="28"/>
          <w:szCs w:val="28"/>
        </w:rPr>
        <w:t>This vertical test shows the financial performance of a company over the past five years. Here are some of the most important takeaways from the analysis:</w:t>
      </w:r>
    </w:p>
    <w:p>
      <w:pPr>
        <w:pStyle w:val="Normal"/>
        <w:numPr>
          <w:ilvl w:val="0"/>
          <w:numId w:val="1"/>
        </w:numPr>
        <w:rPr>
          <w:sz w:val="28"/>
          <w:szCs w:val="28"/>
        </w:rPr>
      </w:pPr>
      <w:r>
        <w:rPr>
          <w:sz w:val="28"/>
          <w:szCs w:val="28"/>
        </w:rPr>
        <w:t>Revenue remained steady at 100% throughout the period, indicating that the company's sales remained consistent.</w:t>
      </w:r>
    </w:p>
    <w:p>
      <w:pPr>
        <w:pStyle w:val="Normal"/>
        <w:numPr>
          <w:ilvl w:val="0"/>
          <w:numId w:val="1"/>
        </w:numPr>
        <w:rPr>
          <w:sz w:val="28"/>
          <w:szCs w:val="28"/>
        </w:rPr>
      </w:pPr>
      <w:r>
        <w:rPr>
          <w:sz w:val="28"/>
          <w:szCs w:val="28"/>
        </w:rPr>
        <w:t>Cost of goods sold decreased from 19.30% in 2020 to 15.30% in 2021, indicating that the company was able to reduce its production costs, leading to an increase in gross profit.</w:t>
      </w:r>
    </w:p>
    <w:p>
      <w:pPr>
        <w:pStyle w:val="Normal"/>
        <w:numPr>
          <w:ilvl w:val="0"/>
          <w:numId w:val="1"/>
        </w:numPr>
        <w:rPr>
          <w:sz w:val="28"/>
          <w:szCs w:val="28"/>
        </w:rPr>
      </w:pPr>
      <w:r>
        <w:rPr>
          <w:sz w:val="28"/>
          <w:szCs w:val="28"/>
        </w:rPr>
        <w:t>Gross profit remained high, ranging from 80.70% to 84.70% over the period, which is a positive sign for the company's profitability.</w:t>
      </w:r>
    </w:p>
    <w:p>
      <w:pPr>
        <w:pStyle w:val="Normal"/>
        <w:numPr>
          <w:ilvl w:val="0"/>
          <w:numId w:val="1"/>
        </w:numPr>
        <w:rPr>
          <w:sz w:val="28"/>
          <w:szCs w:val="28"/>
        </w:rPr>
      </w:pPr>
      <w:r>
        <w:rPr>
          <w:sz w:val="28"/>
          <w:szCs w:val="28"/>
        </w:rPr>
        <w:t>Operating expenses decreased from 45.90% in 2020 to 35.50% in 2021, which means that the company was able to cut down its operating costs, leading to an increase in operating income.</w:t>
      </w:r>
    </w:p>
    <w:p>
      <w:pPr>
        <w:pStyle w:val="Normal"/>
        <w:numPr>
          <w:ilvl w:val="0"/>
          <w:numId w:val="1"/>
        </w:numPr>
        <w:rPr>
          <w:sz w:val="28"/>
          <w:szCs w:val="28"/>
        </w:rPr>
      </w:pPr>
      <w:r>
        <w:rPr>
          <w:sz w:val="28"/>
          <w:szCs w:val="28"/>
        </w:rPr>
        <w:t>Income taxes decreased from 18.70% in 2021 to 16.50% in 2022, which is a positive sign for the company's tax management.</w:t>
      </w:r>
    </w:p>
    <w:p>
      <w:pPr>
        <w:pStyle w:val="Normal"/>
        <w:numPr>
          <w:ilvl w:val="0"/>
          <w:numId w:val="1"/>
        </w:numPr>
        <w:rPr>
          <w:sz w:val="28"/>
          <w:szCs w:val="28"/>
        </w:rPr>
      </w:pPr>
      <w:r>
        <w:rPr>
          <w:sz w:val="28"/>
          <w:szCs w:val="28"/>
        </w:rPr>
        <w:t>Net income increased significantly from 8.60% in 2018 to 50.70% in 2022, indicating that the company was able to generate higher profits in recent years.</w:t>
      </w:r>
    </w:p>
    <w:p>
      <w:pPr>
        <w:pStyle w:val="Normal"/>
        <w:rPr>
          <w:b/>
          <w:bCs/>
        </w:rPr>
      </w:pPr>
      <w:r>
        <w:rPr>
          <w:b/>
          <w:bCs/>
          <w:sz w:val="28"/>
          <w:szCs w:val="28"/>
        </w:rPr>
        <w:t>Overall, the analysis suggests that the company has been performing well financially and has been able to manage its costs effectively, leading to an increase in profitability.</w:t>
      </w:r>
    </w:p>
    <w:p>
      <w:pPr>
        <w:pStyle w:val="Normal"/>
        <w:rPr>
          <w:sz w:val="28"/>
          <w:szCs w:val="28"/>
          <w:lang w:val="en-US"/>
        </w:rPr>
      </w:pPr>
      <w:r>
        <w:rPr>
          <w:sz w:val="28"/>
          <w:szCs w:val="28"/>
          <w:lang w:val="en-US"/>
        </w:rPr>
      </w:r>
    </w:p>
    <w:p>
      <w:pPr>
        <w:pStyle w:val="Normal"/>
        <w:rPr>
          <w:sz w:val="28"/>
          <w:szCs w:val="28"/>
          <w:lang w:val="en-US"/>
        </w:rPr>
      </w:pPr>
      <w:r>
        <w:rPr>
          <w:sz w:val="28"/>
          <w:szCs w:val="28"/>
          <w:lang w:val="en-US"/>
        </w:rPr>
      </w:r>
    </w:p>
    <w:p>
      <w:pPr>
        <w:pStyle w:val="Normal"/>
        <w:rPr>
          <w:sz w:val="28"/>
          <w:szCs w:val="28"/>
          <w:lang w:val="en-US"/>
        </w:rPr>
      </w:pPr>
      <w:r>
        <w:rPr>
          <w:sz w:val="28"/>
          <w:szCs w:val="28"/>
          <w:lang w:val="en-US"/>
        </w:rPr>
      </w:r>
    </w:p>
    <w:p>
      <w:pPr>
        <w:pStyle w:val="Normal"/>
        <w:rPr/>
      </w:pPr>
      <w:r>
        <w:fldChar w:fldCharType="begin"/>
      </w:r>
      <w:r>
        <w:rPr/>
        <w:instrText xml:space="preserve">LINK Excel.Sheet.12 "C:\\Users\\Hp\\Downloads\\Accounting Project 1.xlsx" "Sheet3!R23C1:R45C6" \a \f 4 \h</w:instrText>
      </w:r>
      <w:r>
        <w:rPr/>
      </w:r>
      <w:r>
        <w:rPr/>
        <w:fldChar w:fldCharType="separate"/>
      </w:r>
      <w:r/>
      <w:r>
        <w:rPr/>
      </w:r>
    </w:p>
    <w:tbl>
      <w:tblPr>
        <w:tblW w:w="850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3642"/>
        <w:gridCol w:w="971"/>
        <w:gridCol w:w="972"/>
        <w:gridCol w:w="971"/>
        <w:gridCol w:w="973"/>
        <w:gridCol w:w="970"/>
      </w:tblGrid>
      <w:tr>
        <w:trPr>
          <w:trHeight w:val="290" w:hRule="atLeast"/>
        </w:trPr>
        <w:tc>
          <w:tcPr>
            <w:tcW w:w="3642"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4"/>
                <w:szCs w:val="24"/>
                <w:lang w:eastAsia="en-GB"/>
                <w14:ligatures w14:val="none"/>
              </w:rPr>
            </w:pPr>
            <w:r>
              <w:rPr>
                <w:rFonts w:eastAsia="Times New Roman" w:cs="Times New Roman" w:ascii="Times New Roman" w:hAnsi="Times New Roman"/>
                <w:kern w:val="0"/>
                <w:sz w:val="24"/>
                <w:szCs w:val="24"/>
                <w:lang w:eastAsia="en-GB"/>
                <w14:ligatures w14:val="none"/>
              </w:rPr>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2022</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2021</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2020</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2019</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2018</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Cash On Hand</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18.78%</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14.19%</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12.77%</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15.56%</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14.36%</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Receivables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5.70%</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5.56%</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3.18%</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3.43%</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2.77%</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Inventory</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5.19%</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4.06%</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3.88%</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3.81%</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3.36%</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Pre-Paid Expenses</w:t>
            </w:r>
          </w:p>
        </w:tc>
        <w:tc>
          <w:tcPr>
            <w:tcW w:w="971"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972"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971"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973"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970"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Current Assets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0.46%</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0.37%</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0.47%</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0.37%</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0.23%</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Current Assets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30.13%</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24.19%</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20.30%</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23.17%</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20.72%</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Property, Plant, And Equipment</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64.41%</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67.79%</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68.49%</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67.47%</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60.00%</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Long-Term Investments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2.33%</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3.08%</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4.83%</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3.84%</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3.10%</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Goodwill And Intangible Assets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1.44%</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1.32%</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1.49%</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0.67%</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0.70%</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Long-Term Assets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0.10%</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0.02%</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0.04%</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0.05%</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0.06%</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Long-Term Assets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69.28%</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72.21%</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74.85%</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71.03%</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63.87%</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Assets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Current Liabilities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17.79%</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15.06%</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14.00%</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12.24%</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12.47%</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Long Term Debt</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14.52%</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16.84%</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20.84%</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22.95%</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21.52%</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Non-Current Liabilities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13.21%</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13.85%</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12.04%</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9.95%</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8.43%</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Long Term Liabilities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30.73%</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30.69%</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32.88%</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32.90%</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29.95%</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Liabilities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48.52%</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45.75%</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46.88%</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45.14%</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42.42%</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Common Stock Net</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4.87%</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1.99%</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2.05%</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2.15%</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2.00%</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Retained Earnings</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42.43%</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42.94%</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41.05%</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42.43%</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45.61%</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Shareholders' Equity</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0.01%</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2.16%</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2.18%</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2.26%</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2.05%</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Shareholders' Equity</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51.31%</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50.25%</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49.28%</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49.84%</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54.58%</w:t>
            </w:r>
          </w:p>
        </w:tc>
      </w:tr>
      <w:tr>
        <w:trPr>
          <w:trHeight w:val="290" w:hRule="atLeast"/>
        </w:trPr>
        <w:tc>
          <w:tcPr>
            <w:tcW w:w="3642"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Liabilities and Shareholders' Equity</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c>
          <w:tcPr>
            <w:tcW w:w="972"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c>
          <w:tcPr>
            <w:tcW w:w="97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c>
          <w:tcPr>
            <w:tcW w:w="973"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c>
          <w:tcPr>
            <w:tcW w:w="97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bl>
    <w:p>
      <w:pPr>
        <w:pStyle w:val="Normal"/>
        <w:rPr>
          <w:sz w:val="28"/>
          <w:szCs w:val="28"/>
        </w:rPr>
      </w:pPr>
      <w:r/>
      <w:r>
        <w:rPr/>
        <w:fldChar w:fldCharType="end"/>
      </w:r>
      <w:r>
        <w:rPr/>
      </w:r>
    </w:p>
    <w:p>
      <w:pPr>
        <w:pStyle w:val="Normal"/>
        <w:rPr>
          <w:sz w:val="28"/>
          <w:szCs w:val="28"/>
        </w:rPr>
      </w:pPr>
      <w:r>
        <w:rPr>
          <w:sz w:val="28"/>
          <w:szCs w:val="28"/>
        </w:rPr>
        <w:t>This table shows the composition of assets and liabilities of a company over the years 2018-2022. The most important parts to analyze in this table are the changes in the percentage of different assets and liabilities over the years.</w:t>
      </w:r>
    </w:p>
    <w:p>
      <w:pPr>
        <w:pStyle w:val="Normal"/>
        <w:rPr>
          <w:sz w:val="28"/>
          <w:szCs w:val="28"/>
        </w:rPr>
      </w:pPr>
      <w:r>
        <w:rPr>
          <w:sz w:val="28"/>
          <w:szCs w:val="28"/>
        </w:rPr>
        <w:t>In terms of assets, the company's cash on hand has increased steadily over the years, indicating a healthy cash position. The percentage of receivables and inventory has also increased, suggesting that the company is either selling more products or has become less efficient in managing its inventory.</w:t>
      </w:r>
    </w:p>
    <w:p>
      <w:pPr>
        <w:pStyle w:val="Normal"/>
        <w:rPr>
          <w:sz w:val="28"/>
          <w:szCs w:val="28"/>
        </w:rPr>
      </w:pPr>
      <w:r>
        <w:rPr>
          <w:sz w:val="28"/>
          <w:szCs w:val="28"/>
        </w:rPr>
        <w:t>In terms of liabilities, the company's long-term debt has decreased over the years, indicating a decrease in financial leverage. However, the percentage of other non-current liabilities has increased, which could be a cause for concern.</w:t>
      </w:r>
    </w:p>
    <w:p>
      <w:pPr>
        <w:pStyle w:val="Normal"/>
        <w:rPr>
          <w:sz w:val="28"/>
          <w:szCs w:val="28"/>
        </w:rPr>
      </w:pPr>
      <w:r>
        <w:rPr>
          <w:sz w:val="28"/>
          <w:szCs w:val="28"/>
        </w:rPr>
        <w:t>In terms of shareholders' equity, the percentage of common stock net has increased in 2022, indicating that the company has raised additional equity capital. Retained earnings have remained relatively stable over the years, and other shareholders' equity has decreased in 2022.</w:t>
      </w:r>
    </w:p>
    <w:p>
      <w:pPr>
        <w:pStyle w:val="Normal"/>
        <w:rPr>
          <w:sz w:val="28"/>
          <w:szCs w:val="28"/>
        </w:rPr>
      </w:pPr>
      <w:r>
        <w:rPr>
          <w:sz w:val="28"/>
          <w:szCs w:val="28"/>
        </w:rPr>
        <w:t>Overall, this table suggests that the company has a healthy cash position and has decreased its long-term debt over the years. However, the increase in other non-current liabilities and decrease in other shareholders' equity could be causes for concern.</w:t>
      </w:r>
    </w:p>
    <w:p>
      <w:pPr>
        <w:pStyle w:val="Normal"/>
        <w:rPr>
          <w:sz w:val="28"/>
          <w:szCs w:val="28"/>
          <w:lang w:val="en-US"/>
        </w:rPr>
      </w:pPr>
      <w:r>
        <w:rPr>
          <w:sz w:val="28"/>
          <w:szCs w:val="28"/>
          <w:lang w:val="en-US"/>
        </w:rPr>
      </w:r>
    </w:p>
    <w:tbl>
      <w:tblPr>
        <w:tblW w:w="8601"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3799"/>
        <w:gridCol w:w="1051"/>
        <w:gridCol w:w="930"/>
        <w:gridCol w:w="931"/>
        <w:gridCol w:w="930"/>
        <w:gridCol w:w="959"/>
      </w:tblGrid>
      <w:tr>
        <w:trPr>
          <w:trHeight w:val="290" w:hRule="atLeast"/>
        </w:trPr>
        <w:tc>
          <w:tcPr>
            <w:tcW w:w="3799"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4"/>
                <w:szCs w:val="24"/>
                <w:lang w:eastAsia="en-GB"/>
                <w14:ligatures w14:val="none"/>
              </w:rPr>
            </w:pPr>
            <w:r>
              <w:rPr>
                <w:rFonts w:eastAsia="Times New Roman" w:cs="Times New Roman" w:ascii="Times New Roman" w:hAnsi="Times New Roman"/>
                <w:kern w:val="0"/>
                <w:sz w:val="24"/>
                <w:szCs w:val="24"/>
                <w:lang w:eastAsia="en-GB"/>
                <w14:ligatures w14:val="none"/>
              </w:rPr>
            </w:r>
          </w:p>
        </w:tc>
        <w:tc>
          <w:tcPr>
            <w:tcW w:w="3842" w:type="dxa"/>
            <w:gridSpan w:val="4"/>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Horizontal Test Income Statement</w:t>
            </w:r>
          </w:p>
        </w:tc>
        <w:tc>
          <w:tcPr>
            <w:tcW w:w="959"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105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2022</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2021</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2020</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2019</w:t>
            </w:r>
          </w:p>
        </w:tc>
        <w:tc>
          <w:tcPr>
            <w:tcW w:w="959"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2018</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Revenue</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151%</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132%</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99%</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102%</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Cost Of Goods Sold</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133%</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110%</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105%</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108%</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Gross Profit</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155%</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137%</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98%</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101%</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Research And Development Expenses</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31%</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81%</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81%</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SG&amp;A Expenses</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116%</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109%</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102%</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101%</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Operating Income Or Expenses</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119%</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134%</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113%</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113%</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Operating Expenses</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106%</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107%</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105%</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103%</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Operating Income</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212%</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171%</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91%</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Non-Operating Income/Expense</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94%</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237%</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89%</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84%</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Pre-Tax Income</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224%</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164%</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91%</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102%</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Taxes</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153%</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152%</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68%</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79%</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After Taxes</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289%</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176%</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113%</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123%</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Income</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w:t>
            </w:r>
          </w:p>
        </w:tc>
        <w:tc>
          <w:tcPr>
            <w:tcW w:w="95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From Continuous Operations</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289%</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176%</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113%</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123%</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Income From Discontinued Operations</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-365%</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26%</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-39%</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Net Income</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834%</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305%</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215%</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224%</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EBITDA</w:t>
            </w:r>
          </w:p>
        </w:tc>
        <w:tc>
          <w:tcPr>
            <w:tcW w:w="105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178%</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146%</w:t>
            </w:r>
          </w:p>
        </w:tc>
        <w:tc>
          <w:tcPr>
            <w:tcW w:w="931"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93%</w:t>
            </w:r>
          </w:p>
        </w:tc>
        <w:tc>
          <w:tcPr>
            <w:tcW w:w="93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98%</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r>
        <w:trPr>
          <w:trHeight w:val="290" w:hRule="atLeast"/>
        </w:trPr>
        <w:tc>
          <w:tcPr>
            <w:tcW w:w="3799"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EBIT</w:t>
            </w:r>
          </w:p>
        </w:tc>
        <w:tc>
          <w:tcPr>
            <w:tcW w:w="105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212%</w:t>
            </w:r>
          </w:p>
        </w:tc>
        <w:tc>
          <w:tcPr>
            <w:tcW w:w="93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171%</w:t>
            </w:r>
          </w:p>
        </w:tc>
        <w:tc>
          <w:tcPr>
            <w:tcW w:w="931"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91%</w:t>
            </w:r>
          </w:p>
        </w:tc>
        <w:tc>
          <w:tcPr>
            <w:tcW w:w="93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c>
          <w:tcPr>
            <w:tcW w:w="95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w:t>
            </w:r>
          </w:p>
        </w:tc>
      </w:tr>
    </w:tbl>
    <w:p>
      <w:pPr>
        <w:pStyle w:val="Normal"/>
        <w:rPr>
          <w:sz w:val="28"/>
          <w:szCs w:val="28"/>
          <w:lang w:val="en-US"/>
        </w:rPr>
      </w:pPr>
      <w:r>
        <w:rPr>
          <w:sz w:val="28"/>
          <w:szCs w:val="28"/>
          <w:lang w:val="en-US"/>
        </w:rPr>
      </w:r>
    </w:p>
    <w:p>
      <w:pPr>
        <w:pStyle w:val="Normal"/>
        <w:rPr>
          <w:sz w:val="28"/>
          <w:szCs w:val="28"/>
          <w:lang w:val="en-US"/>
        </w:rPr>
      </w:pPr>
      <w:r>
        <w:rPr>
          <w:sz w:val="28"/>
          <w:szCs w:val="28"/>
          <w:lang w:val="en-US"/>
        </w:rPr>
      </w:r>
    </w:p>
    <w:p>
      <w:pPr>
        <w:pStyle w:val="Normal"/>
        <w:rPr>
          <w:sz w:val="28"/>
          <w:szCs w:val="28"/>
        </w:rPr>
      </w:pPr>
      <w:r>
        <w:rPr>
          <w:sz w:val="28"/>
          <w:szCs w:val="28"/>
        </w:rPr>
        <w:t>The horizontal test shows the percentage change in various items of the Income Statement over the past five years.</w:t>
      </w:r>
    </w:p>
    <w:p>
      <w:pPr>
        <w:pStyle w:val="Normal"/>
        <w:rPr>
          <w:sz w:val="28"/>
          <w:szCs w:val="28"/>
        </w:rPr>
      </w:pPr>
      <w:r>
        <w:rPr>
          <w:sz w:val="28"/>
          <w:szCs w:val="28"/>
        </w:rPr>
        <w:t>The most notable trend is the steady increase in Revenue over the years, with a sharp increase of 51% from 2021 to 2022. However, Cost of Goods Sold has also increased proportionately, resulting in a relatively stable Gross Profit margin.</w:t>
      </w:r>
    </w:p>
    <w:p>
      <w:pPr>
        <w:pStyle w:val="Normal"/>
        <w:rPr>
          <w:sz w:val="28"/>
          <w:szCs w:val="28"/>
        </w:rPr>
      </w:pPr>
      <w:r>
        <w:rPr>
          <w:sz w:val="28"/>
          <w:szCs w:val="28"/>
        </w:rPr>
        <w:t>The Research and Development Expenses have been volatile, with a sharp increase in 2020 and a dip in 2021, followed by another increase in 2022. SG&amp;A Expenses have been growing steadily but at a slower pace.</w:t>
      </w:r>
    </w:p>
    <w:p>
      <w:pPr>
        <w:pStyle w:val="Normal"/>
        <w:rPr>
          <w:sz w:val="28"/>
          <w:szCs w:val="28"/>
        </w:rPr>
      </w:pPr>
      <w:r>
        <w:rPr>
          <w:sz w:val="28"/>
          <w:szCs w:val="28"/>
        </w:rPr>
        <w:t>Operating Income has increased significantly over the years, with a sharp increase of 112% from 2021 to 2022, but this is mostly due to the increase in Revenue. Non-Operating Income/Expense has been volatile, with a sharp increase in 2021 and a dip in 2022.</w:t>
      </w:r>
    </w:p>
    <w:p>
      <w:pPr>
        <w:pStyle w:val="Normal"/>
        <w:rPr>
          <w:sz w:val="28"/>
          <w:szCs w:val="28"/>
        </w:rPr>
      </w:pPr>
      <w:r>
        <w:rPr>
          <w:sz w:val="28"/>
          <w:szCs w:val="28"/>
        </w:rPr>
        <w:t>Pre-Tax Income has been volatile, with a sharp increase in 2022. Income Taxes have also increased proportionately but not as sharply as Pre-Tax Income. Net Income has increased significantly over the years, with a sharp increase of 173% from 2021 to 2022, but again, this is mostly due to the increase in Revenue.</w:t>
      </w:r>
    </w:p>
    <w:p>
      <w:pPr>
        <w:pStyle w:val="Normal"/>
        <w:rPr>
          <w:sz w:val="28"/>
          <w:szCs w:val="28"/>
        </w:rPr>
      </w:pPr>
      <w:r>
        <w:rPr>
          <w:sz w:val="28"/>
          <w:szCs w:val="28"/>
        </w:rPr>
        <w:t>EBIT and EBITDA have also followed a similar trend as Operating Income, with a sharp increase in 2022. Overall, the Income Statement shows a strong growth trend over the years, with Revenue being the main driver.</w:t>
      </w:r>
    </w:p>
    <w:p>
      <w:pPr>
        <w:pStyle w:val="Normal"/>
        <w:rPr/>
      </w:pPr>
      <w:r>
        <w:fldChar w:fldCharType="begin"/>
      </w:r>
      <w:r>
        <w:rPr/>
        <w:instrText xml:space="preserve">LINK Excel.Sheet.12 "C:\\Users\\Hp\\Downloads\\Accounting Project 1.xlsx" "Sheet4!R22C1:R46C6" \a \f 4 \h</w:instrText>
      </w:r>
      <w:r>
        <w:rPr/>
      </w:r>
      <w:r>
        <w:rPr/>
        <w:fldChar w:fldCharType="separate"/>
      </w:r>
      <w:r/>
      <w:r>
        <w:rPr/>
      </w:r>
    </w:p>
    <w:tbl>
      <w:tblPr>
        <w:tblW w:w="8737"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396"/>
        <w:gridCol w:w="7684"/>
        <w:gridCol w:w="657"/>
      </w:tblGrid>
      <w:tr>
        <w:trPr>
          <w:trHeight w:val="290" w:hRule="atLeast"/>
        </w:trPr>
        <w:tc>
          <w:tcPr>
            <w:tcW w:w="396"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4"/>
                <w:szCs w:val="24"/>
                <w:lang w:eastAsia="en-GB"/>
                <w14:ligatures w14:val="none"/>
              </w:rPr>
            </w:pPr>
            <w:r>
              <w:rPr>
                <w:rFonts w:eastAsia="Times New Roman" w:cs="Times New Roman" w:ascii="Times New Roman" w:hAnsi="Times New Roman"/>
                <w:kern w:val="0"/>
                <w:sz w:val="24"/>
                <w:szCs w:val="24"/>
                <w:lang w:eastAsia="en-GB"/>
                <w14:ligatures w14:val="none"/>
              </w:rPr>
            </w:r>
          </w:p>
        </w:tc>
        <w:tc>
          <w:tcPr>
            <w:tcW w:w="7684" w:type="dxa"/>
            <w:tcBorders/>
            <w:shd w:color="auto" w:fill="auto" w:val="clear"/>
            <w:vAlign w:val="bottom"/>
          </w:tcPr>
          <w:tbl>
            <w:tblPr>
              <w:tblStyle w:val="TableGrid"/>
              <w:tblW w:w="731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609"/>
              <w:gridCol w:w="558"/>
              <w:gridCol w:w="853"/>
              <w:gridCol w:w="745"/>
              <w:gridCol w:w="792"/>
              <w:gridCol w:w="1759"/>
            </w:tblGrid>
            <w:tr>
              <w:trPr>
                <w:trHeight w:val="290" w:hRule="atLeast"/>
              </w:trPr>
              <w:tc>
                <w:tcPr>
                  <w:tcW w:w="2609"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2948" w:type="dxa"/>
                  <w:gridSpan w:val="4"/>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Horizontal Test Balance Sheet</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r>
            <w:tr>
              <w:trPr>
                <w:trHeight w:val="290" w:hRule="atLeast"/>
              </w:trPr>
              <w:tc>
                <w:tcPr>
                  <w:tcW w:w="2609"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Accounts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2022</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2021</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2020</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2019</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2018</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Cash On Hand</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118.23%</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109.07%</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96.34%</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111.71%</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Receivables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175.37%</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195.82%</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108.61%</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111.80%</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Inventory</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131.20%</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117.66%</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108.93%</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101.93%</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Pre-Paid Expenses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853"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745"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792"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759"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r>
            <w:tr>
              <w:trPr>
                <w:trHeight w:val="290" w:hRule="atLeast"/>
              </w:trPr>
              <w:tc>
                <w:tcPr>
                  <w:tcW w:w="2609"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Current Assets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168.46%</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146.15%</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160.00%</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113.08%</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Current Assets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81.64%</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75.49%</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61.14%</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66.52%</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Property, Plant, And Equipment</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183.22%</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209.12%</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205.01%</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192.64%</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Long-Term Investments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64.04%</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96.76%</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147.54%</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111.76%</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Goodwill And Intangible Assets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175.99%</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182.78%</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202.04%</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86.70%</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Long-Term Assets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133.33%</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36.23%</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62.32%</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79.71%</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Long-Term Assets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86.58%</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107.00%</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109.98%</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100.71%</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Assets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85.01%</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97.17%</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94.35%</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89.82%</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Current Liabilities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120.93%</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117.22%</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105.92%</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88.17%</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Long Term Debt</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57.48%</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76.60%</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91.55%</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96.21%</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Non-Current Liabilities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132.94%</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158.77%</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133.59%</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106.10%</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Long Term Liabilities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78.86%</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98.89%</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103.82%</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98.27%</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Liabilities</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90.41%</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95.66%</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95.32%</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87.82%</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Common Stock Net</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206.88%</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96.65%</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96.65%</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96.65%</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Retained Earnings (Accumulated Deficit)</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79.24%</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83.35%</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85.32%</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84.33%</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Comprehensive Income</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853"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745"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792"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1759"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r>
            <w:tr>
              <w:trPr>
                <w:trHeight w:val="290" w:hRule="atLeast"/>
              </w:trPr>
              <w:tc>
                <w:tcPr>
                  <w:tcW w:w="2609"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Other Shareholder Equity</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0.52%</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102.62%</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100.70%</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99.78%</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Shareholder Equity</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80.38%</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91.65%</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86.00%</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85.42%</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r>
              <w:trPr>
                <w:trHeight w:val="290" w:hRule="atLeast"/>
              </w:trPr>
              <w:tc>
                <w:tcPr>
                  <w:tcW w:w="260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Total Liabilities And Share Holders Equity</w:t>
                  </w:r>
                </w:p>
              </w:tc>
              <w:tc>
                <w:tcPr>
                  <w:tcW w:w="558" w:type="dxa"/>
                  <w:tcBorders/>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84.97%</w:t>
                  </w:r>
                </w:p>
              </w:tc>
              <w:tc>
                <w:tcPr>
                  <w:tcW w:w="853"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97.26%</w:t>
                  </w:r>
                </w:p>
              </w:tc>
              <w:tc>
                <w:tcPr>
                  <w:tcW w:w="745"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94.41%</w:t>
                  </w:r>
                </w:p>
              </w:tc>
              <w:tc>
                <w:tcPr>
                  <w:tcW w:w="792"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90.06%</w:t>
                  </w:r>
                </w:p>
              </w:tc>
              <w:tc>
                <w:tcPr>
                  <w:tcW w:w="1759" w:type="dxa"/>
                  <w:tcBorders/>
                </w:tcPr>
                <w:p>
                  <w:pPr>
                    <w:pStyle w:val="Normal"/>
                    <w:widowControl w:val="false"/>
                    <w:spacing w:before="0" w:after="16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100.00%</w:t>
                  </w:r>
                </w:p>
              </w:tc>
            </w:tr>
          </w:tbl>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657"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r>
    </w:tbl>
    <w:p>
      <w:pPr>
        <w:pStyle w:val="Normal"/>
        <w:rPr>
          <w:sz w:val="28"/>
          <w:szCs w:val="28"/>
        </w:rPr>
      </w:pPr>
      <w:r/>
      <w:r>
        <w:rPr/>
        <w:fldChar w:fldCharType="end"/>
      </w:r>
      <w:r>
        <w:rPr/>
      </w:r>
    </w:p>
    <w:p>
      <w:pPr>
        <w:pStyle w:val="Normal"/>
        <w:rPr>
          <w:sz w:val="28"/>
          <w:szCs w:val="28"/>
        </w:rPr>
      </w:pPr>
      <w:r>
        <w:rPr>
          <w:sz w:val="28"/>
          <w:szCs w:val="28"/>
        </w:rPr>
      </w:r>
    </w:p>
    <w:p>
      <w:pPr>
        <w:pStyle w:val="Normal"/>
        <w:rPr>
          <w:sz w:val="28"/>
          <w:szCs w:val="28"/>
        </w:rPr>
      </w:pPr>
      <w:r>
        <w:rPr>
          <w:sz w:val="28"/>
          <w:szCs w:val="28"/>
        </w:rPr>
        <w:t>The horizontal test of the balance sheet shows the trend in the company's assets, liabilities, and equity over the past five years.</w:t>
      </w:r>
    </w:p>
    <w:p>
      <w:pPr>
        <w:pStyle w:val="Normal"/>
        <w:rPr>
          <w:sz w:val="28"/>
          <w:szCs w:val="28"/>
        </w:rPr>
      </w:pPr>
      <w:r>
        <w:rPr>
          <w:sz w:val="28"/>
          <w:szCs w:val="28"/>
        </w:rPr>
        <w:t>The total current assets have decreased steadily over the years, while property, plant, and equipment have increased. Long-term investments have fluctuated, but have generally decreased, while goodwill and intangible assets have been volatile. Total long-term assets have decreased over the years.</w:t>
      </w:r>
    </w:p>
    <w:p>
      <w:pPr>
        <w:pStyle w:val="Normal"/>
        <w:rPr>
          <w:sz w:val="28"/>
          <w:szCs w:val="28"/>
        </w:rPr>
      </w:pPr>
      <w:r>
        <w:rPr>
          <w:sz w:val="28"/>
          <w:szCs w:val="28"/>
        </w:rPr>
        <w:t>Total current liabilities have increased, while long-term debt and other non-current liabilities have fluctuated but have decreased overall. Total long-term liabilities have decreased over the years.</w:t>
      </w:r>
    </w:p>
    <w:p>
      <w:pPr>
        <w:pStyle w:val="Normal"/>
        <w:rPr>
          <w:sz w:val="28"/>
          <w:szCs w:val="28"/>
        </w:rPr>
      </w:pPr>
      <w:r>
        <w:rPr>
          <w:sz w:val="28"/>
          <w:szCs w:val="28"/>
        </w:rPr>
        <w:t>The common stock net has increased sharply in 2022, and retained earnings have decreased slightly but have remained relatively stable over the years. Other shareholder equity has fluctuated but has been relatively stable. Shareholder equity has decreased over the years.</w:t>
      </w:r>
    </w:p>
    <w:p>
      <w:pPr>
        <w:pStyle w:val="Normal"/>
        <w:rPr>
          <w:sz w:val="28"/>
          <w:szCs w:val="28"/>
        </w:rPr>
      </w:pPr>
      <w:r>
        <w:rPr>
          <w:sz w:val="28"/>
          <w:szCs w:val="28"/>
        </w:rPr>
        <w:t>Overall, the total assets have decreased over the years, while the total liabilities have remained relatively stable. The shareholder equity has decreased over the years, indicating that the company may have faced challenges in generating profits or retaining earnings. The company may need to review its financial statements and identify areas for improvement to increase its financial stability and profitability.</w:t>
      </w:r>
    </w:p>
    <w:p>
      <w:pPr>
        <w:pStyle w:val="Normal"/>
        <w:rPr>
          <w:sz w:val="28"/>
          <w:szCs w:val="28"/>
        </w:rPr>
      </w:pPr>
      <w:r>
        <w:rPr>
          <w:sz w:val="28"/>
          <w:szCs w:val="28"/>
        </w:rPr>
      </w:r>
    </w:p>
    <w:p>
      <w:pPr>
        <w:pStyle w:val="Normal"/>
        <w:rPr/>
      </w:pPr>
      <w:r>
        <w:fldChar w:fldCharType="begin"/>
      </w:r>
      <w:r>
        <w:rPr/>
        <w:instrText xml:space="preserve">LINK Excel.Sheet.12 "C:\\Users\\Hp\\Downloads\\Accounting Project 1.xlsx" "Sheet5!R1C1:R15C6" \a \f 4 \h</w:instrText>
      </w:r>
      <w:r>
        <w:rPr/>
      </w:r>
      <w:r>
        <w:rPr/>
        <w:fldChar w:fldCharType="separate"/>
      </w:r>
      <w:r/>
      <w:r>
        <w:rPr/>
      </w:r>
    </w:p>
    <w:tbl>
      <w:tblPr>
        <w:tblW w:w="876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3760"/>
        <w:gridCol w:w="1000"/>
        <w:gridCol w:w="1000"/>
        <w:gridCol w:w="1000"/>
        <w:gridCol w:w="1000"/>
        <w:gridCol w:w="999"/>
      </w:tblGrid>
      <w:tr>
        <w:trPr>
          <w:trHeight w:val="290" w:hRule="atLeast"/>
        </w:trPr>
        <w:tc>
          <w:tcPr>
            <w:tcW w:w="3760"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4"/>
                <w:szCs w:val="24"/>
                <w:lang w:eastAsia="en-GB"/>
                <w14:ligatures w14:val="none"/>
              </w:rPr>
            </w:pPr>
            <w:r>
              <w:rPr>
                <w:rFonts w:eastAsia="Times New Roman" w:cs="Times New Roman" w:ascii="Times New Roman" w:hAnsi="Times New Roman"/>
                <w:kern w:val="0"/>
                <w:sz w:val="24"/>
                <w:szCs w:val="24"/>
                <w:lang w:eastAsia="en-GB"/>
                <w14:ligatures w14:val="none"/>
              </w:rPr>
            </w:r>
          </w:p>
        </w:tc>
        <w:tc>
          <w:tcPr>
            <w:tcW w:w="1000"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c>
          <w:tcPr>
            <w:tcW w:w="2000" w:type="dxa"/>
            <w:gridSpan w:val="2"/>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Accounting Ratios</w:t>
            </w:r>
          </w:p>
        </w:tc>
        <w:tc>
          <w:tcPr>
            <w:tcW w:w="1000" w:type="dxa"/>
            <w:tcBorders/>
            <w:shd w:color="auto" w:fill="auto" w:val="clear"/>
            <w:vAlign w:val="bottom"/>
          </w:tcPr>
          <w:p>
            <w:pPr>
              <w:pStyle w:val="Normal"/>
              <w:widowControl w:val="false"/>
              <w:spacing w:lineRule="auto" w:line="240" w:before="0" w:after="0"/>
              <w:jc w:val="center"/>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r>
          </w:p>
        </w:tc>
        <w:tc>
          <w:tcPr>
            <w:tcW w:w="999" w:type="dxa"/>
            <w:tcBorders/>
            <w:shd w:color="auto" w:fill="auto" w:val="clear"/>
            <w:vAlign w:val="bottom"/>
          </w:tcPr>
          <w:p>
            <w:pPr>
              <w:pStyle w:val="Normal"/>
              <w:widowControl w:val="false"/>
              <w:spacing w:lineRule="auto" w:line="240" w:before="0" w:after="0"/>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Ratios</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2022</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2021</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2020</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2019</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2018</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Current Ratio</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1.69419</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1.627324</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1.448394</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1.894238</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2.511259</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Quick Ratio</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1.376618</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1.31287</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1.138289</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1.552962</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1.370148</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Working Capital</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11745</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10290</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6647</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11034</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21141</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Debt Ratio</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0.487569</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0.489521</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0.50654</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0.486184</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0.45827</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Inventory Turnover rate</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2.126646</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1.965206</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2.024628</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2.222396</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2.102816</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Gross Profit Rate</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1.767087</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4.266012</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4.352438</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4.304599</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9.504453</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Operating Expenses Ratio</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0.646667</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1.787067</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2.477753</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2.332892</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5.097166</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Net income as a percentage of net sales</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0.474669</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0.198591</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0.185321</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0.187545</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0.085905</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Earning Per Share</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$12.21 </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4</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$3.14 </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$3.20 </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$1.39 </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Return On Assets</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0.363796</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0.257255</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0.141063</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0.162372</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$0 </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Return On Equity</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0.633638</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0.203291</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0.152487</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0.160273</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0.061068</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Price Earning Ratio</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$1.58 </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$4.91 </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$6.54 </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$6.38 </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$16.40 </w:t>
            </w:r>
          </w:p>
        </w:tc>
      </w:tr>
      <w:tr>
        <w:trPr>
          <w:trHeight w:val="290" w:hRule="atLeast"/>
        </w:trPr>
        <w:tc>
          <w:tcPr>
            <w:tcW w:w="3760" w:type="dxa"/>
            <w:tcBorders/>
            <w:shd w:color="auto" w:fill="auto" w:val="clear"/>
            <w:vAlign w:val="bottom"/>
          </w:tcPr>
          <w:p>
            <w:pPr>
              <w:pStyle w:val="Normal"/>
              <w:widowControl w:val="false"/>
              <w:spacing w:lineRule="auto" w:line="240" w:before="0" w:after="0"/>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Book Value Per Share</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$19.23 </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$21.99 </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$20.63 </w:t>
            </w:r>
          </w:p>
        </w:tc>
        <w:tc>
          <w:tcPr>
            <w:tcW w:w="1000"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$19.96 </w:t>
            </w:r>
          </w:p>
        </w:tc>
        <w:tc>
          <w:tcPr>
            <w:tcW w:w="999" w:type="dxa"/>
            <w:tcBorders/>
            <w:shd w:color="auto" w:fill="auto" w:val="clear"/>
            <w:vAlign w:val="bottom"/>
          </w:tcPr>
          <w:p>
            <w:pPr>
              <w:pStyle w:val="Normal"/>
              <w:widowControl w:val="false"/>
              <w:spacing w:lineRule="auto" w:line="240" w:before="0" w:after="0"/>
              <w:jc w:val="right"/>
              <w:rPr>
                <w:rFonts w:ascii="Calibri" w:hAnsi="Calibri" w:eastAsia="Times New Roman" w:cs="Calibri"/>
                <w:color w:val="000000"/>
                <w:kern w:val="0"/>
                <w:lang w:eastAsia="en-GB"/>
                <w14:ligatures w14:val="none"/>
              </w:rPr>
            </w:pPr>
            <w:r>
              <w:rPr>
                <w:rFonts w:eastAsia="Times New Roman" w:cs="Calibri"/>
                <w:color w:val="000000"/>
                <w:kern w:val="0"/>
                <w:lang w:eastAsia="en-GB"/>
                <w14:ligatures w14:val="none"/>
              </w:rPr>
              <w:t xml:space="preserve">$22.79 </w:t>
            </w:r>
          </w:p>
        </w:tc>
      </w:tr>
    </w:tbl>
    <w:p>
      <w:pPr>
        <w:pStyle w:val="Normal"/>
        <w:rPr>
          <w:sz w:val="28"/>
          <w:szCs w:val="28"/>
          <w:lang w:val="en-US"/>
        </w:rPr>
      </w:pPr>
      <w:r/>
      <w:r>
        <w:rPr/>
        <w:fldChar w:fldCharType="end"/>
      </w:r>
      <w:r>
        <w:rPr/>
      </w:r>
    </w:p>
    <w:p>
      <w:pPr>
        <w:pStyle w:val="Normal"/>
        <w:numPr>
          <w:ilvl w:val="0"/>
          <w:numId w:val="2"/>
        </w:numPr>
        <w:rPr>
          <w:sz w:val="28"/>
          <w:szCs w:val="28"/>
        </w:rPr>
      </w:pPr>
      <w:r>
        <w:rPr>
          <w:sz w:val="28"/>
          <w:szCs w:val="28"/>
        </w:rPr>
        <w:t>Current Ratio: This ratio indicates a company's ability to pay its short-term liabilities using its short-term assets. A ratio of 1 or higher is considered good, and the company's current ratio has been consistently above 1 for the past five years, indicating good liquidity.</w:t>
      </w:r>
    </w:p>
    <w:p>
      <w:pPr>
        <w:pStyle w:val="Normal"/>
        <w:numPr>
          <w:ilvl w:val="0"/>
          <w:numId w:val="2"/>
        </w:numPr>
        <w:rPr>
          <w:sz w:val="28"/>
          <w:szCs w:val="28"/>
        </w:rPr>
      </w:pPr>
      <w:r>
        <w:rPr>
          <w:sz w:val="28"/>
          <w:szCs w:val="28"/>
        </w:rPr>
        <w:t>Quick Ratio: This ratio is similar to the current ratio but excludes inventory from current assets, as inventory may not be easily convertible to cash. The company's quick ratio has also been consistently above 1, indicating good short-term liquidity.</w:t>
      </w:r>
    </w:p>
    <w:p>
      <w:pPr>
        <w:pStyle w:val="Normal"/>
        <w:numPr>
          <w:ilvl w:val="0"/>
          <w:numId w:val="2"/>
        </w:numPr>
        <w:rPr>
          <w:sz w:val="28"/>
          <w:szCs w:val="28"/>
        </w:rPr>
      </w:pPr>
      <w:r>
        <w:rPr>
          <w:sz w:val="28"/>
          <w:szCs w:val="28"/>
        </w:rPr>
        <w:t>Working Capital: This is the difference between a company's current assets and current liabilities, and a positive value indicates that the company has enough assets to cover its short-term liabilities. The company's working capital has been increasing over the years, which is a good sign.</w:t>
      </w:r>
    </w:p>
    <w:p>
      <w:pPr>
        <w:pStyle w:val="Normal"/>
        <w:numPr>
          <w:ilvl w:val="0"/>
          <w:numId w:val="2"/>
        </w:numPr>
        <w:rPr>
          <w:sz w:val="28"/>
          <w:szCs w:val="28"/>
        </w:rPr>
      </w:pPr>
      <w:r>
        <w:rPr>
          <w:sz w:val="28"/>
          <w:szCs w:val="28"/>
        </w:rPr>
        <w:t>Debt Ratio: This ratio measures the percentage of a company's assets that are financed by debt, and a higher debt ratio indicates higher financial risk. The company's debt ratio has been decreasing over the years, indicating a lower reliance on debt financing.</w:t>
      </w:r>
    </w:p>
    <w:p>
      <w:pPr>
        <w:pStyle w:val="Normal"/>
        <w:numPr>
          <w:ilvl w:val="0"/>
          <w:numId w:val="2"/>
        </w:numPr>
        <w:rPr>
          <w:sz w:val="28"/>
          <w:szCs w:val="28"/>
        </w:rPr>
      </w:pPr>
      <w:r>
        <w:rPr>
          <w:sz w:val="28"/>
          <w:szCs w:val="28"/>
        </w:rPr>
        <w:t>Inventory Turnover Rate: This ratio measures how many times a company's inventory is sold and replaced over a period of time. The company's inventory turnover rate has been increasing over the years, indicating better inventory management.</w:t>
      </w:r>
    </w:p>
    <w:p>
      <w:pPr>
        <w:pStyle w:val="Normal"/>
        <w:numPr>
          <w:ilvl w:val="0"/>
          <w:numId w:val="2"/>
        </w:numPr>
        <w:rPr>
          <w:sz w:val="28"/>
          <w:szCs w:val="28"/>
        </w:rPr>
      </w:pPr>
      <w:r>
        <w:rPr>
          <w:sz w:val="28"/>
          <w:szCs w:val="28"/>
        </w:rPr>
        <w:t>Gross Profit Rate: This ratio measures a company's gross profit as a percentage of its net sales, and a higher gross profit rate indicates better profitability. The company's gross profit rate was very high in 2018 but has since decreased, possibly indicating a change in business strategy.</w:t>
      </w:r>
    </w:p>
    <w:p>
      <w:pPr>
        <w:pStyle w:val="Normal"/>
        <w:numPr>
          <w:ilvl w:val="0"/>
          <w:numId w:val="2"/>
        </w:numPr>
        <w:rPr>
          <w:sz w:val="28"/>
          <w:szCs w:val="28"/>
        </w:rPr>
      </w:pPr>
      <w:r>
        <w:rPr>
          <w:sz w:val="28"/>
          <w:szCs w:val="28"/>
        </w:rPr>
        <w:t>Operating Expenses Ratio: This ratio measures a company's operating expenses as a percentage of its net sales, and a lower ratio indicates better efficiency. The company's operating expenses ratio has been decreasing over the years, indicating better efficiency.</w:t>
      </w:r>
    </w:p>
    <w:p>
      <w:pPr>
        <w:pStyle w:val="Normal"/>
        <w:numPr>
          <w:ilvl w:val="0"/>
          <w:numId w:val="2"/>
        </w:numPr>
        <w:rPr>
          <w:sz w:val="28"/>
          <w:szCs w:val="28"/>
        </w:rPr>
      </w:pPr>
      <w:r>
        <w:rPr>
          <w:sz w:val="28"/>
          <w:szCs w:val="28"/>
        </w:rPr>
        <w:t>Net Income as a Percentage of Net Sales: This ratio measures a company's net income as a percentage of its net sales, and a higher ratio indicates better profitability. The company's net income as a percentage of net sales has been increasing over the years, indicating better profitability.</w:t>
      </w:r>
    </w:p>
    <w:p>
      <w:pPr>
        <w:pStyle w:val="Normal"/>
        <w:numPr>
          <w:ilvl w:val="0"/>
          <w:numId w:val="2"/>
        </w:numPr>
        <w:rPr>
          <w:sz w:val="28"/>
          <w:szCs w:val="28"/>
        </w:rPr>
      </w:pPr>
      <w:r>
        <w:rPr>
          <w:sz w:val="28"/>
          <w:szCs w:val="28"/>
        </w:rPr>
        <w:t>Earnings Per Share: This is the amount of profit allocated to each outstanding share of a company's common stock. The company's earnings per share have been increasing over the years, indicating better profitability.</w:t>
      </w:r>
    </w:p>
    <w:p>
      <w:pPr>
        <w:pStyle w:val="Normal"/>
        <w:numPr>
          <w:ilvl w:val="0"/>
          <w:numId w:val="2"/>
        </w:numPr>
        <w:rPr>
          <w:sz w:val="28"/>
          <w:szCs w:val="28"/>
        </w:rPr>
      </w:pPr>
      <w:r>
        <w:rPr>
          <w:sz w:val="28"/>
          <w:szCs w:val="28"/>
        </w:rPr>
        <w:t>Return on Assets: This ratio measures a company's profitability relative to its total assets, and a higher ratio indicates better efficiency. The company's return on assets has been increasing over the years, indicating better efficiency.</w:t>
      </w:r>
    </w:p>
    <w:p>
      <w:pPr>
        <w:pStyle w:val="Normal"/>
        <w:numPr>
          <w:ilvl w:val="0"/>
          <w:numId w:val="2"/>
        </w:numPr>
        <w:rPr>
          <w:sz w:val="28"/>
          <w:szCs w:val="28"/>
        </w:rPr>
      </w:pPr>
      <w:r>
        <w:rPr>
          <w:sz w:val="28"/>
          <w:szCs w:val="28"/>
        </w:rPr>
        <w:t>Return on Equity: This ratio measures a company's profitability relative to its shareholder equity, and a higher ratio indicates better efficiency. The company's return on equity has been increasing over the years, indicating better efficiency.</w:t>
      </w:r>
    </w:p>
    <w:p>
      <w:pPr>
        <w:pStyle w:val="Normal"/>
        <w:numPr>
          <w:ilvl w:val="0"/>
          <w:numId w:val="2"/>
        </w:numPr>
        <w:rPr>
          <w:sz w:val="28"/>
          <w:szCs w:val="28"/>
        </w:rPr>
      </w:pPr>
      <w:r>
        <w:rPr>
          <w:sz w:val="28"/>
          <w:szCs w:val="28"/>
        </w:rPr>
        <w:t>Price Earnings Ratio: This ratio measures a company's share price relative to its earnings per share, and a lower ratio may indicate an undervalued stock. The company's price earnings ratio has been decreasing over the years, indicating that the stock may be becoming more undervalued.</w:t>
      </w:r>
    </w:p>
    <w:p>
      <w:pPr>
        <w:pStyle w:val="Normal"/>
        <w:numPr>
          <w:ilvl w:val="0"/>
          <w:numId w:val="2"/>
        </w:numPr>
        <w:rPr>
          <w:sz w:val="28"/>
          <w:szCs w:val="28"/>
        </w:rPr>
      </w:pPr>
      <w:r>
        <w:rPr>
          <w:sz w:val="28"/>
          <w:szCs w:val="28"/>
        </w:rPr>
        <w:t>Book Value Per Share: This is the total value of a company's assets that shareholders would receive if the company were liquidated and its debts paid off. The company's book value per share has been decreasing over the years, indicating a decrease in asset value.</w:t>
      </w:r>
    </w:p>
    <w:p>
      <w:pPr>
        <w:pStyle w:val="Normal"/>
        <w:spacing w:before="0" w:after="160"/>
        <w:rPr>
          <w:sz w:val="28"/>
          <w:szCs w:val="28"/>
          <w:lang w:val="en-US"/>
        </w:rPr>
      </w:pPr>
      <w:r>
        <w:rPr/>
        <w:t>SUBMITTED TO :</w:t>
      </w:r>
    </w:p>
    <w:p>
      <w:pPr>
        <w:pStyle w:val="Normal"/>
        <w:spacing w:before="0" w:after="160"/>
        <w:rPr>
          <w:sz w:val="28"/>
          <w:szCs w:val="28"/>
          <w:lang w:val="en-US"/>
        </w:rPr>
      </w:pPr>
      <w:r>
        <w:rPr/>
        <w:t>SIR REHAN AFTAB</w:t>
      </w:r>
    </w:p>
    <w:p>
      <w:pPr>
        <w:pStyle w:val="Normal"/>
        <w:spacing w:before="0" w:after="160"/>
        <w:rPr>
          <w:sz w:val="28"/>
          <w:szCs w:val="28"/>
          <w:lang w:val="en-US"/>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l Nile">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Arial" w:asciiTheme="minorHAnsi" w:cstheme="minorBidi" w:eastAsiaTheme="minorHAnsi" w:hAnsiTheme="minorHAnsi"/>
      <w:color w:val="auto"/>
      <w:kern w:val="2"/>
      <w:sz w:val="22"/>
      <w:szCs w:val="22"/>
      <w:lang w:val="en-GB" w:eastAsia="en-US" w:bidi="ar-SA"/>
      <w14:ligatures w14:val="standardContextual"/>
    </w:rPr>
  </w:style>
  <w:style w:type="character" w:styleId="DefaultParagraphFont" w:default="1">
    <w:name w:val="Default Paragraph Font"/>
    <w:uiPriority w:val="1"/>
    <w:unhideWhenUsed/>
    <w:qFormat/>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3dc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Application>LibreOffice/7.5.1.2$MacOSX_X86_64 LibreOffice_project/fcbaee479e84c6cd81291587d2ee68cba099e129</Application>
  <AppVersion>15.0000</AppVersion>
  <Pages>11</Pages>
  <Words>2496</Words>
  <Characters>14140</Characters>
  <CharactersWithSpaces>15929</CharactersWithSpaces>
  <Paragraphs>900</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2023-05-08T17:46:00Z</dcterms:created>
  <dc:creator>Maheen Saad</dc:creator>
  <dc:description/>
  <dc:language>en-AU</dc:language>
  <cp:lastModifiedBy/>
  <dcterms:modified xsi:type="dcterms:W3CDTF">2023-05-09T01:56:16Z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