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iseño-italiano-de-posguerra"/>
    <w:p>
      <w:pPr>
        <w:pStyle w:val="Ttulo"/>
        <w:spacing w:after="200"/>
        <w:jc w:val="left"/>
      </w:pPr>
      <w:r>
        <w:rPr>
          <w:rFonts w:ascii="Times New Roman" w:hAnsi="Times New Roman" w:eastAsia="Times New Roman"/>
          <w:b/>
          <w:color w:val="000000"/>
          <w:sz w:val="54"/>
        </w:rPr>
        <w:t xml:space="preserve">Diseño italiano de posguerra</w:t>
      </w:r>
    </w:p>
    <w:bookmarkStart w:id="20" w:name="la-libertad-toma-forma-19451968"/>
    <w:p>
      <w:pPr>
        <w:pStyle w:val="Subttulo"/>
        <w:spacing w:after="200"/>
        <w:jc w:val="left"/>
      </w:pPr>
      <w:r>
        <w:rPr>
          <w:rFonts w:ascii="Times New Roman" w:hAnsi="Times New Roman" w:eastAsia="Times New Roman"/>
          <w:i/>
          <w:color w:val="000000"/>
          <w:sz w:val="34"/>
        </w:rPr>
        <w:t xml:space="preserve">La libertad toma forma, 1945–1968</w:t>
      </w:r>
    </w:p>
    <w:p>
      <w:pPr>
        <w:pStyle w:val="FirstParagraph"/>
        <w:spacing w:after="360"/>
        <w:ind w:firstLine="0"/>
      </w:pPr>
      <w:r>
        <w:rPr>
          <w:bCs/>
          <w:rFonts w:ascii="Times New Roman" w:hAnsi="Times New Roman" w:eastAsia="Times New Roman"/>
          <w:b/>
          <w:sz w:val="22"/>
        </w:rPr>
        <w:t xml:space="preserve">Francisco Vargas de la Llata</w:t>
      </w:r>
    </w:p>
    <w:bookmarkEnd w:id="20"/>
    <w:bookmarkStart w:id="21" w:name="X998dc7e4137737b2b3c4cc84009a114895cc339"/>
    <w:p>
      <w:pPr>
        <w:pStyle w:val="Ttulo2"/>
      </w:pPr>
      <w:r>
        <w:rPr>
          <w:rFonts w:ascii="Times New Roman" w:hAnsi="Times New Roman" w:eastAsia="Times New Roman"/>
        </w:rPr>
        <w:t xml:space="preserve">Umbral — La ciudad había cambiado de forma</w:t>
      </w:r>
    </w:p>
    <w:p>
      <w:pPr>
        <w:pStyle w:val="FirstParagraph"/>
      </w:pPr>
      <w:r>
        <w:rPr>
          <w:rFonts w:ascii="Times New Roman" w:hAnsi="Times New Roman" w:eastAsia="Times New Roman"/>
        </w:rPr>
        <w:t xml:space="preserve">Roma, julio de 1957.</w:t>
      </w:r>
    </w:p>
    <w:p>
      <w:pPr>
        <w:pStyle w:val="BodyText"/>
      </w:pPr>
      <w:r>
        <w:rPr>
          <w:rFonts w:ascii="Times New Roman" w:hAnsi="Times New Roman" w:eastAsia="Times New Roman"/>
        </w:rPr>
        <w:t xml:space="preserve">Livia ajustó el pañuelo bajo la barbilla, cerró el portal de su casa en el Trastevere y puso en marcha la Vespa. Tenía veintisiete años y aquella máquina azul era suya. La había comprado cinco años atrás, después de ahorrar durante meses una parte de su sueldo de mecanógrafa. Su hermano Enzo todavía le pedía prestadas las llaves; ella todavía se negaba.</w:t>
      </w:r>
    </w:p>
    <w:p>
      <w:pPr>
        <w:pStyle w:val="BodyText"/>
      </w:pPr>
      <w:r>
        <w:rPr>
          <w:rFonts w:ascii="Times New Roman" w:hAnsi="Times New Roman" w:eastAsia="Times New Roman"/>
        </w:rPr>
        <w:t xml:space="preserve">El motor despertó con su zumbido familiar. Livia acomodó la falda detrás del escudo frontal y avanzó sobre el empedrado. La Vespa no le exigía la postura de una motocicleta ni la obligaba a vestirse como un hombre. El motor quedaba oculto, las piernas protegidas y el cuerpo erguido. Podía subir y bajar con facilidad, llevar una bolsa junto a los pies y atravesar Roma sin depender del tranvía, de su padre o de su hermano.</w:t>
      </w:r>
    </w:p>
    <w:p>
      <w:pPr>
        <w:pStyle w:val="BodyText"/>
      </w:pPr>
      <w:r>
        <w:rPr>
          <w:rFonts w:ascii="Times New Roman" w:hAnsi="Times New Roman" w:eastAsia="Times New Roman"/>
        </w:rPr>
        <w:t xml:space="preserve">Años atrás, Piaggio había fabricado aviones. Ahora, aquel conocimiento convertido en chapa estampada, ruedas pequeñas y motor compacto la llevaba al trabajo, al cine o a cualquier sitio que eligiera. La tecnología de la guerra había cambiado de escala, de forma y de propósito. Ya no sobrevolaba la ciudad: circulaba por sus calles.</w:t>
      </w:r>
    </w:p>
    <w:p>
      <w:pPr>
        <w:pStyle w:val="BodyText"/>
      </w:pPr>
      <w:r>
        <w:rPr>
          <w:rFonts w:ascii="Times New Roman" w:hAnsi="Times New Roman" w:eastAsia="Times New Roman"/>
        </w:rPr>
        <w:t xml:space="preserve">Livia tomó la Via Arenula. En un semáforo la alcanzó el olor de una salsa de tomate que escapaba por una ventana abierta. Ajo, albahaca, aceite caliente. La Vespa no la separaba de la ciudad; le permitía atravesarla conservando el aire en el rostro, las voces de los vendedores y el olor de las cocinas.</w:t>
      </w:r>
    </w:p>
    <w:p>
      <w:pPr>
        <w:pStyle w:val="BodyText"/>
      </w:pPr>
      <w:r>
        <w:rPr>
          <w:rFonts w:ascii="Times New Roman" w:hAnsi="Times New Roman" w:eastAsia="Times New Roman"/>
        </w:rPr>
        <w:t xml:space="preserve">Al llegar a la Piazza Venezia encontró un pequeño embotellamiento. Varias personas se agolpaban frente a un concesionario Fiat. Livia estacionó y se acercó.</w:t>
      </w:r>
    </w:p>
    <w:p>
      <w:pPr>
        <w:pStyle w:val="BodyText"/>
      </w:pPr>
      <w:r>
        <w:rPr>
          <w:rFonts w:ascii="Times New Roman" w:hAnsi="Times New Roman" w:eastAsia="Times New Roman"/>
        </w:rPr>
        <w:t xml:space="preserve">En el escaparate había un automóvil diminuto.</w:t>
      </w:r>
    </w:p>
    <w:p>
      <w:pPr>
        <w:pStyle w:val="BodyText"/>
      </w:pPr>
      <w:r>
        <w:rPr>
          <w:rFonts w:ascii="Times New Roman" w:hAnsi="Times New Roman" w:eastAsia="Times New Roman"/>
        </w:rPr>
        <w:t xml:space="preserve">Un letrero anunciaba el nuevo</w:t>
      </w:r>
      <w:r>
        <w:rPr>
          <w:rFonts w:ascii="Times New Roman" w:hAnsi="Times New Roman" w:eastAsia="Times New Roman"/>
        </w:rPr>
        <w:t xml:space="preserve"> </w:t>
      </w:r>
      <w:r>
        <w:rPr>
          <w:bCs/>
          <w:rFonts w:ascii="Times New Roman" w:hAnsi="Times New Roman" w:eastAsia="Times New Roman"/>
          <w:b/>
        </w:rPr>
        <w:t xml:space="preserve">Fiat 500</w:t>
      </w:r>
      <w:r>
        <w:rPr>
          <w:rFonts w:ascii="Times New Roman" w:hAnsi="Times New Roman" w:eastAsia="Times New Roman"/>
        </w:rPr>
        <w:t xml:space="preserve">. Tenía los faros redondos, el techo de lona plegable y una carrocería tan breve que parecía dibujada de un solo trazo. Un vendedor abrió la puerta para que entrara una familia. Primero se sentó el padre; después, la madre. Los dos niños se acomodaron atrás entre risas.</w:t>
      </w:r>
    </w:p>
    <w:p>
      <w:pPr>
        <w:pStyle w:val="BodyText"/>
      </w:pPr>
      <w:r>
        <w:rPr>
          <w:rFonts w:ascii="Times New Roman" w:hAnsi="Times New Roman" w:eastAsia="Times New Roman"/>
        </w:rPr>
        <w:t xml:space="preserve">Livia rodeó el automóvil lentamente. La Vespa había entregado la ciudad al individuo; aquel pequeño Fiat prometía entregársela a la familia. No imitaba la abundancia de los enormes coches estadounidenses. Ofrecía otra idea de prosperidad: ocupar poco espacio, consumir poco combustible y hacer mucho con casi nada.</w:t>
      </w:r>
    </w:p>
    <w:p>
      <w:pPr>
        <w:pStyle w:val="BodyText"/>
      </w:pPr>
      <w:r>
        <w:rPr>
          <w:rFonts w:ascii="Times New Roman" w:hAnsi="Times New Roman" w:eastAsia="Times New Roman"/>
        </w:rPr>
        <w:t xml:space="preserve">En el cristal del concesionario, Livia vio reflejada su Vespa junto al 500. Dos escalas de una misma aspiración. Italia ya no producía solamente para reconstruir lo destruido. Comenzaba a diseñar la vida que deseaba tener.</w:t>
      </w:r>
    </w:p>
    <w:p>
      <w:pPr>
        <w:pStyle w:val="BodyText"/>
      </w:pPr>
      <w:r>
        <w:rPr>
          <w:rFonts w:ascii="Times New Roman" w:hAnsi="Times New Roman" w:eastAsia="Times New Roman"/>
        </w:rPr>
        <w:t xml:space="preserve">Continuó hasta la tienda Olivetti.</w:t>
      </w:r>
    </w:p>
    <w:p>
      <w:pPr>
        <w:pStyle w:val="BodyText"/>
      </w:pPr>
      <w:r>
        <w:rPr>
          <w:rFonts w:ascii="Times New Roman" w:hAnsi="Times New Roman" w:eastAsia="Times New Roman"/>
        </w:rPr>
        <w:t xml:space="preserve">Conocía bien la</w:t>
      </w:r>
      <w:r>
        <w:rPr>
          <w:rFonts w:ascii="Times New Roman" w:hAnsi="Times New Roman" w:eastAsia="Times New Roman"/>
        </w:rPr>
        <w:t xml:space="preserve"> </w:t>
      </w:r>
      <w:r>
        <w:rPr>
          <w:bCs/>
          <w:rFonts w:ascii="Times New Roman" w:hAnsi="Times New Roman" w:eastAsia="Times New Roman"/>
          <w:b/>
        </w:rPr>
        <w:t xml:space="preserve">Lettera 22</w:t>
      </w:r>
      <w:r>
        <w:rPr>
          <w:rFonts w:ascii="Times New Roman" w:hAnsi="Times New Roman" w:eastAsia="Times New Roman"/>
        </w:rPr>
        <w:t xml:space="preserve">. En la oficina utilizaba una máquina pesada, negra y fija, que parecía pertenecer al escritorio tanto como el escritorio al edificio. La Olivetti, en cambio, podía levantarse con una mano. Su carcasa gris verdosa tenía las esquinas redondeadas y las teclas parecían esperar los dedos en lugar de intimidarlos.</w:t>
      </w:r>
    </w:p>
    <w:p>
      <w:pPr>
        <w:pStyle w:val="BodyText"/>
      </w:pPr>
      <w:r>
        <w:rPr>
          <w:rFonts w:ascii="Times New Roman" w:hAnsi="Times New Roman" w:eastAsia="Times New Roman"/>
        </w:rPr>
        <w:t xml:space="preserve">El dependiente permitió que la probara.</w:t>
      </w:r>
    </w:p>
    <w:p>
      <w:pPr>
        <w:pStyle w:val="BodyText"/>
      </w:pPr>
      <w:r>
        <w:rPr>
          <w:rFonts w:ascii="Times New Roman" w:hAnsi="Times New Roman" w:eastAsia="Times New Roman"/>
        </w:rPr>
        <w:t xml:space="preserve">Livia colocó una hoja y escribió su nombre:</w:t>
      </w:r>
    </w:p>
    <w:p>
      <w:pPr>
        <w:pStyle w:val="BodyText"/>
      </w:pPr>
      <w:r>
        <w:rPr>
          <w:bCs/>
          <w:rFonts w:ascii="Times New Roman" w:hAnsi="Times New Roman" w:eastAsia="Times New Roman"/>
          <w:b/>
        </w:rPr>
        <w:t xml:space="preserve">LIVIA BIANCHI</w:t>
      </w:r>
    </w:p>
    <w:p>
      <w:pPr>
        <w:pStyle w:val="BodyText"/>
      </w:pPr>
      <w:r>
        <w:rPr>
          <w:rFonts w:ascii="Times New Roman" w:hAnsi="Times New Roman" w:eastAsia="Times New Roman"/>
        </w:rPr>
        <w:t xml:space="preserve">La máquina respondió con golpes breves y precisos. Aquella ligereza modificaba algo más que el peso. Una carta podía escribirse en una habitación, en un tren o en la mesa de un café. El trabajo dejaba de pertenecer necesariamente a la oficina. La palabra podía viajar.</w:t>
      </w:r>
    </w:p>
    <w:p>
      <w:pPr>
        <w:pStyle w:val="BodyText"/>
      </w:pPr>
      <w:r>
        <w:rPr>
          <w:rFonts w:ascii="Times New Roman" w:hAnsi="Times New Roman" w:eastAsia="Times New Roman"/>
        </w:rPr>
        <w:t xml:space="preserve">Al salir encontró un escaparate de moda. Sobre un vestido de cintura marcada flotaba un pañuelo de seda de</w:t>
      </w:r>
      <w:r>
        <w:rPr>
          <w:rFonts w:ascii="Times New Roman" w:hAnsi="Times New Roman" w:eastAsia="Times New Roman"/>
        </w:rPr>
        <w:t xml:space="preserve"> </w:t>
      </w:r>
      <w:r>
        <w:rPr>
          <w:bCs/>
          <w:rFonts w:ascii="Times New Roman" w:hAnsi="Times New Roman" w:eastAsia="Times New Roman"/>
          <w:b/>
        </w:rPr>
        <w:t xml:space="preserve">Emilio Pucci</w:t>
      </w:r>
      <w:r>
        <w:rPr>
          <w:rFonts w:ascii="Times New Roman" w:hAnsi="Times New Roman" w:eastAsia="Times New Roman"/>
        </w:rPr>
        <w:t xml:space="preserve">. El estampado no representaba flores ni repetía discretamente un motivo. Eran ríos de color —turquesa, rosa, naranja— que recorrían la tela como si el movimiento hubiera quedado impreso en ella.</w:t>
      </w:r>
    </w:p>
    <w:p>
      <w:pPr>
        <w:pStyle w:val="BodyText"/>
      </w:pPr>
      <w:r>
        <w:rPr>
          <w:rFonts w:ascii="Times New Roman" w:hAnsi="Times New Roman" w:eastAsia="Times New Roman"/>
        </w:rPr>
        <w:t xml:space="preserve">Livia miró su propio pañuelo, mucho más sencillo. No sintió vergüenza. Reconoció una posibilidad. La moda italiana tampoco quería reconstruir a la mujer anterior a la guerra: estaba imaginando la que podía recorrer el mundo después de ella.</w:t>
      </w:r>
    </w:p>
    <w:p>
      <w:pPr>
        <w:pStyle w:val="BodyText"/>
      </w:pPr>
      <w:r>
        <w:rPr>
          <w:rFonts w:ascii="Times New Roman" w:hAnsi="Times New Roman" w:eastAsia="Times New Roman"/>
        </w:rPr>
        <w:t xml:space="preserve">La última vitrina pertenecía a una tienda de muebles. El encargado colocaba una silla sobre un pedestal. Era la nueva</w:t>
      </w:r>
      <w:r>
        <w:rPr>
          <w:rFonts w:ascii="Times New Roman" w:hAnsi="Times New Roman" w:eastAsia="Times New Roman"/>
        </w:rPr>
        <w:t xml:space="preserve"> </w:t>
      </w:r>
      <w:r>
        <w:rPr>
          <w:bCs/>
          <w:rFonts w:ascii="Times New Roman" w:hAnsi="Times New Roman" w:eastAsia="Times New Roman"/>
          <w:b/>
        </w:rPr>
        <w:t xml:space="preserve">Superleggera</w:t>
      </w:r>
      <w:r>
        <w:rPr>
          <w:rFonts w:ascii="Times New Roman" w:hAnsi="Times New Roman" w:eastAsia="Times New Roman"/>
        </w:rPr>
        <w:t xml:space="preserve"> </w:t>
      </w:r>
      <w:r>
        <w:rPr>
          <w:rFonts w:ascii="Times New Roman" w:hAnsi="Times New Roman" w:eastAsia="Times New Roman"/>
        </w:rPr>
        <w:t xml:space="preserve">de Gio Ponti: patas finísimas, respaldo de madera y asiento tejido. Livia se detuvo porque parecía imposible que algo tan delgado pudiera sostener a una persona.</w:t>
      </w:r>
    </w:p>
    <w:p>
      <w:pPr>
        <w:pStyle w:val="BodyText"/>
      </w:pPr>
      <w:r>
        <w:rPr>
          <w:rFonts w:ascii="Times New Roman" w:hAnsi="Times New Roman" w:eastAsia="Times New Roman"/>
        </w:rPr>
        <w:t xml:space="preserve">El hombre la levantó con dos dedos.</w:t>
      </w:r>
    </w:p>
    <w:p>
      <w:pPr>
        <w:pStyle w:val="BodyText"/>
      </w:pPr>
      <w:r>
        <w:rPr>
          <w:rFonts w:ascii="Times New Roman" w:hAnsi="Times New Roman" w:eastAsia="Times New Roman"/>
        </w:rPr>
        <w:t xml:space="preserve">—¿Resiste? —preguntó ella desde la puerta.</w:t>
      </w:r>
    </w:p>
    <w:p>
      <w:pPr>
        <w:pStyle w:val="BodyText"/>
      </w:pPr>
      <w:r>
        <w:rPr>
          <w:rFonts w:ascii="Times New Roman" w:hAnsi="Times New Roman" w:eastAsia="Times New Roman"/>
        </w:rPr>
        <w:t xml:space="preserve">El encargado dejó la silla en el suelo y la invitó a sentarse.</w:t>
      </w:r>
    </w:p>
    <w:p>
      <w:pPr>
        <w:pStyle w:val="BodyText"/>
      </w:pPr>
      <w:r>
        <w:rPr>
          <w:rFonts w:ascii="Times New Roman" w:hAnsi="Times New Roman" w:eastAsia="Times New Roman"/>
        </w:rPr>
        <w:t xml:space="preserve">Livia apoyó el peso con cautela. La estructura no cedió ni crujió. Era ligera sin ser frágil, nueva sin renunciar a la antigua silla de Chiavari de la que procedía. No rechazaba la tradición: la había afinado hasta volverla contemporánea.</w:t>
      </w:r>
    </w:p>
    <w:p>
      <w:pPr>
        <w:pStyle w:val="BodyText"/>
      </w:pPr>
      <w:r>
        <w:rPr>
          <w:rFonts w:ascii="Times New Roman" w:hAnsi="Times New Roman" w:eastAsia="Times New Roman"/>
        </w:rPr>
        <w:t xml:space="preserve">Cuando regresó al Trastevere, Enzo la esperaba en el portal.</w:t>
      </w:r>
    </w:p>
    <w:p>
      <w:pPr>
        <w:pStyle w:val="BodyText"/>
      </w:pPr>
      <w:r>
        <w:rPr>
          <w:rFonts w:ascii="Times New Roman" w:hAnsi="Times New Roman" w:eastAsia="Times New Roman"/>
        </w:rPr>
        <w:t xml:space="preserve">—¿Me prestas la Vespa esta tarde?</w:t>
      </w:r>
    </w:p>
    <w:p>
      <w:pPr>
        <w:pStyle w:val="BodyText"/>
      </w:pPr>
      <w:r>
        <w:rPr>
          <w:rFonts w:ascii="Times New Roman" w:hAnsi="Times New Roman" w:eastAsia="Times New Roman"/>
        </w:rPr>
        <w:t xml:space="preserve">Livia guardó las llaves en el bolso.</w:t>
      </w:r>
    </w:p>
    <w:p>
      <w:pPr>
        <w:pStyle w:val="BodyText"/>
      </w:pPr>
      <w:r>
        <w:rPr>
          <w:rFonts w:ascii="Times New Roman" w:hAnsi="Times New Roman" w:eastAsia="Times New Roman"/>
        </w:rPr>
        <w:t xml:space="preserve">—No puedo. Voy a llevar a mamá a ver un automóvil.</w:t>
      </w:r>
    </w:p>
    <w:p>
      <w:pPr>
        <w:pStyle w:val="BodyText"/>
      </w:pPr>
      <w:r>
        <w:rPr>
          <w:rFonts w:ascii="Times New Roman" w:hAnsi="Times New Roman" w:eastAsia="Times New Roman"/>
        </w:rPr>
        <w:t xml:space="preserve">—¿Vas a comprar un Fiat?</w:t>
      </w:r>
    </w:p>
    <w:p>
      <w:pPr>
        <w:pStyle w:val="BodyText"/>
      </w:pPr>
      <w:r>
        <w:rPr>
          <w:rFonts w:ascii="Times New Roman" w:hAnsi="Times New Roman" w:eastAsia="Times New Roman"/>
        </w:rPr>
        <w:t xml:space="preserve">Livia miró su Vespa, el pañuelo bajo la barbilla y la ciudad que continuaba reconstruyéndose detrás de él.</w:t>
      </w:r>
    </w:p>
    <w:p>
      <w:pPr>
        <w:pStyle w:val="BodyText"/>
      </w:pPr>
      <w:r>
        <w:rPr>
          <w:rFonts w:ascii="Times New Roman" w:hAnsi="Times New Roman" w:eastAsia="Times New Roman"/>
        </w:rPr>
        <w:t xml:space="preserve">—Todavía no —respondió—. Primero quiero que imagine que podemos tenerlo.</w:t>
      </w:r>
    </w:p>
    <w:p>
      <w:pPr>
        <w:pStyle w:val="BodyText"/>
      </w:pPr>
      <w:r>
        <w:rPr>
          <w:rFonts w:ascii="Times New Roman" w:hAnsi="Times New Roman" w:eastAsia="Times New Roman"/>
        </w:rPr>
        <w:t xml:space="preserve">Volvió a subir a la Vespa. Esta vez su madre se acomodó detrás de ella y le rodeó la cintura.</w:t>
      </w:r>
    </w:p>
    <w:p>
      <w:pPr>
        <w:pStyle w:val="BodyText"/>
      </w:pPr>
      <w:r>
        <w:rPr>
          <w:rFonts w:ascii="Times New Roman" w:hAnsi="Times New Roman" w:eastAsia="Times New Roman"/>
        </w:rPr>
        <w:t xml:space="preserve">Roma avanzó a su alrededor: los escaparates, las máquinas, la ropa, las casas nuevas, los automóviles pequeños. La nueva Italia no estaba encerrada en un museo ni esperaba ser explicada por los historiadores. Livia la conducía. La vestía. Trabajaba con ella. Se sentaba en ella.</w:t>
      </w:r>
    </w:p>
    <w:p>
      <w:pPr>
        <w:pStyle w:val="BodyText"/>
      </w:pPr>
      <w:r>
        <w:rPr>
          <w:rFonts w:ascii="Times New Roman" w:hAnsi="Times New Roman" w:eastAsia="Times New Roman"/>
        </w:rPr>
        <w:t xml:space="preserve">La nueva estética no decoraba su vida.</w:t>
      </w:r>
    </w:p>
    <w:p>
      <w:pPr>
        <w:pStyle w:val="BodyText"/>
      </w:pPr>
      <w:r>
        <w:rPr>
          <w:rFonts w:ascii="Times New Roman" w:hAnsi="Times New Roman" w:eastAsia="Times New Roman"/>
        </w:rPr>
        <w:t xml:space="preserve">Era la forma que su vida estaba comenzando a tener.</w:t>
      </w:r>
    </w:p>
    <w:bookmarkEnd w:id="21"/>
    <w:bookmarkStart w:id="22" w:name="i-la-reconstrucción-de-una-posibilidad"/>
    <w:p>
      <w:pPr>
        <w:pStyle w:val="Ttulo2"/>
      </w:pPr>
      <w:r>
        <w:rPr>
          <w:rFonts w:ascii="Times New Roman" w:hAnsi="Times New Roman" w:eastAsia="Times New Roman"/>
        </w:rPr>
        <w:t xml:space="preserve">I. La reconstrucción de una posibilidad</w:t>
      </w:r>
    </w:p>
    <w:p>
      <w:pPr>
        <w:pStyle w:val="FirstParagraph"/>
      </w:pPr>
      <w:r>
        <w:rPr>
          <w:rFonts w:ascii="Times New Roman" w:hAnsi="Times New Roman" w:eastAsia="Times New Roman"/>
        </w:rPr>
        <w:t xml:space="preserve">La historia popular suele comenzar el diseño italiano entre las ruinas de 1945. La imagen es poderosa: ciudades heridas, fábricas detenidas, carreteras cortadas y una sociedad que, después del fascismo y la derrota, decide convertir la necesidad en elegancia. Algo de verdad hay en ella, pero tomada literalmente produce un milagro retrospectivo. Parece que la Vespa, la Lettera 22, la Superleggera y el Fiat 500 hubieran surgido espontáneamente de la devastación, como si la creatividad nacional hubiese despertado cuando callaron las armas.</w:t>
      </w:r>
    </w:p>
    <w:p>
      <w:pPr>
        <w:pStyle w:val="BodyText"/>
      </w:pPr>
      <w:r>
        <w:rPr>
          <w:rFonts w:ascii="Times New Roman" w:hAnsi="Times New Roman" w:eastAsia="Times New Roman"/>
        </w:rPr>
        <w:t xml:space="preserve">No fue así. La guerra destruyó instalaciones, mercados y vidas; no borró los conocimientos acumulados. Antes de 1945 existían una industria mecánica desarrollada en Turín y el norte, una cultura editorial activa, una red de talleres especializados, escuelas de arquitectura, carroceros capaces de modelar el metal como una piel y una tradición artesanal que había aprendido a trasladarse de la pieza única a la serie corta. Existían también las experiencias del Futurismo, el Racionalismo italiano y las exposiciones de la Triennale, además de revistas como</w:t>
      </w:r>
      <w:r>
        <w:rPr>
          <w:rFonts w:ascii="Times New Roman" w:hAnsi="Times New Roman" w:eastAsia="Times New Roman"/>
        </w:rPr>
        <w:t xml:space="preserve"> </w:t>
      </w:r>
      <w:r>
        <w:rPr>
          <w:iCs/>
          <w:rFonts w:ascii="Times New Roman" w:hAnsi="Times New Roman" w:eastAsia="Times New Roman"/>
          <w:i/>
        </w:rPr>
        <w:t xml:space="preserve">Domus</w:t>
      </w:r>
      <w:r>
        <w:rPr>
          <w:rFonts w:ascii="Times New Roman" w:hAnsi="Times New Roman" w:eastAsia="Times New Roman"/>
        </w:rPr>
        <w:t xml:space="preserve"> </w:t>
      </w:r>
      <w:r>
        <w:rPr>
          <w:rFonts w:ascii="Times New Roman" w:hAnsi="Times New Roman" w:eastAsia="Times New Roman"/>
        </w:rPr>
        <w:t xml:space="preserve">y</w:t>
      </w:r>
      <w:r>
        <w:rPr>
          <w:rFonts w:ascii="Times New Roman" w:hAnsi="Times New Roman" w:eastAsia="Times New Roman"/>
        </w:rPr>
        <w:t xml:space="preserve"> </w:t>
      </w:r>
      <w:r>
        <w:rPr>
          <w:iCs/>
          <w:rFonts w:ascii="Times New Roman" w:hAnsi="Times New Roman" w:eastAsia="Times New Roman"/>
          <w:i/>
        </w:rPr>
        <w:t xml:space="preserve">Casabella</w:t>
      </w:r>
      <w:r>
        <w:rPr>
          <w:rFonts w:ascii="Times New Roman" w:hAnsi="Times New Roman" w:eastAsia="Times New Roman"/>
        </w:rPr>
        <w:t xml:space="preserve">, que desde finales de los años veinte habían convertido el proyecto moderno en debate público.</w:t>
      </w:r>
    </w:p>
    <w:p>
      <w:pPr>
        <w:pStyle w:val="BodyText"/>
      </w:pPr>
      <w:r>
        <w:rPr>
          <w:rFonts w:ascii="Times New Roman" w:hAnsi="Times New Roman" w:eastAsia="Times New Roman"/>
        </w:rPr>
        <w:t xml:space="preserve">Esa continuidad no debe idealizarse. Buena parte de la modernización industrial y arquitectónica anterior ocurrió bajo el fascismo, negoció con sus instituciones o fue utilizada por ellas. La posguerra no heredó un patrimonio inocente: recibió capacidades técnicas, lenguajes formales y estructuras productivas atravesadas por compromisos políticos que debían ser revisados. Reconstruir Italia significaba también separar la idea de modernidad de la retórica imperial que la había apropiado.</w:t>
      </w:r>
    </w:p>
    <w:p>
      <w:pPr>
        <w:pStyle w:val="BodyText"/>
      </w:pPr>
      <w:r>
        <w:rPr>
          <w:rFonts w:ascii="Times New Roman" w:hAnsi="Times New Roman" w:eastAsia="Times New Roman"/>
        </w:rPr>
        <w:t xml:space="preserve">Por eso, 1945 no es el nacimiento del diseño italiano, sino la mutación de su finalidad. La pregunta dejó de ser cómo representar la potencia del Estado y se convirtió en cómo devolver movilidad, vivienda, trabajo y confianza a una sociedad exhausta. La guerra actuó como ruptura moral y como acelerador material. Equipos, conocimientos aeronáuticos, técnicas de estampado, aleaciones y procesos creados para la confrontación tuvieron que encontrar usos civiles. La industria necesitaba mercados; la población necesitaba objetos; el país necesitaba una imagen de sí mismo que no estuviera asociada con la derrota.</w:t>
      </w:r>
    </w:p>
    <w:p>
      <w:pPr>
        <w:pStyle w:val="BodyText"/>
      </w:pPr>
      <w:r>
        <w:rPr>
          <w:rFonts w:ascii="Times New Roman" w:hAnsi="Times New Roman" w:eastAsia="Times New Roman"/>
        </w:rPr>
        <w:t xml:space="preserve">La respuesta no consistió en borrar el pasado y comenzar desde cero. Italia hizo algo más complejo: seleccionó, tradujo y recombinó. Conservó la inteligencia manual del taller, adoptó la precisión de la ingeniería, incorporó la abstracción moderna y permitió que la cultura cotidiana —la comida, la calle, el vestido, la conversación, el gusto por la representación— interviniera en el objeto industrial. Allí comenzó a formarse una modernidad que no exigía renunciar a la memoria para ingresar en el futuro.</w:t>
      </w:r>
    </w:p>
    <w:p>
      <w:pPr>
        <w:pStyle w:val="ImageCallout"/>
      </w:pPr>
      <w:r>
        <w:rPr>
          <w:bCs/>
          <w:rFonts w:ascii="Times New Roman" w:hAnsi="Times New Roman" w:eastAsia="Times New Roman"/>
          <w:b w:val="0"/>
          <w:i/>
          <w:sz w:val="17"/>
        </w:rPr>
        <w:t xml:space="preserve">[Imagen 1. Milán después de los bombardeos, 1945–1946. La reconstrucción material como origen visible, pero no absoluto, de la nueva cultura del proyecto. Procedencia por verificar.]</w:t>
      </w:r>
    </w:p>
    <w:bookmarkEnd w:id="22"/>
    <w:bookmarkStart w:id="23" w:name="ii-una-italianidad-construida"/>
    <w:p>
      <w:pPr>
        <w:pStyle w:val="Ttulo2"/>
      </w:pPr>
      <w:r>
        <w:rPr>
          <w:rFonts w:ascii="Times New Roman" w:hAnsi="Times New Roman" w:eastAsia="Times New Roman"/>
        </w:rPr>
        <w:t xml:space="preserve">II. Una italianidad construida</w:t>
      </w:r>
    </w:p>
    <w:p>
      <w:pPr>
        <w:pStyle w:val="FirstParagraph"/>
      </w:pPr>
      <w:r>
        <w:rPr>
          <w:rFonts w:ascii="Times New Roman" w:hAnsi="Times New Roman" w:eastAsia="Times New Roman"/>
        </w:rPr>
        <w:t xml:space="preserve">Hablar de “diseño italiano” puede hacer imaginar una escuela, un manifiesto o un vocabulario formal compartido. No existió nada tan compacto. No hubo una Bauhaus italiana de posguerra que reuniera doctrina, pedagogía y producción; tampoco una única empresa capaz de ordenar el campo. Muchos protagonistas se habían formado como arquitectos, ingenieros, artistas o escenógrafos y aprendieron a diseñar productos trabajando con fabricantes. La disciplina se construyó en el tránsito entre escalas: del edificio a la cuchara, del escaparate a la máquina, de la carrocería al cartel.</w:t>
      </w:r>
    </w:p>
    <w:p>
      <w:pPr>
        <w:pStyle w:val="BodyText"/>
      </w:pPr>
      <w:r>
        <w:rPr>
          <w:rFonts w:ascii="Times New Roman" w:hAnsi="Times New Roman" w:eastAsia="Times New Roman"/>
        </w:rPr>
        <w:t xml:space="preserve">Esta ausencia de una ortodoxia educativa fue una limitación y, al mismo tiempo, una ventaja. El arquitecto italiano no consideraba necesariamente el mueble o la lámpara como un encargo menor. Podía entenderlos como arquitecturas próximas al cuerpo. El empresario, por su parte, no recibía siempre un proyecto acabado para fabricarlo; intervenía en su desarrollo, proponía procesos y asumía el riesgo del prototipo. El artesano aportaba soluciones que no estaban en el dibujo. El conocimiento no descendía de una teoría única hacia la producción: circulaba entre el estudio, el taller, la fábrica, la revista, la exposición y el mercado.</w:t>
      </w:r>
    </w:p>
    <w:p>
      <w:pPr>
        <w:pStyle w:val="BodyText"/>
      </w:pPr>
      <w:r>
        <w:rPr>
          <w:rFonts w:ascii="Times New Roman" w:hAnsi="Times New Roman" w:eastAsia="Times New Roman"/>
        </w:rPr>
        <w:t xml:space="preserve">La italianidad fue, por ello, una construcción policéntrica. Turín aportó la industria automotriz, la ingeniería y la capacidad productiva de Fiat. Milán concentró editoriales, revistas, grandes empresas, arquitectos, galerías y la Triennale. La Brianza enlazó ebanistería y fabricación de muebles. Ivrea convirtió a Olivetti en laboratorio de producto, gráfica, arquitectura y política social. Pontedera transformó la experiencia aeronáutica de Piaggio en movilidad popular. Florencia articuló artesanía, moda y acceso a compradores extranjeros. Roma unió alta costura, cine, espectáculo y representación internacional. Murano, Faenza y múltiples distritos regionales conservaron conocimientos sobre vidrio, cerámica, metal, cuero y textiles.</w:t>
      </w:r>
    </w:p>
    <w:p>
      <w:pPr>
        <w:pStyle w:val="BodyText"/>
      </w:pPr>
      <w:r>
        <w:rPr>
          <w:rFonts w:ascii="Times New Roman" w:hAnsi="Times New Roman" w:eastAsia="Times New Roman"/>
        </w:rPr>
        <w:t xml:space="preserve">Lo que unificó esos territorios no fue una apariencia, sino una forma de relacionar saberes. El diseño italiano surgió cuando la industria aceptó que la cultura podía generar valor y cuando el oficio comprendió que la serie no tenía por qué destruir la singularidad. No resolvió la vieja oposición entre artesanía y máquina eliminando uno de los términos. Aprendió a trabajar dentro de la tensión.</w:t>
      </w:r>
    </w:p>
    <w:p>
      <w:pPr>
        <w:pStyle w:val="BodyText"/>
      </w:pPr>
      <w:r>
        <w:rPr>
          <w:rFonts w:ascii="Times New Roman" w:hAnsi="Times New Roman" w:eastAsia="Times New Roman"/>
        </w:rPr>
        <w:t xml:space="preserve">Por eso sus objetos podían ser racionales sin resultar anónimos, eficientes sin parecer indiferentes y técnicamente avanzados sin ocultar el placer. La forma no obedecía únicamente a la función ni se añadía al final como decoración. Funcionaba como mediadora: hacía comprensible una tecnología, deseable una conducta y reconocible una identidad. Aquello que más tarde se presentaría como “estilo italiano” era, en realidad, el efecto visible de un sistema de colaboraciones.</w:t>
      </w:r>
    </w:p>
    <w:p>
      <w:pPr>
        <w:pStyle w:val="ImageCallout"/>
      </w:pPr>
      <w:r>
        <w:rPr>
          <w:bCs/>
          <w:rFonts w:ascii="Times New Roman" w:hAnsi="Times New Roman" w:eastAsia="Times New Roman"/>
          <w:b w:val="0"/>
          <w:i/>
          <w:sz w:val="17"/>
        </w:rPr>
        <w:t xml:space="preserve">[Imagen 2. Mapa del ecosistema italiano de posguerra: Turín, Milán–Brianza, Ivrea, Pontedera, Florencia, Roma, Murano y Faenza. Gráfico original para el capítulo.]</w:t>
      </w:r>
    </w:p>
    <w:bookmarkEnd w:id="23"/>
    <w:bookmarkStart w:id="24" w:name="iii-el-andamiaje-de-la-creatividad"/>
    <w:p>
      <w:pPr>
        <w:pStyle w:val="Ttulo2"/>
      </w:pPr>
      <w:r>
        <w:rPr>
          <w:rFonts w:ascii="Times New Roman" w:hAnsi="Times New Roman" w:eastAsia="Times New Roman"/>
        </w:rPr>
        <w:t xml:space="preserve">III. El andamiaje de la creatividad</w:t>
      </w:r>
    </w:p>
    <w:p>
      <w:pPr>
        <w:pStyle w:val="FirstParagraph"/>
      </w:pPr>
      <w:r>
        <w:rPr>
          <w:rFonts w:ascii="Times New Roman" w:hAnsi="Times New Roman" w:eastAsia="Times New Roman"/>
        </w:rPr>
        <w:t xml:space="preserve">La prosperidad no apareció de inmediato. La ayuda del Plan Marshall, la recuperación de los mercados europeos, la inversión pública, la migración interna y el crecimiento industrial crearon condiciones para el llamado</w:t>
      </w:r>
      <w:r>
        <w:rPr>
          <w:rFonts w:ascii="Times New Roman" w:hAnsi="Times New Roman" w:eastAsia="Times New Roman"/>
        </w:rPr>
        <w:t xml:space="preserve"> </w:t>
      </w:r>
      <w:r>
        <w:rPr>
          <w:iCs/>
          <w:rFonts w:ascii="Times New Roman" w:hAnsi="Times New Roman" w:eastAsia="Times New Roman"/>
          <w:i/>
        </w:rPr>
        <w:t xml:space="preserve">miracolo economico</w:t>
      </w:r>
      <w:r>
        <w:rPr>
          <w:rFonts w:ascii="Times New Roman" w:hAnsi="Times New Roman" w:eastAsia="Times New Roman"/>
        </w:rPr>
        <w:t xml:space="preserve">, especialmente entre finales de los cincuenta y comienzos de los sesenta. Pero el capital, por sí solo, no explica por qué Italia produjo objetos tan identificables. Otros países recibieron recursos y reconstruyeron fábricas. La diferencia estuvo en los mecanismos que convirtieron la producción en conversación cultural.</w:t>
      </w:r>
    </w:p>
    <w:p>
      <w:pPr>
        <w:pStyle w:val="BodyText"/>
      </w:pPr>
      <w:r>
        <w:rPr>
          <w:rFonts w:ascii="Times New Roman" w:hAnsi="Times New Roman" w:eastAsia="Times New Roman"/>
        </w:rPr>
        <w:t xml:space="preserve">La Triennale de Milán proporcionó un escenario donde industria, arquitectura, artes aplicadas y vida social podían verse como partes de un mismo problema.</w:t>
      </w:r>
      <w:r>
        <w:rPr>
          <w:rFonts w:ascii="Times New Roman" w:hAnsi="Times New Roman" w:eastAsia="Times New Roman"/>
        </w:rPr>
        <w:t xml:space="preserve"> </w:t>
      </w:r>
      <w:r>
        <w:rPr>
          <w:iCs/>
          <w:rFonts w:ascii="Times New Roman" w:hAnsi="Times New Roman" w:eastAsia="Times New Roman"/>
          <w:i/>
        </w:rPr>
        <w:t xml:space="preserve">Domus</w:t>
      </w:r>
      <w:r>
        <w:rPr>
          <w:rFonts w:ascii="Times New Roman" w:hAnsi="Times New Roman" w:eastAsia="Times New Roman"/>
        </w:rPr>
        <w:t xml:space="preserve"> </w:t>
      </w:r>
      <w:r>
        <w:rPr>
          <w:rFonts w:ascii="Times New Roman" w:hAnsi="Times New Roman" w:eastAsia="Times New Roman"/>
        </w:rPr>
        <w:t xml:space="preserve">y</w:t>
      </w:r>
      <w:r>
        <w:rPr>
          <w:rFonts w:ascii="Times New Roman" w:hAnsi="Times New Roman" w:eastAsia="Times New Roman"/>
        </w:rPr>
        <w:t xml:space="preserve"> </w:t>
      </w:r>
      <w:r>
        <w:rPr>
          <w:iCs/>
          <w:rFonts w:ascii="Times New Roman" w:hAnsi="Times New Roman" w:eastAsia="Times New Roman"/>
          <w:i/>
        </w:rPr>
        <w:t xml:space="preserve">Casabella</w:t>
      </w:r>
      <w:r>
        <w:rPr>
          <w:rFonts w:ascii="Times New Roman" w:hAnsi="Times New Roman" w:eastAsia="Times New Roman"/>
        </w:rPr>
        <w:t xml:space="preserve"> </w:t>
      </w:r>
      <w:r>
        <w:rPr>
          <w:rFonts w:ascii="Times New Roman" w:hAnsi="Times New Roman" w:eastAsia="Times New Roman"/>
        </w:rPr>
        <w:t xml:space="preserve">no se limitaron a publicar resultados: discutieron qué debía ser una modernidad italiana y conectaron a proyectistas, empresas y públicos. Los almacenes La Rinascente comprendieron que exhibir, premiar y comunicar el diseño ayudaba a formar el gusto. De una iniciativa vinculada con Gio Ponti y La Rinascente nació en 1954 el Compasso d’Oro; en 1956 se constituyó la Associazione per il Disegno Industriale, que asumiría después la organización del premio.¹</w:t>
      </w:r>
    </w:p>
    <w:p>
      <w:pPr>
        <w:pStyle w:val="BodyText"/>
      </w:pPr>
      <w:r>
        <w:rPr>
          <w:rFonts w:ascii="Times New Roman" w:hAnsi="Times New Roman" w:eastAsia="Times New Roman"/>
        </w:rPr>
        <w:t xml:space="preserve">El concurso introdujo una forma pública de validación. Para una empresa pequeña, obtener reconocimiento significaba visibilidad, reputación y acceso a nuevos mercados. Para el diseñador, suponía que la inteligencia incorporada al objeto podía discutirse más allá de las ventas. Para el público, producía un repertorio: enseñaba a mirar una máquina de coser, un juguete, una lámpara o una silla como resultados culturales. El premio no creó por sí solo la calidad, pero volvió competitiva la búsqueda de calidad.</w:t>
      </w:r>
    </w:p>
    <w:p>
      <w:pPr>
        <w:pStyle w:val="BodyText"/>
      </w:pPr>
      <w:r>
        <w:rPr>
          <w:rFonts w:ascii="Times New Roman" w:hAnsi="Times New Roman" w:eastAsia="Times New Roman"/>
        </w:rPr>
        <w:t xml:space="preserve">La exhibición</w:t>
      </w:r>
      <w:r>
        <w:rPr>
          <w:rFonts w:ascii="Times New Roman" w:hAnsi="Times New Roman" w:eastAsia="Times New Roman"/>
        </w:rPr>
        <w:t xml:space="preserve"> </w:t>
      </w:r>
      <w:r>
        <w:rPr>
          <w:iCs/>
          <w:rFonts w:ascii="Times New Roman" w:hAnsi="Times New Roman" w:eastAsia="Times New Roman"/>
          <w:i/>
        </w:rPr>
        <w:t xml:space="preserve">Italy at Work: Her Renaissance in Design Today</w:t>
      </w:r>
      <w:r>
        <w:rPr>
          <w:rFonts w:ascii="Times New Roman" w:hAnsi="Times New Roman" w:eastAsia="Times New Roman"/>
        </w:rPr>
        <w:t xml:space="preserve">, inaugurada en el Brooklyn Museum en 1950 y presentada después en otras ciudades estadounidenses, desempeñó otra función. Reunió cerámica, vidrio, textiles, muebles, joyería y objetos domésticos para mostrar que la reconstrucción italiana podía leerse como un “renacimiento” contemporáneo.² La operación fue eficaz, aunque selectiva: presentó el oficio y la continuidad humanista como esencia nacional, suavizó las fracturas del fascismo y convirtió la necesidad económica de exportar en relato cultural. Estados Unidos no se limitó a descubrir el diseño italiano; ayudó a fijar la forma en que debía ser reconocido.</w:t>
      </w:r>
    </w:p>
    <w:p>
      <w:pPr>
        <w:pStyle w:val="BodyText"/>
      </w:pPr>
      <w:r>
        <w:rPr>
          <w:rFonts w:ascii="Times New Roman" w:hAnsi="Times New Roman" w:eastAsia="Times New Roman"/>
        </w:rPr>
        <w:t xml:space="preserve">El cine amplificó esa construcción. Las calles de Roma, los scooters, los cafés, la ropa y los automóviles aparecieron como componentes de una vida deseable.</w:t>
      </w:r>
      <w:r>
        <w:rPr>
          <w:rFonts w:ascii="Times New Roman" w:hAnsi="Times New Roman" w:eastAsia="Times New Roman"/>
        </w:rPr>
        <w:t xml:space="preserve"> </w:t>
      </w:r>
      <w:r>
        <w:rPr>
          <w:iCs/>
          <w:rFonts w:ascii="Times New Roman" w:hAnsi="Times New Roman" w:eastAsia="Times New Roman"/>
          <w:i/>
        </w:rPr>
        <w:t xml:space="preserve">Roman Holiday</w:t>
      </w:r>
      <w:r>
        <w:rPr>
          <w:rFonts w:ascii="Times New Roman" w:hAnsi="Times New Roman" w:eastAsia="Times New Roman"/>
        </w:rPr>
        <w:t xml:space="preserve"> </w:t>
      </w:r>
      <w:r>
        <w:rPr>
          <w:rFonts w:ascii="Times New Roman" w:hAnsi="Times New Roman" w:eastAsia="Times New Roman"/>
        </w:rPr>
        <w:t xml:space="preserve">convirtió en 1953 la Vespa en promesa internacional de espontaneidad;</w:t>
      </w:r>
      <w:r>
        <w:rPr>
          <w:rFonts w:ascii="Times New Roman" w:hAnsi="Times New Roman" w:eastAsia="Times New Roman"/>
        </w:rPr>
        <w:t xml:space="preserve"> </w:t>
      </w:r>
      <w:r>
        <w:rPr>
          <w:iCs/>
          <w:rFonts w:ascii="Times New Roman" w:hAnsi="Times New Roman" w:eastAsia="Times New Roman"/>
          <w:i/>
        </w:rPr>
        <w:t xml:space="preserve">La dolce vita</w:t>
      </w:r>
      <w:r>
        <w:rPr>
          <w:rFonts w:ascii="Times New Roman" w:hAnsi="Times New Roman" w:eastAsia="Times New Roman"/>
        </w:rPr>
        <w:t xml:space="preserve">, en 1960, condensó las contradicciones de una sociedad que ya podía representar el placer y también su vacío. La cámara no documentaba pasivamente los objetos: los integraba en escenas, cuerpos y aspiraciones. El diseño se exportaba como experiencia antes de venderse como mercancía.</w:t>
      </w:r>
    </w:p>
    <w:p>
      <w:pPr>
        <w:pStyle w:val="BodyText"/>
      </w:pPr>
      <w:r>
        <w:rPr>
          <w:rFonts w:ascii="Times New Roman" w:hAnsi="Times New Roman" w:eastAsia="Times New Roman"/>
        </w:rPr>
        <w:t xml:space="preserve">Este andamiaje revela una transformación epistemológica decisiva. Diseñar ya no consistía solamente en resolver la forma de un producto. Implicaba aprender a coordinar investigación, industria, publicidad, exhibición, crítica y estilo de vida. El conocimiento creativo dejó de residir en un autor aislado y pasó a circular por una red.</w:t>
      </w:r>
    </w:p>
    <w:p>
      <w:pPr>
        <w:pStyle w:val="ImageCallout"/>
      </w:pPr>
      <w:r>
        <w:rPr>
          <w:bCs/>
          <w:rFonts w:ascii="Times New Roman" w:hAnsi="Times New Roman" w:eastAsia="Times New Roman"/>
          <w:b w:val="0"/>
          <w:i/>
          <w:sz w:val="17"/>
        </w:rPr>
        <w:t xml:space="preserve">[Imagen 3. Primera edición del Compasso d’Oro, 1954, y portada o instalación de</w:t>
      </w:r>
      <w:r>
        <w:rPr>
          <w:bCs/>
          <w:rFonts w:ascii="Times New Roman" w:hAnsi="Times New Roman" w:eastAsia="Times New Roman"/>
          <w:b w:val="0"/>
          <w:i/>
          <w:sz w:val="17"/>
        </w:rPr>
        <w:t xml:space="preserve"> </w:t>
      </w:r>
      <w:r>
        <w:rPr>
          <w:iCs/>
          <w:i/>
          <w:bCs/>
          <w:rFonts w:ascii="Times New Roman" w:hAnsi="Times New Roman" w:eastAsia="Times New Roman"/>
          <w:b w:val="0"/>
          <w:sz w:val="17"/>
        </w:rPr>
        <w:t xml:space="preserve">Italy at Work</w:t>
      </w:r>
      <w:r>
        <w:rPr>
          <w:bCs/>
          <w:rFonts w:ascii="Times New Roman" w:hAnsi="Times New Roman" w:eastAsia="Times New Roman"/>
          <w:b w:val="0"/>
          <w:i/>
          <w:sz w:val="17"/>
        </w:rPr>
        <w:t xml:space="preserve">, 1950. Dos dispositivos de reconocimiento: uno interno y otro internacional. Fuentes: ADI y Brooklyn Museum; derechos por verificar.]</w:t>
      </w:r>
    </w:p>
    <w:bookmarkEnd w:id="24"/>
    <w:bookmarkStart w:id="25" w:name="iv-de-la-guerra-a-la-movilidad"/>
    <w:p>
      <w:pPr>
        <w:pStyle w:val="Ttulo2"/>
      </w:pPr>
      <w:r>
        <w:rPr>
          <w:rFonts w:ascii="Times New Roman" w:hAnsi="Times New Roman" w:eastAsia="Times New Roman"/>
        </w:rPr>
        <w:t xml:space="preserve">IV. De la guerra a la movilidad</w:t>
      </w:r>
    </w:p>
    <w:p>
      <w:pPr>
        <w:pStyle w:val="FirstParagraph"/>
      </w:pPr>
      <w:r>
        <w:rPr>
          <w:rFonts w:ascii="Times New Roman" w:hAnsi="Times New Roman" w:eastAsia="Times New Roman"/>
        </w:rPr>
        <w:t xml:space="preserve">La Vespa permite observar esa red en funcionamiento. En 1946, Piaggio necesitaba reconvertir una empresa vinculada a la aeronáutica y producir un vehículo adecuado para carreteras dañadas y economías frágiles. Enrico Piaggio encargó el proyecto a Corradino D’Ascanio, ingeniero aeronáutico que no sentía apego por la motocicleta tradicional. Esa distancia resultó fértil. En lugar de perfeccionar la tipología existente, la cuestionó.</w:t>
      </w:r>
    </w:p>
    <w:p>
      <w:pPr>
        <w:pStyle w:val="BodyText"/>
      </w:pPr>
      <w:r>
        <w:rPr>
          <w:rFonts w:ascii="Times New Roman" w:hAnsi="Times New Roman" w:eastAsia="Times New Roman"/>
        </w:rPr>
        <w:t xml:space="preserve">El bastidor y la carrocería de chapa estampada integraban estructura y envolvente; el motor quedaba cubierto; la plataforma permitía subir sin pasar la pierna sobre un depósito; el escudo frontal protegía la ropa; la rueda podía cambiarse con relativa facilidad. El diseño no expresaba agresividad mecánica, sino accesibilidad. La Vespa admitía trajes, sotanas, uniformes, pantalones o faldas. No eliminó las desigualdades de género, pero modificó materialmente quién podía imaginarse conduciendo y bajo qué condiciones.</w:t>
      </w:r>
    </w:p>
    <w:p>
      <w:pPr>
        <w:pStyle w:val="BodyText"/>
      </w:pPr>
      <w:r>
        <w:rPr>
          <w:rFonts w:ascii="Times New Roman" w:hAnsi="Times New Roman" w:eastAsia="Times New Roman"/>
        </w:rPr>
        <w:t xml:space="preserve">Su importancia no reside únicamente en haber trasladado tecnología bélica al uso civil. El cambio profundo consistió en transformar la relación entre cuerpo y máquina. La motocicleta dejaba de presentarse como motor al que el usuario debía adaptarse y comenzaba a comportarse como envolvente protectora. La velocidad se volvía cotidiana. El objeto no imponía la imagen de un especialista; permitía que una mecanógrafa como Livia se reconociera en él.</w:t>
      </w:r>
    </w:p>
    <w:p>
      <w:pPr>
        <w:pStyle w:val="BodyText"/>
      </w:pPr>
      <w:r>
        <w:rPr>
          <w:rFonts w:ascii="Times New Roman" w:hAnsi="Times New Roman" w:eastAsia="Times New Roman"/>
        </w:rPr>
        <w:t xml:space="preserve">La Lambretta, producida por Innocenti desde 1947, confirmó que la movilidad ligera respondía a una necesidad colectiva y no a un golpe aislado de inspiración. La competencia entre ambos scooters amplió el mercado, diversificó soluciones y convirtió el desplazamiento individual en cultura urbana. Vespa ganó la batalla simbólica, pero la existencia de su rival impide narrarla como invención solitaria.</w:t>
      </w:r>
    </w:p>
    <w:p>
      <w:pPr>
        <w:pStyle w:val="BodyText"/>
      </w:pPr>
      <w:r>
        <w:rPr>
          <w:rFonts w:ascii="Times New Roman" w:hAnsi="Times New Roman" w:eastAsia="Times New Roman"/>
        </w:rPr>
        <w:t xml:space="preserve">En el automóvil, Italia operó simultáneamente en dos extremos. La Cisitalia 202, presentada en la segunda mitad de los años cuarenta con carrocería de Pinin Farina, integró capó, guardabarros y volumen central en una superficie continua. El automóvil podía leerse como totalidad esculpida y no como suma de componentes. El MoMA la exhibió en</w:t>
      </w:r>
      <w:r>
        <w:rPr>
          <w:rFonts w:ascii="Times New Roman" w:hAnsi="Times New Roman" w:eastAsia="Times New Roman"/>
        </w:rPr>
        <w:t xml:space="preserve"> </w:t>
      </w:r>
      <w:r>
        <w:rPr>
          <w:iCs/>
          <w:rFonts w:ascii="Times New Roman" w:hAnsi="Times New Roman" w:eastAsia="Times New Roman"/>
          <w:i/>
        </w:rPr>
        <w:t xml:space="preserve">Eight Automobiles</w:t>
      </w:r>
      <w:r>
        <w:rPr>
          <w:rFonts w:ascii="Times New Roman" w:hAnsi="Times New Roman" w:eastAsia="Times New Roman"/>
        </w:rPr>
        <w:t xml:space="preserve"> </w:t>
      </w:r>
      <w:r>
        <w:rPr>
          <w:rFonts w:ascii="Times New Roman" w:hAnsi="Times New Roman" w:eastAsia="Times New Roman"/>
        </w:rPr>
        <w:t xml:space="preserve">en 1951 y años después la incorporó a su colección, consagrando al automóvil como objeto de diseño.³ Era una pieza excepcional y escasa, pero estableció un ideal formal que irradiaría hacia la industria.</w:t>
      </w:r>
    </w:p>
    <w:p>
      <w:pPr>
        <w:pStyle w:val="BodyText"/>
      </w:pPr>
      <w:r>
        <w:rPr>
          <w:rFonts w:ascii="Times New Roman" w:hAnsi="Times New Roman" w:eastAsia="Times New Roman"/>
        </w:rPr>
        <w:t xml:space="preserve">El Fiat Nuova 500 de Dante Giacosa, aparecido en 1957, enfrentó el problema opuesto: producir movilidad familiar con dimensiones y recursos mínimos. Su valor no estaba en parecer un automóvil grande reducido, sino en aceptar la pequeñez como principio. Motor trasero, carrocería compacta, techo de lona y economía de materiales permitieron alojar la promesa del viaje dentro de tres metros. Su precio siguió siendo considerable para muchos trabajadores; la democratización no fue inmediata ni total. Sin embargo, el 500 condensó una nueva aspiración doméstica: la familia podía imaginar playa, montaña y fin de semana como extensiones de su vida.</w:t>
      </w:r>
    </w:p>
    <w:p>
      <w:pPr>
        <w:pStyle w:val="BodyText"/>
      </w:pPr>
      <w:r>
        <w:rPr>
          <w:rFonts w:ascii="Times New Roman" w:hAnsi="Times New Roman" w:eastAsia="Times New Roman"/>
        </w:rPr>
        <w:t xml:space="preserve">Entre la Cisitalia y el 500, entre Pininfarina y Fiat, apareció una capacidad característica: hacer que la limitación produjera carácter. Italia no podía competir con Estados Unidos en tamaño, combustible o escala de consumo. Convirtió esa desventaja en otro modelo de prosperidad. Lo pequeño podía ser inteligente; lo económico, digno; lo popular, reconocible. La escasez dejó de ser únicamente una carencia y se volvió criterio de proyecto.</w:t>
      </w:r>
    </w:p>
    <w:p>
      <w:pPr>
        <w:pStyle w:val="ImageCallout"/>
      </w:pPr>
      <w:r>
        <w:rPr>
          <w:bCs/>
          <w:rFonts w:ascii="Times New Roman" w:hAnsi="Times New Roman" w:eastAsia="Times New Roman"/>
          <w:b w:val="0"/>
          <w:i/>
          <w:sz w:val="17"/>
        </w:rPr>
        <w:t xml:space="preserve">[Imagen 4. Vespa 98, 1946; Cisitalia 202, 1947; Fiat Nuova 500, 1957. Tres formas de convertir la movilidad en identidad. Fuentes sugeridas: Piaggio/Vespa, MAUTO o MoMA, Centro Storico Fiat.]</w:t>
      </w:r>
    </w:p>
    <w:bookmarkEnd w:id="25"/>
    <w:bookmarkStart w:id="26" w:name="v-olivetti-diseñar-una-comunidad"/>
    <w:p>
      <w:pPr>
        <w:pStyle w:val="Ttulo2"/>
      </w:pPr>
      <w:r>
        <w:rPr>
          <w:rFonts w:ascii="Times New Roman" w:hAnsi="Times New Roman" w:eastAsia="Times New Roman"/>
        </w:rPr>
        <w:t xml:space="preserve">V. Olivetti: diseñar una comunidad</w:t>
      </w:r>
    </w:p>
    <w:p>
      <w:pPr>
        <w:pStyle w:val="FirstParagraph"/>
      </w:pPr>
      <w:r>
        <w:rPr>
          <w:rFonts w:ascii="Times New Roman" w:hAnsi="Times New Roman" w:eastAsia="Times New Roman"/>
        </w:rPr>
        <w:t xml:space="preserve">Si Piaggio y Fiat rediseñaron la movilidad, Olivetti ensayó algo más ambicioso: diseñar la empresa como mundo. Adriano Olivetti no entendía la fábrica como un recinto aislado donde se producían mercancías. En Ivrea articuló instalaciones industriales, viviendas, servicios sociales, guarderías, bibliotecas, cultura, comunicación visual y planeación territorial. Arquitectos, urbanistas, diseñadores y artistas intervinieron en una visión que buscaba conciliar productividad, dignidad y comunidad. El conjunto, desarrollado principalmente entre las décadas de 1930 y 1960, constituye hoy un testimonio excepcional de la relación entre industria y proyecto social.⁴</w:t>
      </w:r>
    </w:p>
    <w:p>
      <w:pPr>
        <w:pStyle w:val="BodyText"/>
      </w:pPr>
      <w:r>
        <w:rPr>
          <w:rFonts w:ascii="Times New Roman" w:hAnsi="Times New Roman" w:eastAsia="Times New Roman"/>
        </w:rPr>
        <w:t xml:space="preserve">Esto modifica la escala ontológica del diseño. El objeto ya no es la unidad última. Una máquina de escribir forma parte de un puesto de trabajo; ese puesto pertenece a un edificio; el edificio se integra en una ciudad; la ciudad expresa una idea sobre la persona. Diseñar una tecla sin pensar en la mano sería insuficiente, pero también lo sería diseñar la mano trabajadora sin considerar su vivienda, su salud o su acceso a la cultura.</w:t>
      </w:r>
    </w:p>
    <w:p>
      <w:pPr>
        <w:pStyle w:val="BodyText"/>
      </w:pPr>
      <w:r>
        <w:rPr>
          <w:rFonts w:ascii="Times New Roman" w:hAnsi="Times New Roman" w:eastAsia="Times New Roman"/>
        </w:rPr>
        <w:t xml:space="preserve">La Lettera 22, desarrollada por el equipo técnico de Olivetti y configurada formalmente por Marcello Nizzoli en 1950, concentró esa visión en un objeto portátil. Su carcasa baja organizaba visualmente el mecanismo y disminuía la distancia simbólica entre la persona y la máquina. El estuche con asa no era un accesorio secundario: cambiaba el lugar posible de la escritura. La máquina podía abandonar el escritorio corporativo y viajar con el periodista, el estudiante o el escritor.</w:t>
      </w:r>
    </w:p>
    <w:p>
      <w:pPr>
        <w:pStyle w:val="BodyText"/>
      </w:pPr>
      <w:r>
        <w:rPr>
          <w:rFonts w:ascii="Times New Roman" w:hAnsi="Times New Roman" w:eastAsia="Times New Roman"/>
        </w:rPr>
        <w:t xml:space="preserve">Livia reconoce esa diferencia porque trabaja con el cuerpo. Sabe cuánto pesa una máquina fija, cuánto espacio exige y cómo determina la postura. Frente a la Lettera 22, la portabilidad no es una cifra técnica; es la experiencia anticipada de elegir dónde escribir. El diseño convierte una cualidad mecánica en posibilidad vital.</w:t>
      </w:r>
    </w:p>
    <w:p>
      <w:pPr>
        <w:pStyle w:val="BodyText"/>
      </w:pPr>
      <w:r>
        <w:rPr>
          <w:rFonts w:ascii="Times New Roman" w:hAnsi="Times New Roman" w:eastAsia="Times New Roman"/>
        </w:rPr>
        <w:t xml:space="preserve">Olivetti extendió esa coherencia a tiendas, carteles, manuales, edificios y publicidad. La identidad corporativa no funcionaba como una máscara gráfica colocada sobre productos inconexos. Era la manifestación visible de una cultura empresarial. De ahí que sus máquinas pudieran percibirse como miembros de una familia sin repetirse formalmente. Compartían una actitud hacia el usuario: la tecnología debía resultar inteligible, próxima y culturalmente digna.</w:t>
      </w:r>
    </w:p>
    <w:p>
      <w:pPr>
        <w:pStyle w:val="BodyText"/>
      </w:pPr>
      <w:r>
        <w:rPr>
          <w:rFonts w:ascii="Times New Roman" w:hAnsi="Times New Roman" w:eastAsia="Times New Roman"/>
        </w:rPr>
        <w:t xml:space="preserve">La contradicción no desaparece. Olivetti siguió siendo una empresa industrial sometida a mercados, jerarquías y productividad. Su comunidad no abolió el conflicto entre capital y trabajo. Pero demostró que la empresa podía asumir responsabilidades espaciales, sociales y estéticas que el funcionalismo económico consideraba externas. En lugar de preguntar cuánto diseño necesitaba un producto para venderse, preguntó qué clase de sociedad podía proyectarse mediante la industria.</w:t>
      </w:r>
    </w:p>
    <w:p>
      <w:pPr>
        <w:pStyle w:val="ImageCallout"/>
      </w:pPr>
      <w:r>
        <w:rPr>
          <w:bCs/>
          <w:rFonts w:ascii="Times New Roman" w:hAnsi="Times New Roman" w:eastAsia="Times New Roman"/>
          <w:b w:val="0"/>
          <w:i/>
          <w:sz w:val="17"/>
        </w:rPr>
        <w:t xml:space="preserve">[Imagen 5. Lettera 22 de Marcello Nizzoli, 1950, acompañada por una vista del complejo Olivetti en Ivrea. El objeto y la ciudad como escalas de un mismo proyecto. Fuentes sugeridas: Associazione Archivio Storico Olivetti y UNESCO.]</w:t>
      </w:r>
    </w:p>
    <w:bookmarkEnd w:id="26"/>
    <w:bookmarkStart w:id="27" w:name="X8d273e32257aa4cc263f9a6926ca12cdba3d14b"/>
    <w:p>
      <w:pPr>
        <w:pStyle w:val="Ttulo2"/>
      </w:pPr>
      <w:r>
        <w:rPr>
          <w:rFonts w:ascii="Times New Roman" w:hAnsi="Times New Roman" w:eastAsia="Times New Roman"/>
        </w:rPr>
        <w:t xml:space="preserve">VI. La casa, el cuerpo y la inteligencia de los materiales</w:t>
      </w:r>
    </w:p>
    <w:p>
      <w:pPr>
        <w:pStyle w:val="FirstParagraph"/>
      </w:pPr>
      <w:r>
        <w:rPr>
          <w:rFonts w:ascii="Times New Roman" w:hAnsi="Times New Roman" w:eastAsia="Times New Roman"/>
        </w:rPr>
        <w:t xml:space="preserve">La vivienda de posguerra no necesitaba únicamente ser amueblada: debía aprender a alojar nuevas conductas. Los espacios urbanos se reducían, las familias modificaban sus rutinas y los materiales industriales ofrecían posibilidades que la carpintería tradicional no podía resolver por sí sola. El mueble dejó de ser una presencia pesada destinada a permanecer durante generaciones en el mismo sitio. Podía moverse, plegarse, apilarse, desmontarse o asumir una personalidad propia.</w:t>
      </w:r>
    </w:p>
    <w:p>
      <w:pPr>
        <w:pStyle w:val="BodyText"/>
      </w:pPr>
      <w:r>
        <w:rPr>
          <w:rFonts w:ascii="Times New Roman" w:hAnsi="Times New Roman" w:eastAsia="Times New Roman"/>
        </w:rPr>
        <w:t xml:space="preserve">La poltrona Lady de Marco Zanuso, presentada en 1951, investigó la construcción separada de partes acolchadas y el empleo de nuevos sistemas de espuma y tapicería. Su apariencia envolvente no era un revestimiento aplicado a una estructura convencional: derivaba del modo de producir confort. El cuerpo dejaba de encontrar una carcasa rígida suavizada por cojines y comenzaba a ser recibido por volúmenes concebidos desde su postura.</w:t>
      </w:r>
    </w:p>
    <w:p>
      <w:pPr>
        <w:pStyle w:val="BodyText"/>
      </w:pPr>
      <w:r>
        <w:rPr>
          <w:rFonts w:ascii="Times New Roman" w:hAnsi="Times New Roman" w:eastAsia="Times New Roman"/>
        </w:rPr>
        <w:t xml:space="preserve">En la Superleggera de 1957, Gio Ponti siguió una ruta distinta. Partió de la silla de Chiavari, una tipología artesanal del siglo XIX, y trabajó con Cassina hasta reducir secciones, peso y materia sin perder resistencia. El resultado no proclamaba una ruptura iconoclasta. Mostraba que la tradición podía contener conocimiento susceptible de ser depurado. La modernidad no llegaba para sustituir a la silla histórica, sino para descubrir dentro de ella una ligereza todavía no realizada.</w:t>
      </w:r>
    </w:p>
    <w:p>
      <w:pPr>
        <w:pStyle w:val="BodyText"/>
      </w:pPr>
      <w:r>
        <w:rPr>
          <w:rFonts w:ascii="Times New Roman" w:hAnsi="Times New Roman" w:eastAsia="Times New Roman"/>
        </w:rPr>
        <w:t xml:space="preserve">Los hermanos Castiglioni convirtieron la observación de objetos anónimos en método. La Sella y la Mezzadro, concebidas en 1957, desplazaron un sillín de bicicleta y un asiento de tractor hacia el interior doméstico. No se trataba todavía del</w:t>
      </w:r>
      <w:r>
        <w:rPr>
          <w:rFonts w:ascii="Times New Roman" w:hAnsi="Times New Roman" w:eastAsia="Times New Roman"/>
        </w:rPr>
        <w:t xml:space="preserve"> </w:t>
      </w:r>
      <w:r>
        <w:rPr>
          <w:iCs/>
          <w:rFonts w:ascii="Times New Roman" w:hAnsi="Times New Roman" w:eastAsia="Times New Roman"/>
          <w:i/>
        </w:rPr>
        <w:t xml:space="preserve">ready-made</w:t>
      </w:r>
      <w:r>
        <w:rPr>
          <w:rFonts w:ascii="Times New Roman" w:hAnsi="Times New Roman" w:eastAsia="Times New Roman"/>
        </w:rPr>
        <w:t xml:space="preserve"> </w:t>
      </w:r>
      <w:r>
        <w:rPr>
          <w:rFonts w:ascii="Times New Roman" w:hAnsi="Times New Roman" w:eastAsia="Times New Roman"/>
        </w:rPr>
        <w:t xml:space="preserve">dadaísta, porque las piezas eran rearticuladas para producir nuevas relaciones corporales. Tampoco eran simples bromas. Preguntaban cuánto debía intervenir el diseñador cuando la industria ya había resuelto de manera precisa una forma.</w:t>
      </w:r>
    </w:p>
    <w:p>
      <w:pPr>
        <w:pStyle w:val="BodyText"/>
      </w:pPr>
      <w:r>
        <w:rPr>
          <w:rFonts w:ascii="Times New Roman" w:hAnsi="Times New Roman" w:eastAsia="Times New Roman"/>
        </w:rPr>
        <w:t xml:space="preserve">La Mezzadro introducía en el salón la memoria del trabajo agrícola justo cuando millones de italianos abandonaban el campo para ingresar en ciudades y fábricas del norte. El asiento de tractor cambiaba de función, pero conservaba su procedencia legible. En lugar de ocultar esa historia bajo tapicería, la hacía visible. El objeto moderno podía contener desplazamientos sociales.</w:t>
      </w:r>
    </w:p>
    <w:p>
      <w:pPr>
        <w:pStyle w:val="BodyText"/>
      </w:pPr>
      <w:r>
        <w:rPr>
          <w:rFonts w:ascii="Times New Roman" w:hAnsi="Times New Roman" w:eastAsia="Times New Roman"/>
        </w:rPr>
        <w:t xml:space="preserve">La lámpara Arco de Achille y Pier Giacomo Castiglioni, aparecida en 1962, llevó una fuente de luz sobre la mesa sin fijarla al techo. La pesada base de mármol estabilizaba un arco telescópico de acero; una perforación permitía moverla con una barra introducida entre dos personas. Nada estaba disimulado. Peso, alcance, equilibrio y movilidad se volvían parte de la expresión. La lámpara no imitaba una farola urbana: trasladaba al interior la capacidad de iluminar desde arriba y la reconstruía mediante otra lógica.</w:t>
      </w:r>
    </w:p>
    <w:p>
      <w:pPr>
        <w:pStyle w:val="BodyText"/>
      </w:pPr>
      <w:r>
        <w:rPr>
          <w:rFonts w:ascii="Times New Roman" w:hAnsi="Times New Roman" w:eastAsia="Times New Roman"/>
        </w:rPr>
        <w:t xml:space="preserve">Durante los años sesenta, plásticos, espumas de poliuretano, fibra de vidrio, PVC y procesos de moldeo ampliaron esa libertad. La radio y el televisor dejaron de presentarse necesariamente como muebles que ocultaban componentes electrónicos. Los aparatos Brionvega, desarrollados por diseñadores como Marco Zanuso y Richard Sapper, aceptaron su condición técnica y la volvieron portátil, articulada y cromática. El teléfono Grillo, diseñado a mediados de la década, cerraba auricular y teclado en una forma compacta que parecía dormir cuando no se usaba. La carcasa ya no era un ataúd del mecanismo, sino la interfaz que explicaba su comportamiento.</w:t>
      </w:r>
    </w:p>
    <w:p>
      <w:pPr>
        <w:pStyle w:val="BodyText"/>
      </w:pPr>
      <w:r>
        <w:rPr>
          <w:rFonts w:ascii="Times New Roman" w:hAnsi="Times New Roman" w:eastAsia="Times New Roman"/>
        </w:rPr>
        <w:t xml:space="preserve">El sillón inflable Blow de 1967, de De Pas, D’Urbino y Lomazzi para Zanotta, llevó la experimentación hasta convertir aire y lámina de PVC en mobiliario. Era ligero, relativamente asequible, transportable y visualmente ajeno a la solemnidad burguesa. También era efímero, dependiente de la petroquímica y vulnerable. En esas cualidades aparecía la primera fisura del optimismo material: aquello que liberaba al mueble del peso podía atarlo al consumo y al descarte.</w:t>
      </w:r>
    </w:p>
    <w:p>
      <w:pPr>
        <w:pStyle w:val="BodyText"/>
      </w:pPr>
      <w:r>
        <w:rPr>
          <w:rFonts w:ascii="Times New Roman" w:hAnsi="Times New Roman" w:eastAsia="Times New Roman"/>
        </w:rPr>
        <w:t xml:space="preserve">La evolución creativa no consistió, entonces, en reemplazar madera por plástico o artesanía por industria. Consistió en permitir que cada material cuestionara la tipología recibida. La espuma preguntó qué era el confort; la chapa estampada, qué era una carrocería; el plástico, cuánto debía durar un mueble; el acero curvado, dónde podía situarse una luz. El material dejó de ser soporte pasivo y se convirtió en interlocutor del proyecto.</w:t>
      </w:r>
    </w:p>
    <w:p>
      <w:pPr>
        <w:pStyle w:val="ImageCallout"/>
      </w:pPr>
      <w:r>
        <w:rPr>
          <w:bCs/>
          <w:rFonts w:ascii="Times New Roman" w:hAnsi="Times New Roman" w:eastAsia="Times New Roman"/>
          <w:b w:val="0"/>
          <w:i/>
          <w:sz w:val="17"/>
        </w:rPr>
        <w:t xml:space="preserve">[Imagen 6. Lady, Marco Zanuso, 1951; Superleggera, Gio Ponti, 1957; Mezzadro, Achille y Pier Giacomo Castiglioni, 1957; Arco, 1962. Cuatro relaciones distintas entre cuerpo, memoria, estructura y espacio. Fuentes sugeridas: MoMA, Cassina, Zanotta y Flos.]</w:t>
      </w:r>
    </w:p>
    <w:p>
      <w:pPr>
        <w:pStyle w:val="ImageCallout"/>
      </w:pPr>
      <w:r>
        <w:rPr>
          <w:bCs/>
          <w:rFonts w:ascii="Times New Roman" w:hAnsi="Times New Roman" w:eastAsia="Times New Roman"/>
          <w:b w:val="0"/>
          <w:i/>
          <w:sz w:val="17"/>
        </w:rPr>
        <w:t xml:space="preserve">[Imagen 7. Radiofonógrafo o televisor Brionvega, teléfono Grillo y sillón Blow. La carcasa tecnológica y el plástico como nuevos campos expresivos. Procedencias y derechos por verificar.]</w:t>
      </w:r>
    </w:p>
    <w:bookmarkEnd w:id="27"/>
    <w:bookmarkStart w:id="28" w:name="vii-vestir-la-reconstrucción"/>
    <w:p>
      <w:pPr>
        <w:pStyle w:val="Ttulo2"/>
      </w:pPr>
      <w:r>
        <w:rPr>
          <w:rFonts w:ascii="Times New Roman" w:hAnsi="Times New Roman" w:eastAsia="Times New Roman"/>
        </w:rPr>
        <w:t xml:space="preserve">VII. Vestir la reconstrucción</w:t>
      </w:r>
    </w:p>
    <w:p>
      <w:pPr>
        <w:pStyle w:val="FirstParagraph"/>
      </w:pPr>
      <w:r>
        <w:rPr>
          <w:rFonts w:ascii="Times New Roman" w:hAnsi="Times New Roman" w:eastAsia="Times New Roman"/>
        </w:rPr>
        <w:t xml:space="preserve">La moda no fue un adorno lateral del diseño italiano. Participó en la misma operación: convertir capacidades regionales, oficios heredados y nuevas aspiraciones en una imagen exportable. También obliga a corregir otra narración retrospectiva. El dominio contemporáneo del Quadrilatero della Moda puede hacer pensar que Milán organizó desde el principio la moda de posguerra. En realidad, durante los años cincuenta el sistema fue disputado y policéntrico.</w:t>
      </w:r>
    </w:p>
    <w:p>
      <w:pPr>
        <w:pStyle w:val="BodyText"/>
      </w:pPr>
      <w:r>
        <w:rPr>
          <w:rFonts w:ascii="Times New Roman" w:hAnsi="Times New Roman" w:eastAsia="Times New Roman"/>
        </w:rPr>
        <w:t xml:space="preserve">Casas y talleres anteriores a la guerra sobrevivieron o recuperaron actividad. Gucci continuó trabajando desde la tradición de la marroquinería florentina; Salvatore Ferragamo enlazó experimentación del calzado y conocimiento artesanal; las hermanas Fontana, establecidas en Roma, vistieron a actrices y aprovecharon la circulación internacional del cine. Junto a ellas aparecieron o se consolidaron Emilio Pucci, Roberto Capucci, Jole Veneziani, Emilio Schuberth, Simonetta y otros creadores que no compartían una estética única, pero sí la búsqueda de una identidad distinta de la alta costura parisina.</w:t>
      </w:r>
    </w:p>
    <w:p>
      <w:pPr>
        <w:pStyle w:val="BodyText"/>
      </w:pPr>
      <w:r>
        <w:rPr>
          <w:rFonts w:ascii="Times New Roman" w:hAnsi="Times New Roman" w:eastAsia="Times New Roman"/>
        </w:rPr>
        <w:t xml:space="preserve">El 12 de febrero de 1951, Giovanni Battista Giorgini reunió en su residencia florentina de Villa Torrigiani a casas italianas y compradores extranjeros. Las presentaciones se trasladaron después a la Sala Bianca del Palazzo Pitti.⁵ La operación no inventó la moda italiana, pero la organizó como acontecimiento nacional y exportable. Diseñadores procedentes de Roma, Florencia y Milán aparecían juntos ante la prensa como expresiones de una misma cultura.</w:t>
      </w:r>
    </w:p>
    <w:p>
      <w:pPr>
        <w:pStyle w:val="BodyText"/>
      </w:pPr>
      <w:r>
        <w:rPr>
          <w:rFonts w:ascii="Times New Roman" w:hAnsi="Times New Roman" w:eastAsia="Times New Roman"/>
        </w:rPr>
        <w:t xml:space="preserve">La selección fue estratégica. Junto a la alta costura se mostraron prendas de boutique, ropa para el ocio, accesorios, textiles y objetos artesanales. Italia no debía competir con París solamente en exclusividad; podía ofrecer una elegancia menos rígida, vinculada con el clima, el viaje, la costa y una vida moderna en movimiento. Los estampados de Pucci, la precisión escultórica de Capucci, los zapatos de Ferragamo y la marroquinería florentina hicieron visible una relación entre cuerpo, color, materia y oficio.</w:t>
      </w:r>
    </w:p>
    <w:p>
      <w:pPr>
        <w:pStyle w:val="BodyText"/>
      </w:pPr>
      <w:r>
        <w:rPr>
          <w:rFonts w:ascii="Times New Roman" w:hAnsi="Times New Roman" w:eastAsia="Times New Roman"/>
        </w:rPr>
        <w:t xml:space="preserve">En Livia, esa transformación aparece a otra escala. Ella no necesita poseer un vestido de pasarela para participar en la nueva sensibilidad. Una revista, un escaparate, un patrón adaptado por su madre o un pañuelo modifican la forma en que se presenta ante la ciudad. La alta moda produce imágenes; la confección, los talleres y la imitación distribuyen fragmentos de esas imágenes. El diseño se vuelve aspiracional sin permanecer completamente inaccesible.</w:t>
      </w:r>
    </w:p>
    <w:p>
      <w:pPr>
        <w:pStyle w:val="BodyText"/>
      </w:pPr>
      <w:r>
        <w:rPr>
          <w:rFonts w:ascii="Times New Roman" w:hAnsi="Times New Roman" w:eastAsia="Times New Roman"/>
        </w:rPr>
        <w:t xml:space="preserve">Pero esa libertad contiene límites. La silueta moderna podía ofrecer movimiento y autorrepresentación, mientras la publicidad seguía vinculando a la mujer con domesticidad, belleza y servicio. Las trabajadoras de talleres y fábricas sostenían materialmente una industria cuya imagen celebraba a creadoras, modelos y estrellas. La emancipación estética no equivalía automáticamente a emancipación social. Como la Vespa, la moda abría posibilidades reales sin eliminar las estructuras que restringían su uso.</w:t>
      </w:r>
    </w:p>
    <w:p>
      <w:pPr>
        <w:pStyle w:val="ImageCallout"/>
      </w:pPr>
      <w:r>
        <w:rPr>
          <w:bCs/>
          <w:rFonts w:ascii="Times New Roman" w:hAnsi="Times New Roman" w:eastAsia="Times New Roman"/>
          <w:b w:val="0"/>
          <w:i/>
          <w:sz w:val="17"/>
        </w:rPr>
        <w:t xml:space="preserve">[Imagen 8. Desfile en la Sala Bianca, Palazzo Pitti, década de 1950; conjunto o pañuelo de Emilio Pucci; calzado de Salvatore Ferragamo. La italianidad como sistema de cuerpo, oficio y exportación. Fuentes sugeridas: Archivio Giorgini, Uffizi y Museo Ferragamo.]</w:t>
      </w:r>
    </w:p>
    <w:bookmarkEnd w:id="28"/>
    <w:bookmarkStart w:id="29" w:name="viii-proyectar-la-casa-y-la-ciudad"/>
    <w:p>
      <w:pPr>
        <w:pStyle w:val="Ttulo2"/>
      </w:pPr>
      <w:r>
        <w:rPr>
          <w:rFonts w:ascii="Times New Roman" w:hAnsi="Times New Roman" w:eastAsia="Times New Roman"/>
        </w:rPr>
        <w:t xml:space="preserve">VIII. Proyectar la casa y la ciudad</w:t>
      </w:r>
    </w:p>
    <w:p>
      <w:pPr>
        <w:pStyle w:val="FirstParagraph"/>
      </w:pPr>
      <w:r>
        <w:rPr>
          <w:rFonts w:ascii="Times New Roman" w:hAnsi="Times New Roman" w:eastAsia="Times New Roman"/>
        </w:rPr>
        <w:t xml:space="preserve">El diseño italiano de posguerra no puede comprenderse si se aísla el objeto del espacio que debía recibirlo. Entre 1949 y 1963, el programa INA-Casa impulsó vivienda para trabajadores, empleo en la construcción y experimentación urbana. Arquitectos como Mario Ridolfi, Ludovico Quaroni, Carlo Aymonino, Adalberto Libera y muchos otros participaron en barrios distribuidos por el país. En sus dos ciclos se construyeron cientos de miles de viviendas.⁶</w:t>
      </w:r>
    </w:p>
    <w:p>
      <w:pPr>
        <w:pStyle w:val="BodyText"/>
      </w:pPr>
      <w:r>
        <w:rPr>
          <w:rFonts w:ascii="Times New Roman" w:hAnsi="Times New Roman" w:eastAsia="Times New Roman"/>
        </w:rPr>
        <w:t xml:space="preserve">El programa no fue una traducción directa del racionalismo internacional. Muchos proyectos buscaron escalas vecinales, calles, plazas, variaciones regionales y modos de habitar reconocibles. Esa atención podía generar pertenencia, pero también podía romantizar comunidades tradicionales y evitar una transformación más radical de las condiciones urbanas. La vivienda popular se convirtió en campo donde modernización y memoria negociaban sus límites.</w:t>
      </w:r>
    </w:p>
    <w:p>
      <w:pPr>
        <w:pStyle w:val="BodyText"/>
      </w:pPr>
      <w:r>
        <w:rPr>
          <w:rFonts w:ascii="Times New Roman" w:hAnsi="Times New Roman" w:eastAsia="Times New Roman"/>
        </w:rPr>
        <w:t xml:space="preserve">Ivrea llevó la relación entre arquitectura e industria hacia un modelo corporativo integral. En Milán, dos torres casi contemporáneas expresaron posiciones distintas sobre la modernidad. La Torre Pirelli de Gio Ponti, con la participación estructural de Pier Luigi Nervi y otros especialistas, comenzó a levantarse en 1956 y se inauguró en 1960. Su volumen afinado y su estructura de hormigón presentaban la sede empresarial como precisión, ligereza y ascenso. Era la imagen vertical del</w:t>
      </w:r>
      <w:r>
        <w:rPr>
          <w:rFonts w:ascii="Times New Roman" w:hAnsi="Times New Roman" w:eastAsia="Times New Roman"/>
        </w:rPr>
        <w:t xml:space="preserve"> </w:t>
      </w:r>
      <w:r>
        <w:rPr>
          <w:iCs/>
          <w:rFonts w:ascii="Times New Roman" w:hAnsi="Times New Roman" w:eastAsia="Times New Roman"/>
          <w:i/>
        </w:rPr>
        <w:t xml:space="preserve">miracolo economico</w:t>
      </w:r>
      <w:r>
        <w:rPr>
          <w:rFonts w:ascii="Times New Roman" w:hAnsi="Times New Roman" w:eastAsia="Times New Roman"/>
        </w:rPr>
        <w:t xml:space="preserve">.⁷</w:t>
      </w:r>
    </w:p>
    <w:p>
      <w:pPr>
        <w:pStyle w:val="BodyText"/>
      </w:pPr>
      <w:r>
        <w:rPr>
          <w:rFonts w:ascii="Times New Roman" w:hAnsi="Times New Roman" w:eastAsia="Times New Roman"/>
        </w:rPr>
        <w:t xml:space="preserve">La Torre Velasca del grupo BBPR, terminada en 1958, rechazó la neutralidad universal del rascacielos de vidrio. Su cuerpo superior ensanchado y la expresión de sus soportes establecían una relación polémica con la silueta histórica de Milán. No copiaba una torre medieval, pero tampoco aceptaba que ser moderno significara olvidar el lugar. Ernesto Nathan Rogers formularía esa postura mediante la idea de las preexistencias ambientales: cada proyecto nuevo ingresa en una conversación que ya ha comenzado.</w:t>
      </w:r>
    </w:p>
    <w:p>
      <w:pPr>
        <w:pStyle w:val="BodyText"/>
      </w:pPr>
      <w:r>
        <w:rPr>
          <w:rFonts w:ascii="Times New Roman" w:hAnsi="Times New Roman" w:eastAsia="Times New Roman"/>
        </w:rPr>
        <w:t xml:space="preserve">Pirelli y Velasca no son versiones correcta e incorrecta de lo moderno. Son dos respuestas a una misma pregunta. Una imagina el futuro mediante abstracción técnica y continuidad corporativa; la otra busca construirlo a partir de la memoria urbana. Entre ambas se reconoce la condición central del diseño italiano: su modernidad no logró —ni quiso— desprenderse por completo de la historia.</w:t>
      </w:r>
    </w:p>
    <w:p>
      <w:pPr>
        <w:pStyle w:val="BodyText"/>
      </w:pPr>
      <w:r>
        <w:rPr>
          <w:rFonts w:ascii="Times New Roman" w:hAnsi="Times New Roman" w:eastAsia="Times New Roman"/>
        </w:rPr>
        <w:t xml:space="preserve">El urbanismo revela también la desigualdad que los objetos icónicos pueden ocultar. El crecimiento industrial atrajo a cientos de miles de migrantes del sur hacia las ciudades septentrionales; la vivienda y los servicios no siempre siguieron el ritmo. El diseño más celebrado internacionalmente convivió con periferias precarias, desequilibrios regionales y conflictos laborales. La belleza de una silla no representa por sí sola la experiencia de una sociedad. Sin embargo, esos contrastes forman parte del fenómeno y explican por qué, al final de los sesenta, una nueva generación desconfiaría de la armonía prometida.</w:t>
      </w:r>
    </w:p>
    <w:p>
      <w:pPr>
        <w:pStyle w:val="ImageCallout"/>
      </w:pPr>
      <w:r>
        <w:rPr>
          <w:bCs/>
          <w:rFonts w:ascii="Times New Roman" w:hAnsi="Times New Roman" w:eastAsia="Times New Roman"/>
          <w:b w:val="0"/>
          <w:i/>
          <w:sz w:val="17"/>
        </w:rPr>
        <w:t xml:space="preserve">[Imagen 9. Barrio INA-Casa y conjunto de Ivrea: vivienda pública y ciudad industrial como escalas sociales del proyecto. Fuentes sugeridas: Ministero della Cultura de Italia y UNESCO.]</w:t>
      </w:r>
    </w:p>
    <w:p>
      <w:pPr>
        <w:pStyle w:val="ImageCallout"/>
      </w:pPr>
      <w:r>
        <w:rPr>
          <w:bCs/>
          <w:rFonts w:ascii="Times New Roman" w:hAnsi="Times New Roman" w:eastAsia="Times New Roman"/>
          <w:b w:val="0"/>
          <w:i/>
          <w:sz w:val="17"/>
        </w:rPr>
        <w:t xml:space="preserve">[Imagen 10. Torre Pirelli y Torre Velasca, Milán. Dos interpretaciones simultáneas de la modernidad italiana. Fuentes sugeridas: Fondazione Pirelli y Atlante dell’Architettura Contemporanea.]</w:t>
      </w:r>
    </w:p>
    <w:bookmarkEnd w:id="29"/>
    <w:bookmarkStart w:id="30" w:name="X668fece83af225759d9a64f9e3f0fc92cb1c762"/>
    <w:p>
      <w:pPr>
        <w:pStyle w:val="Ttulo2"/>
      </w:pPr>
      <w:r>
        <w:rPr>
          <w:rFonts w:ascii="Times New Roman" w:hAnsi="Times New Roman" w:eastAsia="Times New Roman"/>
        </w:rPr>
        <w:t xml:space="preserve">IX. Italia frente a las otras modernidades</w:t>
      </w:r>
    </w:p>
    <w:p>
      <w:pPr>
        <w:pStyle w:val="FirstParagraph"/>
      </w:pPr>
      <w:r>
        <w:rPr>
          <w:rFonts w:ascii="Times New Roman" w:hAnsi="Times New Roman" w:eastAsia="Times New Roman"/>
        </w:rPr>
        <w:t xml:space="preserve">Mientras Italia reconstruía su identidad, en Estados Unidos se consolidaba el diseño moderno que más tarde sería agrupado bajo el nombre de</w:t>
      </w:r>
      <w:r>
        <w:rPr>
          <w:rFonts w:ascii="Times New Roman" w:hAnsi="Times New Roman" w:eastAsia="Times New Roman"/>
        </w:rPr>
        <w:t xml:space="preserve"> </w:t>
      </w:r>
      <w:r>
        <w:rPr>
          <w:iCs/>
          <w:rFonts w:ascii="Times New Roman" w:hAnsi="Times New Roman" w:eastAsia="Times New Roman"/>
          <w:i/>
        </w:rPr>
        <w:t xml:space="preserve">Mid-Century Modern</w:t>
      </w:r>
      <w:r>
        <w:rPr>
          <w:rFonts w:ascii="Times New Roman" w:hAnsi="Times New Roman" w:eastAsia="Times New Roman"/>
        </w:rPr>
        <w:t xml:space="preserve">. En Escandinavia, la industria negociaba con materiales naturales, bienestar social y tradiciones de oficio. En Japón, la modernización dialogaba con arquitecturas y rituales propios. En Alemania, la Hochschule für Gestaltung de Ulm buscaba someter el diseño a métodos más sistemáticos, información verificable y responsabilidad industrial.</w:t>
      </w:r>
    </w:p>
    <w:p>
      <w:pPr>
        <w:pStyle w:val="BodyText"/>
      </w:pPr>
      <w:r>
        <w:rPr>
          <w:rFonts w:ascii="Times New Roman" w:hAnsi="Times New Roman" w:eastAsia="Times New Roman"/>
        </w:rPr>
        <w:t xml:space="preserve">El diseño italiano compartió con esos contextos la reducción de peso, la atención ergonómica, la producción seriada y el deseo de mejorar la vida cotidiana. No permaneció aislado: importó exposiciones, ideas, tecnologías y referentes; sus revistas hicieron circular proyectos extranjeros y sus empresas participaron en mercados internacionales. Pero las coincidencias no deben ocultar las discrepancias.</w:t>
      </w:r>
    </w:p>
    <w:p>
      <w:pPr>
        <w:pStyle w:val="BodyText"/>
      </w:pPr>
      <w:r>
        <w:rPr>
          <w:rFonts w:ascii="Times New Roman" w:hAnsi="Times New Roman" w:eastAsia="Times New Roman"/>
        </w:rPr>
        <w:t xml:space="preserve">Frente a la domesticidad suburbana estadounidense, Italia trabajó con ciudades densas, viviendas menores y movilidad compacta. Frente a la sobriedad nórdica, aceptó con mayor facilidad el dramatismo, el color y la sensualidad. Frente al método de Ulm, mantuvo un espacio amplio para la intuición, la cultura material y el diálogo informal entre diseñador y empresario. Frente a la noción de un lenguaje universal, insistió en que la historia y el lugar podían seguir actuando dentro de lo moderno.</w:t>
      </w:r>
    </w:p>
    <w:p>
      <w:pPr>
        <w:pStyle w:val="BodyText"/>
      </w:pPr>
      <w:r>
        <w:rPr>
          <w:rFonts w:ascii="Times New Roman" w:hAnsi="Times New Roman" w:eastAsia="Times New Roman"/>
        </w:rPr>
        <w:t xml:space="preserve">No existe por ello una forma italiana única. La continuidad fluida de la Cisitalia, la delgadez de la Superleggera, el volumen acogedor de la Lady, el mecanismo visible de la Arco y el grafismo de Pucci no pertenecen a una misma gramática geométrica. Lo que comparten es una actitud: la función debe ser comprensible, pero también capaz de producir identificación, placer y memoria.</w:t>
      </w:r>
    </w:p>
    <w:p>
      <w:pPr>
        <w:pStyle w:val="BodyText"/>
      </w:pPr>
      <w:r>
        <w:rPr>
          <w:rFonts w:ascii="Times New Roman" w:hAnsi="Times New Roman" w:eastAsia="Times New Roman"/>
        </w:rPr>
        <w:t xml:space="preserve">Vista desde fuera de Europa y Estados Unidos, la expansión de esta estética plantea otra pregunta. América Latina, Asia y otros territorios recibieron el diseño italiano mediante automóviles, electrodomésticos, revistas, licencias, copias y aspiraciones urbanas. Esos objetos no llegaron a contextos equivalentes al</w:t>
      </w:r>
      <w:r>
        <w:rPr>
          <w:rFonts w:ascii="Times New Roman" w:hAnsi="Times New Roman" w:eastAsia="Times New Roman"/>
        </w:rPr>
        <w:t xml:space="preserve"> </w:t>
      </w:r>
      <w:r>
        <w:rPr>
          <w:iCs/>
          <w:rFonts w:ascii="Times New Roman" w:hAnsi="Times New Roman" w:eastAsia="Times New Roman"/>
          <w:i/>
        </w:rPr>
        <w:t xml:space="preserve">miracolo economico</w:t>
      </w:r>
      <w:r>
        <w:rPr>
          <w:rFonts w:ascii="Times New Roman" w:hAnsi="Times New Roman" w:eastAsia="Times New Roman"/>
        </w:rPr>
        <w:t xml:space="preserve">. Podían representar progreso incluso cuando las infraestructuras y los ingresos hacían imposible generalizar el modo de vida que prometían. La italianidad exportada funcionó como repertorio adaptable y también como jerarquía cultural.</w:t>
      </w:r>
    </w:p>
    <w:p>
      <w:pPr>
        <w:pStyle w:val="BodyText"/>
      </w:pPr>
      <w:r>
        <w:rPr>
          <w:rFonts w:ascii="Times New Roman" w:hAnsi="Times New Roman" w:eastAsia="Times New Roman"/>
        </w:rPr>
        <w:t xml:space="preserve">La mirada exoitaliana permite reconocer que “Made in Italy” nunca describió solamente un lugar de fabricación. Nombró una expectativa sobre la forma y enseñó a consumidores de otros países a atribuir a Italia sensualidad, ingenio y buen gusto. Esa lectura internacional reforzó ciertas cualidades y desplazó otras: celebró al autor, el objeto y el estilo, mientras volvía menos visibles las cadenas productivas, la participación de técnicos y obreros, y las diferencias entre el norte industrial y el sur.</w:t>
      </w:r>
    </w:p>
    <w:bookmarkEnd w:id="30"/>
    <w:bookmarkStart w:id="31" w:name="x-el-canon-el-consumo-y-sus-exclusiones"/>
    <w:p>
      <w:pPr>
        <w:pStyle w:val="Ttulo2"/>
      </w:pPr>
      <w:r>
        <w:rPr>
          <w:rFonts w:ascii="Times New Roman" w:hAnsi="Times New Roman" w:eastAsia="Times New Roman"/>
        </w:rPr>
        <w:t xml:space="preserve">X. El canon, el consumo y sus exclusiones</w:t>
      </w:r>
    </w:p>
    <w:p>
      <w:pPr>
        <w:pStyle w:val="FirstParagraph"/>
      </w:pPr>
      <w:r>
        <w:rPr>
          <w:rFonts w:ascii="Times New Roman" w:hAnsi="Times New Roman" w:eastAsia="Times New Roman"/>
        </w:rPr>
        <w:t xml:space="preserve">La historiografía heroica reúne una constelación de apellidos: Ponti, Nizzoli, Zanuso, Castiglioni, Giacosa, D’Ascanio, Pinin Farina. Sus aportaciones son reales, pero el formato de autoría tiende a comprimir redes completas en una firma. Una silla producida por Cassina contiene el trabajo del proyectista, el conocimiento de los ebanistas, las decisiones empresariales, los ensayos de resistencia y una tradición regional. La forma final permite reconocer un nombre; la historia crítica debe restituir la colaboración.</w:t>
      </w:r>
    </w:p>
    <w:p>
      <w:pPr>
        <w:pStyle w:val="BodyText"/>
      </w:pPr>
      <w:r>
        <w:rPr>
          <w:rFonts w:ascii="Times New Roman" w:hAnsi="Times New Roman" w:eastAsia="Times New Roman"/>
        </w:rPr>
        <w:t xml:space="preserve">El canon también confunde con facilidad reconocimiento y acceso. Muchas piezas que representan el diseño italiano ante los museos nunca fueron objetos populares. La Superleggera aspiraba a la máxima eficiencia material, pero no por ello estuvo al alcance de todas las familias. La Arco resolvía brillantemente un problema espacial, pero pertenecía a interiores capaces de alojar su base de mármol, su gran radio y su precio. El diseño democrático no se define por la pureza de la intención, sino por las condiciones efectivas de adquisición y uso.</w:t>
      </w:r>
    </w:p>
    <w:p>
      <w:pPr>
        <w:pStyle w:val="BodyText"/>
      </w:pPr>
      <w:r>
        <w:rPr>
          <w:rFonts w:ascii="Times New Roman" w:hAnsi="Times New Roman" w:eastAsia="Times New Roman"/>
        </w:rPr>
        <w:t xml:space="preserve">En cambio, Vespa, Lambretta, Fiat, Olivetti y ciertos electrodomésticos encontraron públicos más amplios, aunque de manera gradual y desigual. El pago a plazos, el aumento salarial y la producción masiva ampliaron el acceso. El consumo se convirtió en prueba privada de que la reconstrucción había funcionado. Poseer un scooter, un refrigerador o un automóvil no significaba únicamente disponer de una herramienta: significaba haber ingresado en el presente.</w:t>
      </w:r>
    </w:p>
    <w:p>
      <w:pPr>
        <w:pStyle w:val="BodyText"/>
      </w:pPr>
      <w:r>
        <w:rPr>
          <w:rFonts w:ascii="Times New Roman" w:hAnsi="Times New Roman" w:eastAsia="Times New Roman"/>
        </w:rPr>
        <w:t xml:space="preserve">Esa asociación explica tanto la potencia como el agotamiento del modelo. Si el objeto otorga identidad, la identidad puede volverse dependiente de la compra. Si la industria promete libertad mediante productos, cada libertad puede transformarse en mercado. El diseño italiano había humanizado la máquina, pero la sociedad de consumo comenzaba a mercantilizar las emociones que esa humanización hacía posibles.</w:t>
      </w:r>
    </w:p>
    <w:p>
      <w:pPr>
        <w:pStyle w:val="BodyText"/>
      </w:pPr>
      <w:r>
        <w:rPr>
          <w:rFonts w:ascii="Times New Roman" w:hAnsi="Times New Roman" w:eastAsia="Times New Roman"/>
        </w:rPr>
        <w:t xml:space="preserve">Las exclusiones fueron territoriales, económicas y de género. El norte concentró buena parte de los beneficios industriales; el sur apareció con frecuencia como reserva de mano de obra o imagen de tradición. Las mujeres participaron como trabajadoras, usuarias, empresarias y creadoras, pero el relato canónico privilegió autores masculinos. Los cuerpos presentados por la publicidad como destinatarios del bienestar no representaban toda la diversidad social. La italianidad fue una esperanza compartida de forma desigual.</w:t>
      </w:r>
    </w:p>
    <w:p>
      <w:pPr>
        <w:pStyle w:val="BodyText"/>
      </w:pPr>
      <w:r>
        <w:rPr>
          <w:rFonts w:ascii="Times New Roman" w:hAnsi="Times New Roman" w:eastAsia="Times New Roman"/>
        </w:rPr>
        <w:t xml:space="preserve">Reconocer estas contradicciones no reduce el logro creativo. Le devuelve espesor histórico. La Vespa puede ampliar la autonomía de Livia y, al mismo tiempo, funcionar dentro de una publicidad que estiliza su cuerpo. Olivetti puede construir un proyecto laboral avanzado sin dejar de ser empresa. INA-Casa puede mejorar el estándar de vivienda y producir barrios discutibles. El pensamiento creativo evoluciona no cuando resuelve para siempre una contradicción, sino cuando aprende a trabajar conscientemente con ella.</w:t>
      </w:r>
    </w:p>
    <w:bookmarkEnd w:id="31"/>
    <w:bookmarkStart w:id="32" w:name="xi-1968-la-confianza-se-interrumpe"/>
    <w:p>
      <w:pPr>
        <w:pStyle w:val="Ttulo2"/>
      </w:pPr>
      <w:r>
        <w:rPr>
          <w:rFonts w:ascii="Times New Roman" w:hAnsi="Times New Roman" w:eastAsia="Times New Roman"/>
        </w:rPr>
        <w:t xml:space="preserve">XI. 1968: la confianza se interrumpe</w:t>
      </w:r>
    </w:p>
    <w:p>
      <w:pPr>
        <w:pStyle w:val="FirstParagraph"/>
      </w:pPr>
      <w:r>
        <w:rPr>
          <w:rFonts w:ascii="Times New Roman" w:hAnsi="Times New Roman" w:eastAsia="Times New Roman"/>
        </w:rPr>
        <w:t xml:space="preserve">En 1968, la XIV Triennale de Milán debía abrir bajo el título</w:t>
      </w:r>
      <w:r>
        <w:rPr>
          <w:rFonts w:ascii="Times New Roman" w:hAnsi="Times New Roman" w:eastAsia="Times New Roman"/>
        </w:rPr>
        <w:t xml:space="preserve"> </w:t>
      </w:r>
      <w:r>
        <w:rPr>
          <w:iCs/>
          <w:rFonts w:ascii="Times New Roman" w:hAnsi="Times New Roman" w:eastAsia="Times New Roman"/>
          <w:i/>
        </w:rPr>
        <w:t xml:space="preserve">Il grande numero</w:t>
      </w:r>
      <w:r>
        <w:rPr>
          <w:rFonts w:ascii="Times New Roman" w:hAnsi="Times New Roman" w:eastAsia="Times New Roman"/>
        </w:rPr>
        <w:t xml:space="preserve">. Su tema era la sociedad de masas, justamente el mundo que el diseño de posguerra había ayudado a construir. El día de la inauguración, estudiantes, artistas y activistas ocuparon la exposición. El episodio no creó de la nada la crisis del diseño, pero la volvió imposible de ignorar.</w:t>
      </w:r>
    </w:p>
    <w:p>
      <w:pPr>
        <w:pStyle w:val="BodyText"/>
      </w:pPr>
      <w:r>
        <w:rPr>
          <w:rFonts w:ascii="Times New Roman" w:hAnsi="Times New Roman" w:eastAsia="Times New Roman"/>
        </w:rPr>
        <w:t xml:space="preserve">Para una nueva generación, la alianza entre industria, cultura y bienestar ya no podía aceptarse como evidencia de progreso. Los objetos bellos podían suavizar la vida y también legitimar el consumo; las empresas podían financiar investigación y controlar comportamientos; la modernización podía liberar del pasado y producir nuevas formas de alienación. La pregunta dejó de ser solamente cómo diseñar mejor y comenzó a ser si el diseñador debía seguir produciendo objetos para el mismo sistema.</w:t>
      </w:r>
    </w:p>
    <w:p>
      <w:pPr>
        <w:pStyle w:val="BodyText"/>
      </w:pPr>
      <w:r>
        <w:rPr>
          <w:rFonts w:ascii="Times New Roman" w:hAnsi="Times New Roman" w:eastAsia="Times New Roman"/>
        </w:rPr>
        <w:t xml:space="preserve">Allí conviene detener este capítulo. El diseño radical, el antidiseño y las posteriores exploraciones posmodernas no son el desenlace inevitable de la italianidad de posguerra, pero sí su impugnación. Heredarán su libertad material, su capacidad escénica y su comprensión del objeto como portador de significado. Cambiarán, sin embargo, el signo de la esperanza. Donde la generación de Livia veía una forma de reconstruir la vida, la siguiente comenzará a sospechar que esa forma también puede encerrarla.</w:t>
      </w:r>
    </w:p>
    <w:bookmarkEnd w:id="32"/>
    <w:bookmarkStart w:id="33" w:name="xii-la-capacidad-adquirida"/>
    <w:p>
      <w:pPr>
        <w:pStyle w:val="Ttulo2"/>
      </w:pPr>
      <w:r>
        <w:rPr>
          <w:rFonts w:ascii="Times New Roman" w:hAnsi="Times New Roman" w:eastAsia="Times New Roman"/>
        </w:rPr>
        <w:t xml:space="preserve">XII. La capacidad adquirida</w:t>
      </w:r>
    </w:p>
    <w:p>
      <w:pPr>
        <w:pStyle w:val="FirstParagraph"/>
      </w:pPr>
      <w:r>
        <w:rPr>
          <w:rFonts w:ascii="Times New Roman" w:hAnsi="Times New Roman" w:eastAsia="Times New Roman"/>
        </w:rPr>
        <w:t xml:space="preserve">El diseño italiano de posguerra no inventó la belleza industrial ni fue el único que reconcilió oficio y máquina. Su aportación específica consistió en demostrar que una nación podía reconstruir su identidad haciendo de los objetos mediadores entre tecnología, historia y deseo.</w:t>
      </w:r>
    </w:p>
    <w:p>
      <w:pPr>
        <w:pStyle w:val="BodyText"/>
      </w:pPr>
      <w:r>
        <w:rPr>
          <w:rFonts w:ascii="Times New Roman" w:hAnsi="Times New Roman" w:eastAsia="Times New Roman"/>
        </w:rPr>
        <w:t xml:space="preserve">La transformación ocurrió en tres planos inseparables. Cambió lo que el objeto podía ser: ya no una herramienta neutral ni una mercancía revestida, sino una extensión de la persona y una pieza activa de la vida social. Cambió la manera de conocer y producir: el proyecto dejó de pertenecer exclusivamente al dibujante y se volvió conversación entre industria, taller, crítica, exposición y usuario. Cambió, finalmente, la experiencia cotidiana: conducir, escribir, sentarse, iluminar, vestirse o viajar adquirieron una dimensión sensible capaz de hacer visible la recuperación colectiva.</w:t>
      </w:r>
    </w:p>
    <w:p>
      <w:pPr>
        <w:pStyle w:val="BodyText"/>
      </w:pPr>
      <w:r>
        <w:rPr>
          <w:rFonts w:ascii="Times New Roman" w:hAnsi="Times New Roman" w:eastAsia="Times New Roman"/>
        </w:rPr>
        <w:t xml:space="preserve">La capacidad nueva fue aprender a transmutar. Un conocimiento aeronáutico podía proteger las piernas de Livia; una tipología artesanal podía convertirse en la silla más ligera; una fábrica podía ensayar una ciudad; un automóvil mínimo podía contener la idea de vacaciones; un pañuelo podía hacer que una mujer se imaginara distinta. La creatividad no operó como ruptura absoluta con lo anterior, sino como libertad para cambiar su destino.</w:t>
      </w:r>
    </w:p>
    <w:p>
      <w:pPr>
        <w:pStyle w:val="BodyText"/>
      </w:pPr>
      <w:r>
        <w:rPr>
          <w:rFonts w:ascii="Times New Roman" w:hAnsi="Times New Roman" w:eastAsia="Times New Roman"/>
        </w:rPr>
        <w:t xml:space="preserve">Esta es la sutura italiana. No cerró la herida entre arte e industria eliminando sus bordes. Los mantuvo en contacto. Permitió que la precisión técnica conservara huellas del oficio, que la serie admitiera carácter, que la tradición ingresara en el presente sin disfrazarse de pasado y que la necesidad pudiera producir placer.</w:t>
      </w:r>
    </w:p>
    <w:p>
      <w:pPr>
        <w:pStyle w:val="BodyText"/>
      </w:pPr>
      <w:r>
        <w:rPr>
          <w:rFonts w:ascii="Times New Roman" w:hAnsi="Times New Roman" w:eastAsia="Times New Roman"/>
        </w:rPr>
        <w:t xml:space="preserve">Livia no conocía esa genealogía cuando condujo a su madre hasta el concesionario. No necesitaba conocerla. El diseño ya estaba actuando sobre ambas: en la postura que la Vespa permitía, en la ligereza de una silla, en el nombre escrito sobre una hoja y en la posibilidad de imaginar un automóvil antes de poder comprarlo.</w:t>
      </w:r>
    </w:p>
    <w:p>
      <w:pPr>
        <w:pStyle w:val="BodyText"/>
      </w:pPr>
      <w:r>
        <w:rPr>
          <w:rFonts w:ascii="Times New Roman" w:hAnsi="Times New Roman" w:eastAsia="Times New Roman"/>
        </w:rPr>
        <w:t xml:space="preserve">La evolución del pensamiento creativo se vuelve visible en ese instante. Italia había dejado de preguntarse únicamente cómo sobrevivir a la destrucción.</w:t>
      </w:r>
    </w:p>
    <w:p>
      <w:pPr>
        <w:pStyle w:val="BodyText"/>
      </w:pPr>
      <w:r>
        <w:rPr>
          <w:rFonts w:ascii="Times New Roman" w:hAnsi="Times New Roman" w:eastAsia="Times New Roman"/>
        </w:rPr>
        <w:t xml:space="preserve">Comenzaba a decidir cómo quería volver a vivir.</w:t>
      </w:r>
    </w:p>
    <w:bookmarkEnd w:id="33"/>
    <w:bookmarkEnd w:id="34"/>
    <w:bookmarkStart w:id="35" w:name="notas"/>
    <w:p>
      <w:pPr>
        <w:pStyle w:val="Ttulo1"/>
        <w:pageBreakBefore/>
      </w:pPr>
      <w:r>
        <w:rPr>
          <w:rFonts w:ascii="Times New Roman" w:hAnsi="Times New Roman" w:eastAsia="Times New Roman"/>
        </w:rPr>
        <w:t xml:space="preserve">Notas</w:t>
      </w:r>
    </w:p>
    <w:p>
      <w:pPr>
        <w:numPr>
          <w:ilvl w:val="0"/>
          <w:numId w:val="1001"/>
        </w:numPr>
        <w:spacing w:lineRule="exact" w:line="230" w:after="140"/>
        <w:ind w:firstLine="0"/>
      </w:pPr>
      <w:r>
        <w:rPr>
          <w:rFonts w:ascii="Times New Roman" w:hAnsi="Times New Roman" w:eastAsia="Times New Roman"/>
          <w:sz w:val="18"/>
        </w:rPr>
        <w:t xml:space="preserve">El Compasso d’Oro fue instituido en 1954 a partir de una iniciativa vinculada con Gio Ponti y La Rinascente. La ADI, fundada en 1956, asumió posteriormente su organización. Véase ADI Design Museum, “Premio Compasso d’Oro”.</w:t>
      </w:r>
    </w:p>
    <w:p>
      <w:pPr>
        <w:numPr>
          <w:ilvl w:val="0"/>
          <w:numId w:val="1001"/>
        </w:numPr>
        <w:spacing w:lineRule="exact" w:line="230" w:after="140"/>
        <w:ind w:firstLine="0"/>
      </w:pPr>
      <w:r>
        <w:rPr>
          <w:iCs/>
          <w:rFonts w:ascii="Times New Roman" w:hAnsi="Times New Roman" w:eastAsia="Times New Roman"/>
          <w:i/>
          <w:sz w:val="18"/>
        </w:rPr>
        <w:t xml:space="preserve">Italy at Work: Her Renaissance in Design Today</w:t>
      </w:r>
      <w:r>
        <w:rPr>
          <w:rFonts w:ascii="Times New Roman" w:hAnsi="Times New Roman" w:eastAsia="Times New Roman"/>
          <w:sz w:val="18"/>
        </w:rPr>
        <w:t xml:space="preserve"> </w:t>
      </w:r>
      <w:r>
        <w:rPr>
          <w:rFonts w:ascii="Times New Roman" w:hAnsi="Times New Roman" w:eastAsia="Times New Roman"/>
          <w:sz w:val="18"/>
        </w:rPr>
        <w:t xml:space="preserve">abrió en el Brooklyn Museum el 30 de noviembre de 1950 y circuló por doce sedes estadounidenses durante los años siguientes. El museo conserva más de doscientas piezas procedentes de aquella muestra.</w:t>
      </w:r>
    </w:p>
    <w:p>
      <w:pPr>
        <w:numPr>
          <w:ilvl w:val="0"/>
          <w:numId w:val="1001"/>
        </w:numPr>
        <w:spacing w:lineRule="exact" w:line="230" w:after="140"/>
        <w:ind w:firstLine="0"/>
      </w:pPr>
      <w:r>
        <w:rPr>
          <w:rFonts w:ascii="Times New Roman" w:hAnsi="Times New Roman" w:eastAsia="Times New Roman"/>
          <w:sz w:val="18"/>
        </w:rPr>
        <w:t xml:space="preserve">La Cisitalia 202 participó en la exposición</w:t>
      </w:r>
      <w:r>
        <w:rPr>
          <w:rFonts w:ascii="Times New Roman" w:hAnsi="Times New Roman" w:eastAsia="Times New Roman"/>
          <w:sz w:val="18"/>
        </w:rPr>
        <w:t xml:space="preserve"> </w:t>
      </w:r>
      <w:r>
        <w:rPr>
          <w:iCs/>
          <w:rFonts w:ascii="Times New Roman" w:hAnsi="Times New Roman" w:eastAsia="Times New Roman"/>
          <w:i/>
          <w:sz w:val="18"/>
        </w:rPr>
        <w:t xml:space="preserve">Eight Automobiles</w:t>
      </w:r>
      <w:r>
        <w:rPr>
          <w:rFonts w:ascii="Times New Roman" w:hAnsi="Times New Roman" w:eastAsia="Times New Roman"/>
          <w:sz w:val="18"/>
        </w:rPr>
        <w:t xml:space="preserve"> </w:t>
      </w:r>
      <w:r>
        <w:rPr>
          <w:rFonts w:ascii="Times New Roman" w:hAnsi="Times New Roman" w:eastAsia="Times New Roman"/>
          <w:sz w:val="18"/>
        </w:rPr>
        <w:t xml:space="preserve">del MoMA en 1951. Fue el primer automóvil incorporado a la colección del museo, adquisición formalizada en 1972.</w:t>
      </w:r>
    </w:p>
    <w:p>
      <w:pPr>
        <w:numPr>
          <w:ilvl w:val="0"/>
          <w:numId w:val="1001"/>
        </w:numPr>
        <w:spacing w:lineRule="exact" w:line="230" w:after="140"/>
        <w:ind w:firstLine="0"/>
      </w:pPr>
      <w:r>
        <w:rPr>
          <w:rFonts w:ascii="Times New Roman" w:hAnsi="Times New Roman" w:eastAsia="Times New Roman"/>
          <w:sz w:val="18"/>
        </w:rPr>
        <w:t xml:space="preserve">UNESCO inscribió en 2018 “Ivrea, ciudad industrial del siglo XX” como testimonio del proyecto industrial y sociocultural desarrollado alrededor de Olivetti y de la relación moderna entre producción, arquitectura y servicios sociales.</w:t>
      </w:r>
    </w:p>
    <w:p>
      <w:pPr>
        <w:numPr>
          <w:ilvl w:val="0"/>
          <w:numId w:val="1001"/>
        </w:numPr>
        <w:spacing w:lineRule="exact" w:line="230" w:after="140"/>
        <w:ind w:firstLine="0"/>
      </w:pPr>
      <w:r>
        <w:rPr>
          <w:rFonts w:ascii="Times New Roman" w:hAnsi="Times New Roman" w:eastAsia="Times New Roman"/>
          <w:sz w:val="18"/>
        </w:rPr>
        <w:t xml:space="preserve">El desfile organizado por Giovanni Battista Giorgini en Villa Torrigiani tuvo lugar el 12 de febrero de 1951. Las presentaciones pasaron en 1952 a la Sala Bianca del Palazzo Pitti, en Florencia.</w:t>
      </w:r>
    </w:p>
    <w:p>
      <w:pPr>
        <w:numPr>
          <w:ilvl w:val="0"/>
          <w:numId w:val="1001"/>
        </w:numPr>
        <w:spacing w:lineRule="exact" w:line="230" w:after="140"/>
        <w:ind w:firstLine="0"/>
      </w:pPr>
      <w:r>
        <w:rPr>
          <w:rFonts w:ascii="Times New Roman" w:hAnsi="Times New Roman" w:eastAsia="Times New Roman"/>
          <w:sz w:val="18"/>
        </w:rPr>
        <w:t xml:space="preserve">El Plan INA-Casa funcionó entre 1949 y 1963. Las fuentes institucionales italianas registran aproximadamente 355 000 viviendas construidas a lo largo de sus dos ciclos.</w:t>
      </w:r>
    </w:p>
    <w:p>
      <w:pPr>
        <w:numPr>
          <w:ilvl w:val="0"/>
          <w:numId w:val="1001"/>
        </w:numPr>
        <w:spacing w:lineRule="exact" w:line="230" w:after="140"/>
        <w:ind w:firstLine="0"/>
      </w:pPr>
      <w:r>
        <w:rPr>
          <w:rFonts w:ascii="Times New Roman" w:hAnsi="Times New Roman" w:eastAsia="Times New Roman"/>
          <w:sz w:val="18"/>
        </w:rPr>
        <w:t xml:space="preserve">La primera piedra de la Torre Pirelli se colocó en julio de 1956 y el edificio se inauguró el 4 de abril de 1960. Gio Ponti y Giuseppe Valtolina encabezaron el proyecto con la participación de Pier Luigi Nervi, Arturo Danusso y otros especialistas.</w:t>
      </w:r>
    </w:p>
    <w:bookmarkEnd w:id="35"/>
    <w:bookmarkStart w:id="46" w:name="bibliografía"/>
    <w:p>
      <w:pPr>
        <w:pStyle w:val="Ttulo1"/>
        <w:pageBreakBefore/>
      </w:pPr>
      <w:r>
        <w:rPr>
          <w:rFonts w:ascii="Times New Roman" w:hAnsi="Times New Roman" w:eastAsia="Times New Roman"/>
        </w:rPr>
        <w:t xml:space="preserve">Bibliografía</w:t>
      </w:r>
    </w:p>
    <w:p>
      <w:pPr>
        <w:pStyle w:val="FirstParagraph"/>
        <w:spacing w:lineRule="exact" w:line="230" w:after="140"/>
        <w:ind w:left="255" w:firstLine="0"/>
      </w:pPr>
      <w:r>
        <w:rPr>
          <w:rFonts w:ascii="Times New Roman" w:hAnsi="Times New Roman" w:eastAsia="Times New Roman"/>
          <w:sz w:val="18"/>
        </w:rPr>
        <w:t xml:space="preserve">Ambasz, Emilio, ed.</w:t>
      </w:r>
      <w:r>
        <w:rPr>
          <w:rFonts w:ascii="Times New Roman" w:hAnsi="Times New Roman" w:eastAsia="Times New Roman"/>
          <w:sz w:val="18"/>
        </w:rPr>
        <w:t xml:space="preserve"> </w:t>
      </w:r>
      <w:r>
        <w:rPr>
          <w:iCs/>
          <w:rFonts w:ascii="Times New Roman" w:hAnsi="Times New Roman" w:eastAsia="Times New Roman"/>
          <w:i/>
          <w:sz w:val="18"/>
        </w:rPr>
        <w:t xml:space="preserve">Italy: The New Domestic Landscape. Achievements and Problems of Italian Design</w:t>
      </w:r>
      <w:r>
        <w:rPr>
          <w:rFonts w:ascii="Times New Roman" w:hAnsi="Times New Roman" w:eastAsia="Times New Roman"/>
          <w:sz w:val="18"/>
        </w:rPr>
        <w:t xml:space="preserve">. Nueva York: Museum of Modern Art; Florencia: Centro Di, 1972.</w:t>
      </w:r>
    </w:p>
    <w:p>
      <w:pPr>
        <w:pStyle w:val="BodyText"/>
        <w:spacing w:lineRule="exact" w:line="230" w:after="140"/>
        <w:ind w:left="255" w:hanging="255"/>
      </w:pPr>
      <w:r>
        <w:rPr>
          <w:rFonts w:ascii="Times New Roman" w:hAnsi="Times New Roman" w:eastAsia="Times New Roman"/>
          <w:sz w:val="18"/>
        </w:rPr>
        <w:t xml:space="preserve">Branzi, Andrea.</w:t>
      </w:r>
      <w:r>
        <w:rPr>
          <w:rFonts w:ascii="Times New Roman" w:hAnsi="Times New Roman" w:eastAsia="Times New Roman"/>
          <w:sz w:val="18"/>
        </w:rPr>
        <w:t xml:space="preserve"> </w:t>
      </w:r>
      <w:r>
        <w:rPr>
          <w:iCs/>
          <w:rFonts w:ascii="Times New Roman" w:hAnsi="Times New Roman" w:eastAsia="Times New Roman"/>
          <w:i/>
          <w:sz w:val="18"/>
        </w:rPr>
        <w:t xml:space="preserve">The Hot House: Italian New Wave Design</w:t>
      </w:r>
      <w:r>
        <w:rPr>
          <w:rFonts w:ascii="Times New Roman" w:hAnsi="Times New Roman" w:eastAsia="Times New Roman"/>
          <w:sz w:val="18"/>
        </w:rPr>
        <w:t xml:space="preserve">. Londres: Thames &amp; Hudson, 1984.</w:t>
      </w:r>
    </w:p>
    <w:p>
      <w:pPr>
        <w:pStyle w:val="BodyText"/>
        <w:spacing w:lineRule="exact" w:line="230" w:after="140"/>
        <w:ind w:left="255" w:hanging="255"/>
      </w:pPr>
      <w:r>
        <w:rPr>
          <w:rFonts w:ascii="Times New Roman" w:hAnsi="Times New Roman" w:eastAsia="Times New Roman"/>
          <w:sz w:val="18"/>
        </w:rPr>
        <w:t xml:space="preserve">Coles, Alex, ed.</w:t>
      </w:r>
      <w:r>
        <w:rPr>
          <w:rFonts w:ascii="Times New Roman" w:hAnsi="Times New Roman" w:eastAsia="Times New Roman"/>
          <w:sz w:val="18"/>
        </w:rPr>
        <w:t xml:space="preserve"> </w:t>
      </w:r>
      <w:r>
        <w:rPr>
          <w:iCs/>
          <w:rFonts w:ascii="Times New Roman" w:hAnsi="Times New Roman" w:eastAsia="Times New Roman"/>
          <w:i/>
          <w:sz w:val="18"/>
        </w:rPr>
        <w:t xml:space="preserve">DesignArt</w:t>
      </w:r>
      <w:r>
        <w:rPr>
          <w:rFonts w:ascii="Times New Roman" w:hAnsi="Times New Roman" w:eastAsia="Times New Roman"/>
          <w:sz w:val="18"/>
        </w:rPr>
        <w:t xml:space="preserve">. Londres: Tate Publishing, 2005.</w:t>
      </w:r>
    </w:p>
    <w:p>
      <w:pPr>
        <w:pStyle w:val="BodyText"/>
        <w:spacing w:lineRule="exact" w:line="230" w:after="140"/>
        <w:ind w:left="255" w:hanging="255"/>
      </w:pPr>
      <w:r>
        <w:rPr>
          <w:rFonts w:ascii="Times New Roman" w:hAnsi="Times New Roman" w:eastAsia="Times New Roman"/>
          <w:sz w:val="18"/>
        </w:rPr>
        <w:t xml:space="preserve">De Fusco, Renato.</w:t>
      </w:r>
      <w:r>
        <w:rPr>
          <w:rFonts w:ascii="Times New Roman" w:hAnsi="Times New Roman" w:eastAsia="Times New Roman"/>
          <w:sz w:val="18"/>
        </w:rPr>
        <w:t xml:space="preserve"> </w:t>
      </w:r>
      <w:r>
        <w:rPr>
          <w:iCs/>
          <w:rFonts w:ascii="Times New Roman" w:hAnsi="Times New Roman" w:eastAsia="Times New Roman"/>
          <w:i/>
          <w:sz w:val="18"/>
        </w:rPr>
        <w:t xml:space="preserve">Storia del design</w:t>
      </w:r>
      <w:r>
        <w:rPr>
          <w:rFonts w:ascii="Times New Roman" w:hAnsi="Times New Roman" w:eastAsia="Times New Roman"/>
          <w:sz w:val="18"/>
        </w:rPr>
        <w:t xml:space="preserve">. Roma-Bari: Laterza, 1985.</w:t>
      </w:r>
    </w:p>
    <w:p>
      <w:pPr>
        <w:pStyle w:val="BodyText"/>
        <w:spacing w:lineRule="exact" w:line="230" w:after="140"/>
        <w:ind w:left="255" w:hanging="255"/>
      </w:pPr>
      <w:r>
        <w:rPr>
          <w:rFonts w:ascii="Times New Roman" w:hAnsi="Times New Roman" w:eastAsia="Times New Roman"/>
          <w:sz w:val="18"/>
        </w:rPr>
        <w:t xml:space="preserve">Fallan, Kjetil, y Grace Lees-Maffei, eds.</w:t>
      </w:r>
      <w:r>
        <w:rPr>
          <w:rFonts w:ascii="Times New Roman" w:hAnsi="Times New Roman" w:eastAsia="Times New Roman"/>
          <w:sz w:val="18"/>
        </w:rPr>
        <w:t xml:space="preserve"> </w:t>
      </w:r>
      <w:r>
        <w:rPr>
          <w:iCs/>
          <w:rFonts w:ascii="Times New Roman" w:hAnsi="Times New Roman" w:eastAsia="Times New Roman"/>
          <w:i/>
          <w:sz w:val="18"/>
        </w:rPr>
        <w:t xml:space="preserve">Made in Italy: Rethinking a Century of Italian Design</w:t>
      </w:r>
      <w:r>
        <w:rPr>
          <w:rFonts w:ascii="Times New Roman" w:hAnsi="Times New Roman" w:eastAsia="Times New Roman"/>
          <w:sz w:val="18"/>
        </w:rPr>
        <w:t xml:space="preserve">. Londres: Bloomsbury, 2014.</w:t>
      </w:r>
    </w:p>
    <w:p>
      <w:pPr>
        <w:pStyle w:val="BodyText"/>
        <w:spacing w:lineRule="exact" w:line="230" w:after="140"/>
        <w:ind w:left="255" w:hanging="255"/>
      </w:pPr>
      <w:r>
        <w:rPr>
          <w:rFonts w:ascii="Times New Roman" w:hAnsi="Times New Roman" w:eastAsia="Times New Roman"/>
          <w:sz w:val="18"/>
        </w:rPr>
        <w:t xml:space="preserve">Ginsborg, Paul.</w:t>
      </w:r>
      <w:r>
        <w:rPr>
          <w:rFonts w:ascii="Times New Roman" w:hAnsi="Times New Roman" w:eastAsia="Times New Roman"/>
          <w:sz w:val="18"/>
        </w:rPr>
        <w:t xml:space="preserve"> </w:t>
      </w:r>
      <w:r>
        <w:rPr>
          <w:iCs/>
          <w:rFonts w:ascii="Times New Roman" w:hAnsi="Times New Roman" w:eastAsia="Times New Roman"/>
          <w:i/>
          <w:sz w:val="18"/>
        </w:rPr>
        <w:t xml:space="preserve">A History of Contemporary Italy: Society and Politics, 1943–1988</w:t>
      </w:r>
      <w:r>
        <w:rPr>
          <w:rFonts w:ascii="Times New Roman" w:hAnsi="Times New Roman" w:eastAsia="Times New Roman"/>
          <w:sz w:val="18"/>
        </w:rPr>
        <w:t xml:space="preserve">. Londres: Penguin, 1990.</w:t>
      </w:r>
    </w:p>
    <w:p>
      <w:pPr>
        <w:pStyle w:val="BodyText"/>
        <w:spacing w:lineRule="exact" w:line="230" w:after="140"/>
        <w:ind w:left="255" w:hanging="255"/>
      </w:pPr>
      <w:r>
        <w:rPr>
          <w:rFonts w:ascii="Times New Roman" w:hAnsi="Times New Roman" w:eastAsia="Times New Roman"/>
          <w:sz w:val="18"/>
        </w:rPr>
        <w:t xml:space="preserve">Gregotti, Vittorio.</w:t>
      </w:r>
      <w:r>
        <w:rPr>
          <w:rFonts w:ascii="Times New Roman" w:hAnsi="Times New Roman" w:eastAsia="Times New Roman"/>
          <w:sz w:val="18"/>
        </w:rPr>
        <w:t xml:space="preserve"> </w:t>
      </w:r>
      <w:r>
        <w:rPr>
          <w:iCs/>
          <w:rFonts w:ascii="Times New Roman" w:hAnsi="Times New Roman" w:eastAsia="Times New Roman"/>
          <w:i/>
          <w:sz w:val="18"/>
        </w:rPr>
        <w:t xml:space="preserve">Il disegno del prodotto industriale: Italia 1860–1980</w:t>
      </w:r>
      <w:r>
        <w:rPr>
          <w:rFonts w:ascii="Times New Roman" w:hAnsi="Times New Roman" w:eastAsia="Times New Roman"/>
          <w:sz w:val="18"/>
        </w:rPr>
        <w:t xml:space="preserve">. Milán: Electa, 1982.</w:t>
      </w:r>
    </w:p>
    <w:p>
      <w:pPr>
        <w:pStyle w:val="BodyText"/>
        <w:spacing w:lineRule="exact" w:line="230" w:after="140"/>
        <w:ind w:left="255" w:hanging="255"/>
      </w:pPr>
      <w:r>
        <w:rPr>
          <w:rFonts w:ascii="Times New Roman" w:hAnsi="Times New Roman" w:eastAsia="Times New Roman"/>
          <w:sz w:val="18"/>
        </w:rPr>
        <w:t xml:space="preserve">McDonough, Tom, ed.</w:t>
      </w:r>
      <w:r>
        <w:rPr>
          <w:rFonts w:ascii="Times New Roman" w:hAnsi="Times New Roman" w:eastAsia="Times New Roman"/>
          <w:sz w:val="18"/>
        </w:rPr>
        <w:t xml:space="preserve"> </w:t>
      </w:r>
      <w:r>
        <w:rPr>
          <w:iCs/>
          <w:rFonts w:ascii="Times New Roman" w:hAnsi="Times New Roman" w:eastAsia="Times New Roman"/>
          <w:i/>
          <w:sz w:val="18"/>
        </w:rPr>
        <w:t xml:space="preserve">The Situationists and the City</w:t>
      </w:r>
      <w:r>
        <w:rPr>
          <w:rFonts w:ascii="Times New Roman" w:hAnsi="Times New Roman" w:eastAsia="Times New Roman"/>
          <w:sz w:val="18"/>
        </w:rPr>
        <w:t xml:space="preserve">. Londres: Verso, 2009.</w:t>
      </w:r>
    </w:p>
    <w:p>
      <w:pPr>
        <w:pStyle w:val="BodyText"/>
        <w:spacing w:lineRule="exact" w:line="230" w:after="140"/>
        <w:ind w:left="255" w:hanging="255"/>
      </w:pPr>
      <w:r>
        <w:rPr>
          <w:rFonts w:ascii="Times New Roman" w:hAnsi="Times New Roman" w:eastAsia="Times New Roman"/>
          <w:sz w:val="18"/>
        </w:rPr>
        <w:t xml:space="preserve">Pansera, Anty.</w:t>
      </w:r>
      <w:r>
        <w:rPr>
          <w:rFonts w:ascii="Times New Roman" w:hAnsi="Times New Roman" w:eastAsia="Times New Roman"/>
          <w:sz w:val="18"/>
        </w:rPr>
        <w:t xml:space="preserve"> </w:t>
      </w:r>
      <w:r>
        <w:rPr>
          <w:iCs/>
          <w:rFonts w:ascii="Times New Roman" w:hAnsi="Times New Roman" w:eastAsia="Times New Roman"/>
          <w:i/>
          <w:sz w:val="18"/>
        </w:rPr>
        <w:t xml:space="preserve">Storia del disegno industriale italiano</w:t>
      </w:r>
      <w:r>
        <w:rPr>
          <w:rFonts w:ascii="Times New Roman" w:hAnsi="Times New Roman" w:eastAsia="Times New Roman"/>
          <w:sz w:val="18"/>
        </w:rPr>
        <w:t xml:space="preserve">. Roma-Bari: Laterza, 1993.</w:t>
      </w:r>
    </w:p>
    <w:p>
      <w:pPr>
        <w:pStyle w:val="BodyText"/>
        <w:spacing w:lineRule="exact" w:line="230" w:after="140"/>
        <w:ind w:left="255" w:hanging="255"/>
      </w:pPr>
      <w:r>
        <w:rPr>
          <w:rFonts w:ascii="Times New Roman" w:hAnsi="Times New Roman" w:eastAsia="Times New Roman"/>
          <w:sz w:val="18"/>
        </w:rPr>
        <w:t xml:space="preserve">Rossi, Catharine.</w:t>
      </w:r>
      <w:r>
        <w:rPr>
          <w:rFonts w:ascii="Times New Roman" w:hAnsi="Times New Roman" w:eastAsia="Times New Roman"/>
          <w:sz w:val="18"/>
        </w:rPr>
        <w:t xml:space="preserve"> </w:t>
      </w:r>
      <w:r>
        <w:rPr>
          <w:iCs/>
          <w:rFonts w:ascii="Times New Roman" w:hAnsi="Times New Roman" w:eastAsia="Times New Roman"/>
          <w:i/>
          <w:sz w:val="18"/>
        </w:rPr>
        <w:t xml:space="preserve">Crafting Design in Italy: From Post-War to Postmodernism</w:t>
      </w:r>
      <w:r>
        <w:rPr>
          <w:rFonts w:ascii="Times New Roman" w:hAnsi="Times New Roman" w:eastAsia="Times New Roman"/>
          <w:sz w:val="18"/>
        </w:rPr>
        <w:t xml:space="preserve">. Mánchester: Manchester University Press, 2015.</w:t>
      </w:r>
    </w:p>
    <w:p>
      <w:pPr>
        <w:pStyle w:val="BodyText"/>
        <w:spacing w:lineRule="exact" w:line="230" w:after="140"/>
        <w:ind w:left="255" w:hanging="255"/>
      </w:pPr>
      <w:r>
        <w:rPr>
          <w:rFonts w:ascii="Times New Roman" w:hAnsi="Times New Roman" w:eastAsia="Times New Roman"/>
          <w:sz w:val="18"/>
        </w:rPr>
        <w:t xml:space="preserve">Sparke, Penny.</w:t>
      </w:r>
      <w:r>
        <w:rPr>
          <w:rFonts w:ascii="Times New Roman" w:hAnsi="Times New Roman" w:eastAsia="Times New Roman"/>
          <w:sz w:val="18"/>
        </w:rPr>
        <w:t xml:space="preserve"> </w:t>
      </w:r>
      <w:r>
        <w:rPr>
          <w:iCs/>
          <w:rFonts w:ascii="Times New Roman" w:hAnsi="Times New Roman" w:eastAsia="Times New Roman"/>
          <w:i/>
          <w:sz w:val="18"/>
        </w:rPr>
        <w:t xml:space="preserve">Italian Design: 1870 to the Present</w:t>
      </w:r>
      <w:r>
        <w:rPr>
          <w:rFonts w:ascii="Times New Roman" w:hAnsi="Times New Roman" w:eastAsia="Times New Roman"/>
          <w:sz w:val="18"/>
        </w:rPr>
        <w:t xml:space="preserve">. Londres: Thames &amp; Hudson, 1988.</w:t>
      </w:r>
    </w:p>
    <w:p>
      <w:pPr>
        <w:pStyle w:val="BodyText"/>
        <w:spacing w:lineRule="exact" w:line="230" w:after="140"/>
        <w:ind w:left="255" w:hanging="255"/>
      </w:pPr>
      <w:r>
        <w:rPr>
          <w:rFonts w:ascii="Times New Roman" w:hAnsi="Times New Roman" w:eastAsia="Times New Roman"/>
          <w:sz w:val="18"/>
        </w:rPr>
        <w:t xml:space="preserve">Sparke, Penny.</w:t>
      </w:r>
      <w:r>
        <w:rPr>
          <w:rFonts w:ascii="Times New Roman" w:hAnsi="Times New Roman" w:eastAsia="Times New Roman"/>
          <w:sz w:val="18"/>
        </w:rPr>
        <w:t xml:space="preserve"> </w:t>
      </w:r>
      <w:r>
        <w:rPr>
          <w:iCs/>
          <w:rFonts w:ascii="Times New Roman" w:hAnsi="Times New Roman" w:eastAsia="Times New Roman"/>
          <w:i/>
          <w:sz w:val="18"/>
        </w:rPr>
        <w:t xml:space="preserve">An Introduction to Design and Culture: 1900 to the Present</w:t>
      </w:r>
      <w:r>
        <w:rPr>
          <w:rFonts w:ascii="Times New Roman" w:hAnsi="Times New Roman" w:eastAsia="Times New Roman"/>
          <w:sz w:val="18"/>
        </w:rPr>
        <w:t xml:space="preserve">. Londres: Routledge, ediciones varias.</w:t>
      </w:r>
    </w:p>
    <w:p>
      <w:pPr>
        <w:pStyle w:val="BodyText"/>
        <w:spacing w:lineRule="exact" w:line="230" w:after="140"/>
        <w:ind w:left="255" w:hanging="255"/>
      </w:pPr>
      <w:r>
        <w:rPr>
          <w:rFonts w:ascii="Times New Roman" w:hAnsi="Times New Roman" w:eastAsia="Times New Roman"/>
          <w:sz w:val="18"/>
        </w:rPr>
        <w:t xml:space="preserve">Vitta, Maurizio.</w:t>
      </w:r>
      <w:r>
        <w:rPr>
          <w:rFonts w:ascii="Times New Roman" w:hAnsi="Times New Roman" w:eastAsia="Times New Roman"/>
          <w:sz w:val="18"/>
        </w:rPr>
        <w:t xml:space="preserve"> </w:t>
      </w:r>
      <w:r>
        <w:rPr>
          <w:iCs/>
          <w:rFonts w:ascii="Times New Roman" w:hAnsi="Times New Roman" w:eastAsia="Times New Roman"/>
          <w:i/>
          <w:sz w:val="18"/>
        </w:rPr>
        <w:t xml:space="preserve">Il progetto della bellezza: il design fra arte e tecnica dal 1851 a oggi</w:t>
      </w:r>
      <w:r>
        <w:rPr>
          <w:rFonts w:ascii="Times New Roman" w:hAnsi="Times New Roman" w:eastAsia="Times New Roman"/>
          <w:sz w:val="18"/>
        </w:rPr>
        <w:t xml:space="preserve">. Turín: Einaudi, 2001.</w:t>
      </w:r>
    </w:p>
    <w:bookmarkStart w:id="45" w:name="X294431c80d89e488dea6797e371d9cd59ed616d"/>
    <w:p>
      <w:pPr>
        <w:pStyle w:val="Ttulo2"/>
        <w:spacing w:lineRule="exact" w:line="230" w:after="140"/>
        <w:ind w:left="255" w:hanging="255"/>
      </w:pPr>
      <w:r>
        <w:rPr>
          <w:rFonts w:ascii="Times New Roman" w:hAnsi="Times New Roman" w:eastAsia="Times New Roman"/>
          <w:sz w:val="18"/>
        </w:rPr>
        <w:t xml:space="preserve">Fuentes institucionales y archivos digitales</w:t>
      </w:r>
    </w:p>
    <w:p>
      <w:pPr>
        <w:pStyle w:val="FirstParagraph"/>
        <w:spacing w:lineRule="exact" w:line="230" w:after="140"/>
        <w:ind w:left="255" w:hanging="255"/>
      </w:pPr>
      <w:r>
        <w:rPr>
          <w:rFonts w:ascii="Times New Roman" w:hAnsi="Times New Roman" w:eastAsia="Times New Roman"/>
          <w:sz w:val="18"/>
        </w:rPr>
        <w:t xml:space="preserve">ADI Design Museum. “Premio Compasso d’Oro” y archivo histórico del premio.</w:t>
      </w:r>
      <w:r>
        <w:rPr>
          <w:rFonts w:ascii="Times New Roman" w:hAnsi="Times New Roman" w:eastAsia="Times New Roman"/>
          <w:sz w:val="18"/>
        </w:rPr>
        <w:t xml:space="preserve"> </w:t>
      </w:r>
      <w:hyperlink r:id="rId36">
        <w:r>
          <w:rPr>
            <w:rStyle w:val="Hyperlink"/>
          </w:rPr>
          <w:t xml:space="preserve">https://www.adi-design.org/compasso-d-oro.html</w:t>
        </w:r>
      </w:hyperlink>
    </w:p>
    <w:p>
      <w:pPr>
        <w:pStyle w:val="BodyText"/>
        <w:spacing w:lineRule="exact" w:line="230" w:after="140"/>
        <w:ind w:left="255" w:hanging="255"/>
      </w:pPr>
      <w:r>
        <w:rPr>
          <w:rFonts w:ascii="Times New Roman" w:hAnsi="Times New Roman" w:eastAsia="Times New Roman"/>
          <w:sz w:val="18"/>
        </w:rPr>
        <w:t xml:space="preserve">Archivio Centrale dello Stato. Documentación sobre el Plan INA-Casa.</w:t>
      </w:r>
      <w:r>
        <w:rPr>
          <w:rFonts w:ascii="Times New Roman" w:hAnsi="Times New Roman" w:eastAsia="Times New Roman"/>
          <w:sz w:val="18"/>
        </w:rPr>
        <w:t xml:space="preserve"> </w:t>
      </w:r>
      <w:hyperlink r:id="rId37">
        <w:r>
          <w:rPr>
            <w:rStyle w:val="Hyperlink"/>
          </w:rPr>
          <w:t xml:space="preserve">https://acs.cultura.gov.it/</w:t>
        </w:r>
      </w:hyperlink>
    </w:p>
    <w:p>
      <w:pPr>
        <w:pStyle w:val="BodyText"/>
        <w:spacing w:lineRule="exact" w:line="230" w:after="140"/>
        <w:ind w:left="255" w:hanging="255"/>
      </w:pPr>
      <w:r>
        <w:rPr>
          <w:rFonts w:ascii="Times New Roman" w:hAnsi="Times New Roman" w:eastAsia="Times New Roman"/>
          <w:sz w:val="18"/>
        </w:rPr>
        <w:t xml:space="preserve">Brooklyn Museum. Archivo y colección de</w:t>
      </w:r>
      <w:r>
        <w:rPr>
          <w:rFonts w:ascii="Times New Roman" w:hAnsi="Times New Roman" w:eastAsia="Times New Roman"/>
          <w:sz w:val="18"/>
        </w:rPr>
        <w:t xml:space="preserve"> </w:t>
      </w:r>
      <w:r>
        <w:rPr>
          <w:iCs/>
          <w:rFonts w:ascii="Times New Roman" w:hAnsi="Times New Roman" w:eastAsia="Times New Roman"/>
          <w:i/>
          <w:sz w:val="18"/>
        </w:rPr>
        <w:t xml:space="preserve">Italy at Work: Her Renaissance in Design Today</w:t>
      </w:r>
      <w:r>
        <w:rPr>
          <w:rFonts w:ascii="Times New Roman" w:hAnsi="Times New Roman" w:eastAsia="Times New Roman"/>
          <w:sz w:val="18"/>
        </w:rPr>
        <w:t xml:space="preserve">.</w:t>
      </w:r>
      <w:r>
        <w:rPr>
          <w:rFonts w:ascii="Times New Roman" w:hAnsi="Times New Roman" w:eastAsia="Times New Roman"/>
          <w:sz w:val="18"/>
        </w:rPr>
        <w:t xml:space="preserve"> </w:t>
      </w:r>
      <w:hyperlink r:id="rId38">
        <w:r>
          <w:rPr>
            <w:rStyle w:val="Hyperlink"/>
          </w:rPr>
          <w:t xml:space="preserve">https://www.brooklynmuseum.org/</w:t>
        </w:r>
      </w:hyperlink>
    </w:p>
    <w:p>
      <w:pPr>
        <w:pStyle w:val="BodyText"/>
        <w:spacing w:lineRule="exact" w:line="230" w:after="140"/>
        <w:ind w:left="255" w:hanging="255"/>
      </w:pPr>
      <w:r>
        <w:rPr>
          <w:rFonts w:ascii="Times New Roman" w:hAnsi="Times New Roman" w:eastAsia="Times New Roman"/>
          <w:sz w:val="18"/>
        </w:rPr>
        <w:t xml:space="preserve">Fondazione Pirelli. Archivo histórico de la Torre Pirelli.</w:t>
      </w:r>
      <w:r>
        <w:rPr>
          <w:rFonts w:ascii="Times New Roman" w:hAnsi="Times New Roman" w:eastAsia="Times New Roman"/>
          <w:sz w:val="18"/>
        </w:rPr>
        <w:t xml:space="preserve"> </w:t>
      </w:r>
      <w:hyperlink r:id="rId39">
        <w:r>
          <w:rPr>
            <w:rStyle w:val="Hyperlink"/>
          </w:rPr>
          <w:t xml:space="preserve">https://www.fondazionepirelli.org/</w:t>
        </w:r>
      </w:hyperlink>
    </w:p>
    <w:p>
      <w:pPr>
        <w:pStyle w:val="BodyText"/>
        <w:spacing w:lineRule="exact" w:line="230" w:after="140"/>
        <w:ind w:left="255" w:hanging="255"/>
      </w:pPr>
      <w:r>
        <w:rPr>
          <w:rFonts w:ascii="Times New Roman" w:hAnsi="Times New Roman" w:eastAsia="Times New Roman"/>
          <w:sz w:val="18"/>
        </w:rPr>
        <w:t xml:space="preserve">Ministero della Cultura, Italia. Atlante dell’Architettura Contemporanea y Censimento delle architetture italiane dal 1945 ad oggi.</w:t>
      </w:r>
      <w:r>
        <w:rPr>
          <w:rFonts w:ascii="Times New Roman" w:hAnsi="Times New Roman" w:eastAsia="Times New Roman"/>
          <w:sz w:val="18"/>
        </w:rPr>
        <w:t xml:space="preserve"> </w:t>
      </w:r>
      <w:hyperlink r:id="rId40">
        <w:r>
          <w:rPr>
            <w:rStyle w:val="Hyperlink"/>
          </w:rPr>
          <w:t xml:space="preserve">https://atlantearchitetturacontemporanea.cultura.gov.it/</w:t>
        </w:r>
      </w:hyperlink>
    </w:p>
    <w:p>
      <w:pPr>
        <w:pStyle w:val="BodyText"/>
        <w:spacing w:lineRule="exact" w:line="230" w:after="140"/>
        <w:ind w:left="255" w:hanging="255"/>
      </w:pPr>
      <w:r>
        <w:rPr>
          <w:rFonts w:ascii="Times New Roman" w:hAnsi="Times New Roman" w:eastAsia="Times New Roman"/>
          <w:sz w:val="18"/>
        </w:rPr>
        <w:t xml:space="preserve">Museum of Modern Art. Colección de diseño italiano: Cisitalia 202, Lady, Superleggera, Mezzadro y Blow.</w:t>
      </w:r>
      <w:r>
        <w:rPr>
          <w:rFonts w:ascii="Times New Roman" w:hAnsi="Times New Roman" w:eastAsia="Times New Roman"/>
          <w:sz w:val="18"/>
        </w:rPr>
        <w:t xml:space="preserve"> </w:t>
      </w:r>
      <w:hyperlink r:id="rId41">
        <w:r>
          <w:rPr>
            <w:rStyle w:val="Hyperlink"/>
          </w:rPr>
          <w:t xml:space="preserve">https://www.moma.org/</w:t>
        </w:r>
      </w:hyperlink>
    </w:p>
    <w:p>
      <w:pPr>
        <w:pStyle w:val="BodyText"/>
        <w:spacing w:lineRule="exact" w:line="230" w:after="140"/>
        <w:ind w:left="255" w:hanging="255"/>
      </w:pPr>
      <w:r>
        <w:rPr>
          <w:rFonts w:ascii="Times New Roman" w:hAnsi="Times New Roman" w:eastAsia="Times New Roman"/>
          <w:sz w:val="18"/>
        </w:rPr>
        <w:t xml:space="preserve">Triennale Milano. Historia institucional y archivos del diseño italiano.</w:t>
      </w:r>
      <w:r>
        <w:rPr>
          <w:rFonts w:ascii="Times New Roman" w:hAnsi="Times New Roman" w:eastAsia="Times New Roman"/>
          <w:sz w:val="18"/>
        </w:rPr>
        <w:t xml:space="preserve"> </w:t>
      </w:r>
      <w:hyperlink r:id="rId42">
        <w:r>
          <w:rPr>
            <w:rStyle w:val="Hyperlink"/>
          </w:rPr>
          <w:t xml:space="preserve">https://triennale.org/</w:t>
        </w:r>
      </w:hyperlink>
    </w:p>
    <w:p>
      <w:pPr>
        <w:pStyle w:val="BodyText"/>
        <w:spacing w:lineRule="exact" w:line="230" w:after="140"/>
        <w:ind w:left="255" w:hanging="255"/>
      </w:pPr>
      <w:r>
        <w:rPr>
          <w:rFonts w:ascii="Times New Roman" w:hAnsi="Times New Roman" w:eastAsia="Times New Roman"/>
          <w:sz w:val="18"/>
        </w:rPr>
        <w:t xml:space="preserve">UNESCO World Heritage Centre. “Ivrea, industrial city of the 20th century”.</w:t>
      </w:r>
      <w:r>
        <w:rPr>
          <w:rFonts w:ascii="Times New Roman" w:hAnsi="Times New Roman" w:eastAsia="Times New Roman"/>
          <w:sz w:val="18"/>
        </w:rPr>
        <w:t xml:space="preserve"> </w:t>
      </w:r>
      <w:hyperlink r:id="rId43">
        <w:r>
          <w:rPr>
            <w:rStyle w:val="Hyperlink"/>
          </w:rPr>
          <w:t xml:space="preserve">https://whc.unesco.org/en/list/1538</w:t>
        </w:r>
      </w:hyperlink>
    </w:p>
    <w:p>
      <w:pPr>
        <w:pStyle w:val="BodyText"/>
        <w:spacing w:lineRule="exact" w:line="230" w:after="140"/>
        <w:ind w:left="255" w:hanging="255"/>
      </w:pPr>
      <w:r>
        <w:rPr>
          <w:rFonts w:ascii="Times New Roman" w:hAnsi="Times New Roman" w:eastAsia="Times New Roman"/>
          <w:sz w:val="18"/>
        </w:rPr>
        <w:t xml:space="preserve">Uffizi Galleries, Museo della Moda e del Costume. Materiales sobre los orígenes del</w:t>
      </w:r>
      <w:r>
        <w:rPr>
          <w:rFonts w:ascii="Times New Roman" w:hAnsi="Times New Roman" w:eastAsia="Times New Roman"/>
          <w:sz w:val="18"/>
        </w:rPr>
        <w:t xml:space="preserve"> </w:t>
      </w:r>
      <w:r>
        <w:rPr>
          <w:iCs/>
          <w:rFonts w:ascii="Times New Roman" w:hAnsi="Times New Roman" w:eastAsia="Times New Roman"/>
          <w:i/>
          <w:sz w:val="18"/>
        </w:rPr>
        <w:t xml:space="preserve">Made in Italy</w:t>
      </w:r>
      <w:r>
        <w:rPr>
          <w:rFonts w:ascii="Times New Roman" w:hAnsi="Times New Roman" w:eastAsia="Times New Roman"/>
          <w:sz w:val="18"/>
        </w:rPr>
        <w:t xml:space="preserve">.</w:t>
      </w:r>
      <w:r>
        <w:rPr>
          <w:rFonts w:ascii="Times New Roman" w:hAnsi="Times New Roman" w:eastAsia="Times New Roman"/>
          <w:sz w:val="18"/>
        </w:rPr>
        <w:t xml:space="preserve"> </w:t>
      </w:r>
      <w:hyperlink r:id="rId44">
        <w:r>
          <w:rPr>
            <w:rStyle w:val="Hyperlink"/>
          </w:rPr>
          <w:t xml:space="preserve">https://www.uffizi.it/</w:t>
        </w:r>
      </w:hyperlink>
    </w:p>
    <w:bookmarkEnd w:id="45"/>
    <w:bookmarkEnd w:id="46"/>
    <w:sectPr w:rsidR="00FC5538">
      <w:pgSz w:h="13606" w:w="9638"/>
      <w:pgMar w:bottom="1020" w:footer="454" w:gutter="0" w:header="454" w:left="1134" w:right="1020" w:top="107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66A1B12"/>
    <w:multiLevelType w:val="multilevel"/>
    <w:tmpl w:val="530420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
    <w:nsid w:val="463362DF"/>
    <w:multiLevelType w:val="multilevel"/>
    <w:tmpl w:val="A19A3D42"/>
    <w:lvl w:ilvl="0">
      <w:start w:val="1945"/>
      <w:numFmt w:val="decimal"/>
      <w:lvlText w:val="%1."/>
      <w:lvlJc w:val="left"/>
      <w:pPr>
        <w:tabs>
          <w:tab w:pos="720" w:val="num"/>
        </w:tabs>
        <w:ind w:hanging="360" w:left="720"/>
      </w:pPr>
    </w:lvl>
    <w:lvl w:ilvl="1">
      <w:start w:val="1968"/>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019623544" w:numId="1">
    <w:abstractNumId w:val="1"/>
  </w:num>
  <w:num w16cid:durableId="1749687307"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95" w:val="bestFit"/>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s-E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lineRule="exact" w:line="280" w:after="80"/>
      <w:ind w:firstLine="255"/>
      <w:jc w:val="both"/>
    </w:pPr>
    <w:rPr>
      <w:rFonts w:ascii="Times New Roman" w:hAnsi="Times New Roman" w:eastAsia="Times New Roman"/>
      <w:sz w:val="22"/>
    </w:rPr>
  </w:style>
  <w:style w:styleId="Ttulo1" w:type="paragraph">
    <w:name w:val="heading 1"/>
    <w:basedOn w:val="Normal"/>
    <w:next w:val="Normal"/>
    <w:link w:val="Ttulo1Car"/>
    <w:uiPriority w:val="9"/>
    <w:qFormat/>
    <w:rsid w:val="00472ED7"/>
    <w:pPr>
      <w:keepNext/>
      <w:keepLines/>
      <w:spacing w:after="160" w:before="300" w:line="252"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Ttulo2" w:type="paragraph">
    <w:name w:val="heading 2"/>
    <w:basedOn w:val="Normal"/>
    <w:next w:val="Normal"/>
    <w:link w:val="Ttulo2Car"/>
    <w:uiPriority w:val="9"/>
    <w:semiHidden/>
    <w:unhideWhenUsed/>
    <w:qFormat/>
    <w:rsid w:val="00472ED7"/>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Normal"/>
    <w:link w:val="Ttulo3Car"/>
    <w:uiPriority w:val="9"/>
    <w:unhideWhenUsed/>
    <w:qFormat/>
    <w:rsid w:val="00472ED7"/>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Normal"/>
    <w:link w:val="Ttulo4Car"/>
    <w:uiPriority w:val="9"/>
    <w:semiHidden/>
    <w:unhideWhenUsed/>
    <w:qFormat/>
    <w:rsid w:val="00472ED7"/>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Normal"/>
    <w:link w:val="Ttulo5Car"/>
    <w:uiPriority w:val="9"/>
    <w:semiHidden/>
    <w:unhideWhenUsed/>
    <w:qFormat/>
    <w:rsid w:val="00472ED7"/>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Normal"/>
    <w:link w:val="Ttulo6Car"/>
    <w:uiPriority w:val="9"/>
    <w:semiHidden/>
    <w:unhideWhenUsed/>
    <w:qFormat/>
    <w:rsid w:val="00472ED7"/>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Normal"/>
    <w:link w:val="Ttulo7Car"/>
    <w:uiPriority w:val="9"/>
    <w:semiHidden/>
    <w:unhideWhenUsed/>
    <w:qFormat/>
    <w:rsid w:val="00472ED7"/>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Normal"/>
    <w:link w:val="Ttulo8Car"/>
    <w:uiPriority w:val="9"/>
    <w:semiHidden/>
    <w:unhideWhenUsed/>
    <w:qFormat/>
    <w:rsid w:val="00472ED7"/>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Normal"/>
    <w:link w:val="Ttulo9Car"/>
    <w:uiPriority w:val="9"/>
    <w:semiHidden/>
    <w:unhideWhenUsed/>
    <w:qFormat/>
    <w:rsid w:val="00472ED7"/>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472ED7"/>
    <w:rPr>
      <w:rFonts w:asciiTheme="majorHAnsi" w:cstheme="majorBidi" w:eastAsiaTheme="majorEastAsia" w:hAnsiTheme="majorHAnsi"/>
      <w:color w:themeColor="accent1" w:themeShade="BF" w:val="0F4761"/>
      <w:sz w:val="40"/>
      <w:szCs w:val="40"/>
    </w:rPr>
  </w:style>
  <w:style w:customStyle="1" w:styleId="Ttulo2Car" w:type="character">
    <w:name w:val="Título 2 Car"/>
    <w:basedOn w:val="Fuentedeprrafopredeter"/>
    <w:link w:val="Ttulo2"/>
    <w:uiPriority w:val="9"/>
    <w:semiHidden/>
    <w:rsid w:val="00472ED7"/>
    <w:rPr>
      <w:rFonts w:asciiTheme="majorHAnsi" w:cstheme="majorBidi" w:eastAsiaTheme="majorEastAsia" w:hAnsiTheme="majorHAnsi"/>
      <w:color w:themeColor="accent1" w:themeShade="BF" w:val="0F4761"/>
      <w:sz w:val="32"/>
      <w:szCs w:val="32"/>
    </w:rPr>
  </w:style>
  <w:style w:customStyle="1" w:styleId="Ttulo3Car" w:type="character">
    <w:name w:val="Título 3 Car"/>
    <w:basedOn w:val="Fuentedeprrafopredeter"/>
    <w:link w:val="Ttulo3"/>
    <w:uiPriority w:val="9"/>
    <w:rsid w:val="00472ED7"/>
    <w:rPr>
      <w:rFonts w:cstheme="majorBidi" w:eastAsiaTheme="majorEastAsia"/>
      <w:color w:themeColor="accent1" w:themeShade="BF" w:val="0F4761"/>
      <w:sz w:val="28"/>
      <w:szCs w:val="28"/>
    </w:rPr>
  </w:style>
  <w:style w:customStyle="1" w:styleId="Ttulo4Car" w:type="character">
    <w:name w:val="Título 4 Car"/>
    <w:basedOn w:val="Fuentedeprrafopredeter"/>
    <w:link w:val="Ttulo4"/>
    <w:uiPriority w:val="9"/>
    <w:semiHidden/>
    <w:rsid w:val="00472ED7"/>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472ED7"/>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472ED7"/>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472ED7"/>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472ED7"/>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472ED7"/>
    <w:rPr>
      <w:rFonts w:cstheme="majorBidi" w:eastAsiaTheme="majorEastAsia"/>
      <w:color w:themeColor="text1" w:themeTint="D8" w:val="272727"/>
    </w:rPr>
  </w:style>
  <w:style w:styleId="Ttulo" w:type="paragraph">
    <w:name w:val="Title"/>
    <w:basedOn w:val="Normal"/>
    <w:next w:val="Normal"/>
    <w:link w:val="TtuloCar"/>
    <w:uiPriority w:val="10"/>
    <w:qFormat/>
    <w:rsid w:val="00472ED7"/>
    <w:pPr>
      <w:spacing w:after="80" w:line="240" w:lineRule="auto"/>
      <w:contextualSpacing/>
    </w:pPr>
    <w:rPr>
      <w:rFonts w:asciiTheme="majorHAnsi" w:cstheme="majorBidi" w:eastAsiaTheme="majorEastAsia" w:hAnsiTheme="majorHAnsi"/>
      <w:spacing w:val="-10"/>
      <w:kern w:val="28"/>
      <w:sz w:val="56"/>
      <w:szCs w:val="56"/>
    </w:rPr>
  </w:style>
  <w:style w:customStyle="1" w:styleId="TtuloCar" w:type="character">
    <w:name w:val="Título Car"/>
    <w:basedOn w:val="Fuentedeprrafopredeter"/>
    <w:link w:val="Ttulo"/>
    <w:uiPriority w:val="10"/>
    <w:rsid w:val="00472ED7"/>
    <w:rPr>
      <w:rFonts w:asciiTheme="majorHAnsi" w:cstheme="majorBidi" w:eastAsiaTheme="majorEastAsia" w:hAnsiTheme="majorHAnsi"/>
      <w:spacing w:val="-10"/>
      <w:kern w:val="28"/>
      <w:sz w:val="56"/>
      <w:szCs w:val="56"/>
    </w:rPr>
  </w:style>
  <w:style w:styleId="Subttulo" w:type="paragraph">
    <w:name w:val="Subtitle"/>
    <w:basedOn w:val="Normal"/>
    <w:next w:val="Normal"/>
    <w:link w:val="SubttuloCar"/>
    <w:uiPriority w:val="11"/>
    <w:qFormat/>
    <w:rsid w:val="00472ED7"/>
    <w:pPr>
      <w:numPr>
        <w:ilvl w:val="1"/>
      </w:numPr>
    </w:pPr>
    <w:rPr>
      <w:rFonts w:cstheme="majorBidi" w:eastAsiaTheme="majorEastAsia"/>
      <w:color w:themeColor="text1" w:themeTint="A6" w:val="595959"/>
      <w:spacing w:val="15"/>
      <w:sz w:val="28"/>
      <w:szCs w:val="28"/>
    </w:rPr>
  </w:style>
  <w:style w:customStyle="1" w:styleId="SubttuloCar" w:type="character">
    <w:name w:val="Subtítulo Car"/>
    <w:basedOn w:val="Fuentedeprrafopredeter"/>
    <w:link w:val="Subttulo"/>
    <w:uiPriority w:val="11"/>
    <w:rsid w:val="00472ED7"/>
    <w:rPr>
      <w:rFonts w:cstheme="majorBidi" w:eastAsiaTheme="majorEastAsia"/>
      <w:color w:themeColor="text1" w:themeTint="A6" w:val="595959"/>
      <w:spacing w:val="15"/>
      <w:sz w:val="28"/>
      <w:szCs w:val="28"/>
    </w:rPr>
  </w:style>
  <w:style w:styleId="Cita" w:type="paragraph">
    <w:name w:val="Quote"/>
    <w:basedOn w:val="Normal"/>
    <w:next w:val="Normal"/>
    <w:link w:val="CitaCar"/>
    <w:uiPriority w:val="29"/>
    <w:qFormat/>
    <w:rsid w:val="00472ED7"/>
    <w:pPr>
      <w:spacing w:before="160"/>
      <w:jc w:val="center"/>
    </w:pPr>
    <w:rPr>
      <w:i/>
      <w:iCs/>
      <w:color w:themeColor="text1" w:themeTint="BF" w:val="404040"/>
    </w:rPr>
  </w:style>
  <w:style w:customStyle="1" w:styleId="CitaCar" w:type="character">
    <w:name w:val="Cita Car"/>
    <w:basedOn w:val="Fuentedeprrafopredeter"/>
    <w:link w:val="Cita"/>
    <w:uiPriority w:val="29"/>
    <w:rsid w:val="00472ED7"/>
    <w:rPr>
      <w:i/>
      <w:iCs/>
      <w:color w:themeColor="text1" w:themeTint="BF" w:val="404040"/>
    </w:rPr>
  </w:style>
  <w:style w:styleId="Prrafodelista" w:type="paragraph">
    <w:name w:val="List Paragraph"/>
    <w:basedOn w:val="Normal"/>
    <w:uiPriority w:val="34"/>
    <w:qFormat/>
    <w:rsid w:val="00472ED7"/>
    <w:pPr>
      <w:ind w:left="720"/>
      <w:contextualSpacing/>
    </w:pPr>
  </w:style>
  <w:style w:styleId="nfasisintenso" w:type="character">
    <w:name w:val="Intense Emphasis"/>
    <w:basedOn w:val="Fuentedeprrafopredeter"/>
    <w:uiPriority w:val="21"/>
    <w:qFormat/>
    <w:rsid w:val="00472ED7"/>
    <w:rPr>
      <w:i/>
      <w:iCs/>
      <w:color w:themeColor="accent1" w:themeShade="BF" w:val="0F4761"/>
    </w:rPr>
  </w:style>
  <w:style w:styleId="Citadestacada" w:type="paragraph">
    <w:name w:val="Intense Quote"/>
    <w:basedOn w:val="Normal"/>
    <w:next w:val="Normal"/>
    <w:link w:val="CitadestacadaCar"/>
    <w:uiPriority w:val="30"/>
    <w:qFormat/>
    <w:rsid w:val="00472ED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destacadaCar" w:type="character">
    <w:name w:val="Cita destacada Car"/>
    <w:basedOn w:val="Fuentedeprrafopredeter"/>
    <w:link w:val="Citadestacada"/>
    <w:uiPriority w:val="30"/>
    <w:rsid w:val="00472ED7"/>
    <w:rPr>
      <w:i/>
      <w:iCs/>
      <w:color w:themeColor="accent1" w:themeShade="BF" w:val="0F4761"/>
    </w:rPr>
  </w:style>
  <w:style w:styleId="Referenciaintensa" w:type="character">
    <w:name w:val="Intense Reference"/>
    <w:basedOn w:val="Fuentedeprrafopredeter"/>
    <w:uiPriority w:val="32"/>
    <w:qFormat/>
    <w:rsid w:val="00472ED7"/>
    <w:rPr>
      <w:b/>
      <w:bCs/>
      <w:smallCaps/>
      <w:color w:themeColor="accent1" w:themeShade="BF" w:val="0F4761"/>
      <w:spacing w:val="5"/>
    </w:rPr>
  </w:style>
  <w:style w:customStyle="1" w:styleId="ds-markdown-paragraph" w:type="paragraph">
    <w:name w:val="ds-markdown-paragraph"/>
    <w:basedOn w:val="Normal"/>
    <w:rsid w:val="00472ED7"/>
    <w:pPr>
      <w:spacing w:after="100" w:afterAutospacing="1" w:before="100" w:beforeAutospacing="1" w:line="240" w:lineRule="auto"/>
    </w:pPr>
    <w:rPr>
      <w:rFonts w:ascii="Times New Roman" w:cs="Times New Roman" w:eastAsia="Times New Roman" w:hAnsi="Times New Roman"/>
      <w:kern w:val="0"/>
      <w:lang w:eastAsia="es-ES_tradnl"/>
      <w14:ligatures w14:val="none"/>
    </w:rPr>
  </w:style>
  <w:style w:styleId="Textoennegrita" w:type="character">
    <w:name w:val="Strong"/>
    <w:basedOn w:val="Fuentedeprrafopredeter"/>
    <w:uiPriority w:val="22"/>
    <w:qFormat/>
    <w:rsid w:val="00472ED7"/>
    <w:rPr>
      <w:b/>
      <w:bCs/>
    </w:rPr>
  </w:style>
  <w:style w:styleId="nfasis" w:type="character">
    <w:name w:val="Emphasis"/>
    <w:basedOn w:val="Fuentedeprrafopredeter"/>
    <w:uiPriority w:val="20"/>
    <w:qFormat/>
    <w:rsid w:val="00472ED7"/>
    <w:rPr>
      <w:i/>
      <w:iCs/>
    </w:rPr>
  </w:style>
  <w:style w:customStyle="1" w:styleId="apple-converted-space" w:type="character">
    <w:name w:val="apple-converted-space"/>
    <w:basedOn w:val="Fuentedeprrafopredeter"/>
    <w:rsid w:val="00472ED7"/>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ImageCallout">
    <w:name w:val="Image Callout"/>
    <w:pPr>
      <w:keepLines/>
      <w:spacing w:before="120" w:after="240"/>
      <w:ind w:firstLine="0" w:left="255" w:right="255"/>
    </w:pPr>
    <w:rPr>
      <w:rFonts w:ascii="Times New Roman" w:hAnsi="Times New Roman" w:eastAsia="Times New Roman"/>
      <w:b w:val="0"/>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hyperlink" Target="https://acs.cultura.gov.it/" TargetMode="External"/><Relationship Id="rId40" Type="http://schemas.openxmlformats.org/officeDocument/2006/relationships/hyperlink" Target="https://atlantearchitetturacontemporanea.cultura.gov.it/" TargetMode="External"/><Relationship Id="rId42" Type="http://schemas.openxmlformats.org/officeDocument/2006/relationships/hyperlink" Target="https://triennale.org/" TargetMode="External"/><Relationship Id="rId43" Type="http://schemas.openxmlformats.org/officeDocument/2006/relationships/hyperlink" Target="https://whc.unesco.org/en/list/1538" TargetMode="External"/><Relationship Id="rId36" Type="http://schemas.openxmlformats.org/officeDocument/2006/relationships/hyperlink" Target="https://www.adi-design.org/compasso-d-oro.html" TargetMode="External"/><Relationship Id="rId38" Type="http://schemas.openxmlformats.org/officeDocument/2006/relationships/hyperlink" Target="https://www.brooklynmuseum.org/" TargetMode="External"/><Relationship Id="rId39" Type="http://schemas.openxmlformats.org/officeDocument/2006/relationships/hyperlink" Target="https://www.fondazionepirelli.org/" TargetMode="External"/><Relationship Id="rId41" Type="http://schemas.openxmlformats.org/officeDocument/2006/relationships/hyperlink" Target="https://www.moma.org/" TargetMode="External"/><Relationship Id="rId44" Type="http://schemas.openxmlformats.org/officeDocument/2006/relationships/hyperlink" Target="https://www.uffizi.it/"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acs.cultura.gov.it/" TargetMode="External"/><Relationship Id="rId40" Type="http://schemas.openxmlformats.org/officeDocument/2006/relationships/hyperlink" Target="https://atlantearchitetturacontemporanea.cultura.gov.it/" TargetMode="External"/><Relationship Id="rId42" Type="http://schemas.openxmlformats.org/officeDocument/2006/relationships/hyperlink" Target="https://triennale.org/" TargetMode="External"/><Relationship Id="rId43" Type="http://schemas.openxmlformats.org/officeDocument/2006/relationships/hyperlink" Target="https://whc.unesco.org/en/list/1538" TargetMode="External"/><Relationship Id="rId36" Type="http://schemas.openxmlformats.org/officeDocument/2006/relationships/hyperlink" Target="https://www.adi-design.org/compasso-d-oro.html" TargetMode="External"/><Relationship Id="rId38" Type="http://schemas.openxmlformats.org/officeDocument/2006/relationships/hyperlink" Target="https://www.brooklynmuseum.org/" TargetMode="External"/><Relationship Id="rId39" Type="http://schemas.openxmlformats.org/officeDocument/2006/relationships/hyperlink" Target="https://www.fondazionepirelli.org/" TargetMode="External"/><Relationship Id="rId41" Type="http://schemas.openxmlformats.org/officeDocument/2006/relationships/hyperlink" Target="https://www.moma.org/" TargetMode="External"/><Relationship Id="rId44" Type="http://schemas.openxmlformats.org/officeDocument/2006/relationships/hyperlink" Target="https://www.uffizi.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6256</Words>
  <Characters>30531</Characters>
  <Application>Microsoft Office Word</Application>
  <DocSecurity>0</DocSecurity>
  <Lines>555</Lines>
  <Paragraphs>161</Paragraphs>
  <ScaleCrop>false</ScaleCrop>
  <Company/>
  <LinksUpToDate>false</LinksUpToDate>
  <CharactersWithSpaces>36626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2026-09-29T01:54:35Z</dcterms:created>
  <dcterms:modified xsi:type="dcterms:W3CDTF">2026-09-29T01:54:35Z</dcterms:modified>
</cp:coreProperties>
</file>

<file path=docProps/custom.xml><?xml version="1.0" encoding="utf-8"?>
<Properties xmlns="http://schemas.openxmlformats.org/officeDocument/2006/custom-properties" xmlns:vt="http://schemas.openxmlformats.org/officeDocument/2006/docPropsVTypes"/>
</file>