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786DAF" w14:textId="36922C61" w:rsidR="00F2021C" w:rsidRPr="005116E8" w:rsidRDefault="004E106E" w:rsidP="00F2021C">
      <w:pPr>
        <w:autoSpaceDE w:val="0"/>
        <w:autoSpaceDN w:val="0"/>
        <w:adjustRightInd w:val="0"/>
        <w:spacing w:after="321" w:line="240" w:lineRule="auto"/>
        <w:rPr>
          <w:rFonts w:ascii="Times New Roman" w:hAnsi="Times New Roman" w:cs="Times New Roman"/>
          <w:b/>
          <w:bCs/>
          <w:kern w:val="0"/>
          <w:sz w:val="32"/>
          <w:szCs w:val="32"/>
        </w:rPr>
      </w:pPr>
      <w:r>
        <w:rPr>
          <w:rFonts w:ascii="Times New Roman" w:hAnsi="Times New Roman" w:cs="Times New Roman"/>
          <w:b/>
          <w:bCs/>
          <w:kern w:val="0"/>
          <w:sz w:val="32"/>
          <w:szCs w:val="32"/>
        </w:rPr>
        <w:t xml:space="preserve">CAPITULO 29 </w:t>
      </w:r>
      <w:r w:rsidR="00F2021C" w:rsidRPr="005116E8">
        <w:rPr>
          <w:rFonts w:ascii="Times New Roman" w:hAnsi="Times New Roman" w:cs="Times New Roman"/>
          <w:b/>
          <w:bCs/>
          <w:kern w:val="0"/>
          <w:sz w:val="32"/>
          <w:szCs w:val="32"/>
        </w:rPr>
        <w:t>ART AUTRE</w:t>
      </w:r>
    </w:p>
    <w:p w14:paraId="1314B243" w14:textId="77777777" w:rsidR="00F2021C" w:rsidRPr="005116E8" w:rsidRDefault="00F2021C" w:rsidP="00F2021C">
      <w:pPr>
        <w:autoSpaceDE w:val="0"/>
        <w:autoSpaceDN w:val="0"/>
        <w:adjustRightInd w:val="0"/>
        <w:spacing w:after="298" w:line="240" w:lineRule="auto"/>
        <w:rPr>
          <w:rFonts w:ascii="Times New Roman" w:hAnsi="Times New Roman" w:cs="Times New Roman"/>
          <w:b/>
          <w:bCs/>
          <w:kern w:val="0"/>
        </w:rPr>
      </w:pPr>
      <w:r w:rsidRPr="005116E8">
        <w:rPr>
          <w:rFonts w:ascii="Times New Roman" w:hAnsi="Times New Roman" w:cs="Times New Roman"/>
          <w:b/>
          <w:bCs/>
          <w:kern w:val="0"/>
        </w:rPr>
        <w:t>Cuando la semejanza dejó de ser necesaria</w:t>
      </w:r>
    </w:p>
    <w:p w14:paraId="1C076618" w14:textId="77777777" w:rsidR="00F2021C" w:rsidRPr="005116E8" w:rsidRDefault="00F2021C" w:rsidP="00F2021C">
      <w:pPr>
        <w:autoSpaceDE w:val="0"/>
        <w:autoSpaceDN w:val="0"/>
        <w:adjustRightInd w:val="0"/>
        <w:spacing w:after="280" w:line="240" w:lineRule="auto"/>
        <w:rPr>
          <w:rFonts w:ascii="Times New Roman" w:hAnsi="Times New Roman" w:cs="Times New Roman"/>
          <w:b/>
          <w:bCs/>
          <w:kern w:val="0"/>
        </w:rPr>
      </w:pPr>
      <w:r w:rsidRPr="005116E8">
        <w:rPr>
          <w:rFonts w:ascii="Times New Roman" w:hAnsi="Times New Roman" w:cs="Times New Roman"/>
          <w:b/>
          <w:bCs/>
          <w:kern w:val="0"/>
        </w:rPr>
        <w:t>Umbral</w:t>
      </w:r>
    </w:p>
    <w:p w14:paraId="62E47192"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Pedro había escuchado aquel pregón tantas veces que durante años dejó de oírlo. Pasaba por las calles de la ciudad mezclado con los otros sonidos de la mañana, una voz prolongada que preguntaba por ropa usada y por algunas de esas cosas que una casa termina apartando sin recordar exactamente cuándo dejaron de hacer falta. De vez en cuando alguien salía con un abrigo, unos zapatos, una maleta, una lámpara; el hombre revisaba una costura, tanteaba el peso, hacía funcionar algún mecanismo, preguntaba cuánto pedían y decidía. Unas cosas terminaban en el costal o en el carro, otras regresaban a las manos de quien había salido a ofrecérselas. Después continuaba su recorrido. Pedro nunca había encontrado una razón para preguntarse qué ocurría con aquello una vez que el hombre desaparecía al final de la calle, hasta que un domingo, entre los puestos de La Lagunilla, reconoció la voz antes que el rostro.</w:t>
      </w:r>
    </w:p>
    <w:p w14:paraId="70E5D97C"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El ropavejero estaba detrás de una manta cubierta de objetos y durante un momento Pedro creyó haber resuelto el pequeño misterio. Allí habían terminado las cosas recogidas durante la semana. Había ropa, desde luego, pero también una radio, una maleta, algunos libros, zapatos de distintos tamaños, platos sueltos, herramientas, una lámpara y objetos cuya función resultaba menos evidente que su procedencia dispar. Nada indicaba que hubieran pertenecido alguna vez a una misma casa y tampoco parecía existir una razón para que estuvieran precisamente unos junto a otros. Pedro pensó que quizá la explicación era demasiado sencilla para haberla buscado: eran cosas usadas. La idea funcionó hasta que vio acercarse a un hombre con algo que quería vender. El ropavejero lo tomó, lo revisó durante unos segundos y se lo devolvió. Poco después una mujer ofreció otro objeto que no se parecía a nada de lo que ya estaba sobre la manta; éste sí se quedó. Si la condición era simplemente haber pertenecido antes a alguien, el primero habría debido entrar también.</w:t>
      </w:r>
    </w:p>
    <w:p w14:paraId="3CD55605"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Pedro siguió mirando mientras el hombre acomodaba las nuevas adquisiciones sin detenerse demasiado en ellas. Desplazaba una cosa, encontraba un espacio para otra, cambiaba una pila de lugar y seguía negociando. La lógica no parecía estar en el material, porque convivían tela, metal, madera, papel y vidrio; tampoco en la función, la edad o el estado de conservación. Cuando finalmente preguntó cómo sabía qué comprar, el ropavejero respondió con la naturalidad de quien no comprende por qué algo tan evidente necesita explicación. Uno termina sabiendo qué todavía sirve, qué puede salir, qué merece la pena recoger. No elaboró una teoría porque no la necesitaba. Su criterio estaba incorporado al oficio y se manifestaba cada vez que algo entraba o quedaba fuera.</w:t>
      </w:r>
    </w:p>
    <w:p w14:paraId="5F51CDEA"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La respuesta no resolvió del todo la curiosidad de Pedro, pero modificó aquello que tenía delante. Había intentado encontrar en los objetos una propiedad común que explicara el conjunto y poco a poco comprendía que quizá había buscado en el lugar equivocado. La radio seguía siendo una radio y no adquiría parentesco alguno con los zapatos; los libros no compartían función con la lámpara ni la maleta se volvía semejante a los platos por </w:t>
      </w:r>
      <w:r w:rsidRPr="005116E8">
        <w:rPr>
          <w:rFonts w:ascii="Times New Roman" w:hAnsi="Times New Roman" w:cs="Times New Roman"/>
          <w:kern w:val="0"/>
        </w:rPr>
        <w:lastRenderedPageBreak/>
        <w:t>aparecer cerca de ellos. La relación había surgido después de que cada cosa fuera hecha, usada y abandonada, durante el recorrido de un hombre que había visto muchas más y había elegido sólo algunas. El conjunto no estaba disperso por la ciudad esperando que alguien lo descubriera; había comenzado a existir precisamente porque alguien había recorrido la ciudad seleccionando.</w:t>
      </w:r>
    </w:p>
    <w:p w14:paraId="60556A84"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Al alejarse, Pedro volvió la cabeza. Desde cierta distancia el puesto recuperaba algo de su apariencia anterior, una acumulación difícil de ordenar, pero ya no podía verlo como un montón casual. Había una mirada detrás de aquello, una forma de reconocer posibilidades que no dependía de la semejanza visible entre las cosas. Al día siguiente podrían aparecer una cámara, una silla, una máquina de escribir o cualquier otro objeto capaz de atravesar aquel criterio, y la composición entera cambiaría sin que el puesto perdiera por eso su coherencia. Su unidad no estaba en lo que contenía, sino en la operación que decidía qué podía entrar.</w:t>
      </w:r>
    </w:p>
    <w:p w14:paraId="47E421FE"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En esos mismos años, a miles de kilómetros de La Lagunilla, otra clase de selección empezaba a adquirir consecuencias inesperadas. Michel Tapié recorría galerías, visitaba estudios, escribía textos, organizaba exposiciones y se acercaba a obras que los vocabularios disponibles podían mantener perfectamente separadas. Una superficie de Fautrier no necesitaba parecerse a un signo de Mathieu; Wols no conducía necesariamente a Pollock, ni Hartung a de Kooning, ni Riopelle a Capogrossi. Cada investigación provenía de problemas propios, y precisamente por eso la pregunta interesante no consistía en descubrir qué estilo compartían, sino en comprender por qué alguien comenzaba a considerar productivo mirarlas juntas. La semejanza con el ropavejero terminaba antes de convertirse en caricatura: Tapié no compraba objetos ni recorría barrios pregonando. Lo que coincidía era algo mucho más elemental y, a la vez, más profundo: la posibilidad de reconocer una relación antes de disponer de una categoría capaz de explicarla.</w:t>
      </w:r>
    </w:p>
    <w:p w14:paraId="15F8F786"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i/>
          <w:iCs/>
          <w:kern w:val="0"/>
        </w:rPr>
        <w:t>Imagen 1. La Lagunilla, Ciudad de México, década de 1950. Fotografía documental de mercado o comercio de objetos usados. El pie deberá situar la escena sin convertirla en ilustración literal de Tapié.</w:t>
      </w:r>
    </w:p>
    <w:p w14:paraId="0B3C98E3" w14:textId="77777777" w:rsidR="00F2021C" w:rsidRPr="005116E8" w:rsidRDefault="00F2021C" w:rsidP="00F2021C">
      <w:pPr>
        <w:autoSpaceDE w:val="0"/>
        <w:autoSpaceDN w:val="0"/>
        <w:adjustRightInd w:val="0"/>
        <w:spacing w:after="0" w:line="240" w:lineRule="auto"/>
        <w:rPr>
          <w:rFonts w:ascii="Times New Roman" w:hAnsi="Times New Roman" w:cs="Times New Roman"/>
          <w:color w:val="6D6D6D"/>
          <w:kern w:val="0"/>
        </w:rPr>
      </w:pPr>
    </w:p>
    <w:p w14:paraId="2EC201B3" w14:textId="77777777" w:rsidR="00F2021C" w:rsidRPr="005116E8" w:rsidRDefault="00F2021C" w:rsidP="00F2021C">
      <w:pPr>
        <w:autoSpaceDE w:val="0"/>
        <w:autoSpaceDN w:val="0"/>
        <w:adjustRightInd w:val="0"/>
        <w:spacing w:after="298" w:line="240" w:lineRule="auto"/>
        <w:rPr>
          <w:rFonts w:ascii="Times New Roman" w:hAnsi="Times New Roman" w:cs="Times New Roman"/>
          <w:b/>
          <w:bCs/>
          <w:kern w:val="0"/>
        </w:rPr>
      </w:pPr>
      <w:r w:rsidRPr="005116E8">
        <w:rPr>
          <w:rFonts w:ascii="Times New Roman" w:hAnsi="Times New Roman" w:cs="Times New Roman"/>
          <w:b/>
          <w:bCs/>
          <w:kern w:val="0"/>
        </w:rPr>
        <w:t>I. La obra existe antes que la familia</w:t>
      </w:r>
    </w:p>
    <w:p w14:paraId="63C80392"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La historia del arte suele llegar cuando la obra ya existe. El artista trabaja desde una realidad inmediata, condicionado por materiales, experiencias, dudas, conversaciones, accidentes y decisiones que no necesitan coincidir con la categoría desde la cual será estudiado décadas después. Fautrier no tenía que concebir su pintura como una pieza de un sistema llamado Art Autre; Wols no necesitaba imaginar su relación con Pollock; Fontana podía perforar una superficie sin prever que años más tarde un crítico encontraría razones para colocarlo dentro de una red junto a artistas que investigaban problemas muy diferentes. La categoría histórica pertenece a un nivel posterior y sólo conserva su utilidad mientras no sustituya retrospectivamente el problema desde el cual nació la obra.</w:t>
      </w:r>
    </w:p>
    <w:p w14:paraId="0B3DE630"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La diferencia se vuelve más clara si se piensa en el trabajo del arqueólogo. Un objeto fabricado hace siglos pudo tener para su creador y para quienes lo utilizaban una función </w:t>
      </w:r>
      <w:r w:rsidRPr="005116E8">
        <w:rPr>
          <w:rFonts w:ascii="Times New Roman" w:hAnsi="Times New Roman" w:cs="Times New Roman"/>
          <w:kern w:val="0"/>
        </w:rPr>
        <w:lastRenderedPageBreak/>
        <w:t>tan evidente que nadie necesitaba describirla. Cuando reaparece separado de aquella realidad, el investigador observa material, desgaste, residuos, posición, objetos próximos y analogías con otros hallazgos; formula hipótesis que pueden llegar a ser extraordinariamente precisas, pero cuyo rigor depende justamente de no confundir la reconstrucción posterior con la conciencia original de quien produjo el artefacto. En la historia del arte ocurre algo parecido. El crítico, el curador y posteriormente el historiador poseen una perspectiva que el artista individual no necesariamente tuvo: pueden mirar simultáneamente producciones separadas por fronteras, lenguas y procesos, descubrir recurrencias, reconstruir tensiones y proponer relaciones que ninguna obra contiene de manera explícita. Esa distancia produce conocimiento, aunque también introduce el riesgo de convertir una hipótesis relacional en una identidad que los propios creadores nunca compartieron.</w:t>
      </w:r>
    </w:p>
    <w:p w14:paraId="60B4735C"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Michel Tapié comenzó a moverse dentro de esa distancia durante la segunda mitad de los años cuarenta. Todavía no existía un territorio claramente delimitado llamado Art Autre y, por lo que puede reconstruirse de sus textos y exposiciones, tampoco parece haber existido desde el principio un sistema teórico terminado que aguardara a encontrar ejemplos. Aparecen Dubuffet y el Art Brut, Fautrier, Wols, Mathieu, Michaux, Hartung, Riopelle; aparecen también términos que intentan aproximarse a aquello que está ocurriendo sin conseguir fijarlo del todo. </w:t>
      </w:r>
      <w:r w:rsidRPr="005116E8">
        <w:rPr>
          <w:rFonts w:ascii="Times New Roman" w:hAnsi="Times New Roman" w:cs="Times New Roman"/>
          <w:i/>
          <w:iCs/>
          <w:kern w:val="0"/>
        </w:rPr>
        <w:t>Informe</w:t>
      </w:r>
      <w:r w:rsidRPr="005116E8">
        <w:rPr>
          <w:rFonts w:ascii="Times New Roman" w:hAnsi="Times New Roman" w:cs="Times New Roman"/>
          <w:kern w:val="0"/>
        </w:rPr>
        <w:t>, libertad respecto del estilo y la composición, riesgo, aventura, ambigüedad. El vocabulario se modifica porque el objeto que intenta describir permanece móvil.</w:t>
      </w:r>
    </w:p>
    <w:p w14:paraId="05BA8BE8"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Ese movimiento puede observarse con particular claridad en torno a Georges Mathieu. En </w:t>
      </w:r>
      <w:r w:rsidRPr="005116E8">
        <w:rPr>
          <w:rFonts w:ascii="Times New Roman" w:hAnsi="Times New Roman" w:cs="Times New Roman"/>
          <w:i/>
          <w:iCs/>
          <w:kern w:val="0"/>
        </w:rPr>
        <w:t>Dégagement</w:t>
      </w:r>
      <w:r w:rsidRPr="005116E8">
        <w:rPr>
          <w:rFonts w:ascii="Times New Roman" w:hAnsi="Times New Roman" w:cs="Times New Roman"/>
          <w:kern w:val="0"/>
        </w:rPr>
        <w:t>, texto escrito por Tapié en 1950 para una exposición del pintor en la Galerie René Drouin, la atención no recae únicamente en la forma obtenida, sino en la condición de riesgo desde la que el creador actúa. Importa que el resultado no esté garantizado por completo antes de comenzar. El desplazamiento parece pequeño, pero altera el criterio desde el cual dos obras pueden relacionarse: mientras la observación dependa exclusivamente de su apariencia, reunirlas exige demostrar que se parecen; cuando empieza a importar también la posición que adopta una investigación frente a las garantías anteriores, las relaciones pueden aparecer en otro nivel. Dos artistas pueden producir objetos distintos y, sin embargo, compartir una disposición frente al riesgo, la previsión, la autoridad de la forma heredada o la posibilidad de que algo se descubra durante el proceso.</w:t>
      </w:r>
    </w:p>
    <w:p w14:paraId="609603F1"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Esto no significa que Tapié hubiera encontrado una esencia común escondida detrás de las diferencias. Significa que comenzaba a desplazar la pregunta. En lugar de limitarse a preguntar qué forma tenía cada pintura, podía observar qué condiciones habían tenido que cambiar para que esa pintura se volviera posible. Esa manera de mirar no sustituía las investigaciones particulares, pero permitía contemplarlas desde una escala distinta; allí donde la proximidad morfológica resultaba insuficiente, la relación podía comenzar a aparecer en la posición que cada artista adoptaba frente a un sistema de expectativas que ya no le servía.</w:t>
      </w:r>
    </w:p>
    <w:p w14:paraId="76222B62"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i/>
          <w:iCs/>
          <w:kern w:val="0"/>
        </w:rPr>
        <w:t>Imagen 2. Michel Tapié, fotografía documental de comienzos o mediados de los años cincuenta. El pie debe presentarlo como crítico, escritor y organizador de exposiciones, no como “fundador de un estilo”.</w:t>
      </w:r>
    </w:p>
    <w:p w14:paraId="17E751F4" w14:textId="77777777" w:rsidR="00F2021C" w:rsidRPr="005116E8" w:rsidRDefault="00F2021C" w:rsidP="00F2021C">
      <w:pPr>
        <w:autoSpaceDE w:val="0"/>
        <w:autoSpaceDN w:val="0"/>
        <w:adjustRightInd w:val="0"/>
        <w:spacing w:after="0" w:line="240" w:lineRule="auto"/>
        <w:rPr>
          <w:rFonts w:ascii="Times New Roman" w:hAnsi="Times New Roman" w:cs="Times New Roman"/>
          <w:color w:val="6D6D6D"/>
          <w:kern w:val="0"/>
        </w:rPr>
      </w:pPr>
    </w:p>
    <w:p w14:paraId="203FC127" w14:textId="77777777" w:rsidR="00F2021C" w:rsidRPr="005116E8" w:rsidRDefault="00F2021C" w:rsidP="00F2021C">
      <w:pPr>
        <w:autoSpaceDE w:val="0"/>
        <w:autoSpaceDN w:val="0"/>
        <w:adjustRightInd w:val="0"/>
        <w:spacing w:after="298" w:line="240" w:lineRule="auto"/>
        <w:rPr>
          <w:rFonts w:ascii="Times New Roman" w:hAnsi="Times New Roman" w:cs="Times New Roman"/>
          <w:b/>
          <w:bCs/>
          <w:kern w:val="0"/>
        </w:rPr>
      </w:pPr>
      <w:r w:rsidRPr="005116E8">
        <w:rPr>
          <w:rFonts w:ascii="Times New Roman" w:hAnsi="Times New Roman" w:cs="Times New Roman"/>
          <w:b/>
          <w:bCs/>
          <w:kern w:val="0"/>
        </w:rPr>
        <w:t xml:space="preserve">II. </w:t>
      </w:r>
      <w:r w:rsidRPr="005116E8">
        <w:rPr>
          <w:rFonts w:ascii="Times New Roman" w:hAnsi="Times New Roman" w:cs="Times New Roman"/>
          <w:b/>
          <w:bCs/>
          <w:i/>
          <w:iCs/>
          <w:kern w:val="0"/>
        </w:rPr>
        <w:t>Véhémences confrontées</w:t>
      </w:r>
      <w:r w:rsidRPr="005116E8">
        <w:rPr>
          <w:rFonts w:ascii="Times New Roman" w:hAnsi="Times New Roman" w:cs="Times New Roman"/>
          <w:b/>
          <w:bCs/>
          <w:kern w:val="0"/>
        </w:rPr>
        <w:t>: hacer visible una relación que todavía no tiene nombre</w:t>
      </w:r>
    </w:p>
    <w:p w14:paraId="48E1C1E5"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En marzo de 1951 esa manera de mirar adquirió una forma pública especialmente clara. La Galerie Nina Dausset de París presentó </w:t>
      </w:r>
      <w:r w:rsidRPr="005116E8">
        <w:rPr>
          <w:rFonts w:ascii="Times New Roman" w:hAnsi="Times New Roman" w:cs="Times New Roman"/>
          <w:i/>
          <w:iCs/>
          <w:kern w:val="0"/>
        </w:rPr>
        <w:t>Véhémences confrontées</w:t>
      </w:r>
      <w:r w:rsidRPr="005116E8">
        <w:rPr>
          <w:rFonts w:ascii="Times New Roman" w:hAnsi="Times New Roman" w:cs="Times New Roman"/>
          <w:kern w:val="0"/>
        </w:rPr>
        <w:t>, exposición organizada dentro de la colaboración entre Georges Mathieu y Michel Tapié, en la que aparecieron Camille Bryen, Giuseppe Capogrossi, Willem de Kooning, Hans Hartung, Georges Mathieu, Jackson Pollock, Jean-Paul Riopelle, Morgan Russell y Wols. La selección resulta más reveladora cuando se conserva completa que cuando se traduce inmediatamente a las categorías con las que después aprendimos a ordenar la década. Estados Unidos, Francia, Italia, trayectorias anteriores a la guerra y prácticas surgidas después de ella compartían por unas semanas el mismo espacio sin que esa proximidad resolviera sus diferencias.</w:t>
      </w:r>
    </w:p>
    <w:p w14:paraId="17D84809"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Es precisamente allí donde conviene detener la lectura historiográfica acostumbrada. La presencia simultánea de Pollock, de Kooning, Hartung, Wols, Mathieu o Riopelle no demuestra que el Expresionismo Abstracto estadounidense y las investigaciones europeas que terminarían agrupándose bajo denominaciones como Informalismo, Tachismo o Abstracción Lírica fueran expresiones regionales de una misma mutación creativa. Existen coincidencias suficientemente visibles como para comprender por qué fueron aproximadas —ruptura con determinados sistemas compositivos, apertura al accidente, relevancia creciente del procedimiento, del gesto o de la materia—, pero esas coincidencias se vuelven demasiado generales cuando intentan explicar lo que ocurre dentro de cada obra. Pollock transforma de una manera muy específica la relación entre cuerpo, escala, superficie y acontecimiento pictórico; Hartung puede separar durante décadas el momento gestual del dibujo y la posterior transferencia cuidadosamente controlada al lienzo; Mathieu convierte velocidad e improvisación en condiciones deliberadas de producción; Riopelle trabaja con una resistencia material que reorganiza el vínculo entre decisión y descubrimiento; Wols mantiene una relación entre naturaleza, visión microscópica, dibujo y existencia que difícilmente podría confundirse con ninguna de las anteriores. Desde lejos aparecen afinidades; al acercarse, las mutaciones vuelven a diferenciarse.</w:t>
      </w:r>
    </w:p>
    <w:p w14:paraId="5F502C94"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La importancia de </w:t>
      </w:r>
      <w:r w:rsidRPr="005116E8">
        <w:rPr>
          <w:rFonts w:ascii="Times New Roman" w:hAnsi="Times New Roman" w:cs="Times New Roman"/>
          <w:i/>
          <w:iCs/>
          <w:kern w:val="0"/>
        </w:rPr>
        <w:t>Véhémences confrontées</w:t>
      </w:r>
      <w:r w:rsidRPr="005116E8">
        <w:rPr>
          <w:rFonts w:ascii="Times New Roman" w:hAnsi="Times New Roman" w:cs="Times New Roman"/>
          <w:kern w:val="0"/>
        </w:rPr>
        <w:t xml:space="preserve"> no reside entonces en haber demostrado una equivalencia, sino en haber construido un lugar donde la equivalencia dejaba de ser necesaria para justificar la confrontación. Tapié y Mathieu no necesitaban probar que aquellos artistas fueran miembros de una misma escuela para considerar que algo podía aprenderse al ponerlos juntos. La exposición produjo una proximidad y esa proximidad hizo visible una pregunta: qué clase de transformación podía estar ocurriendo para que investigaciones tan distintas resultaran contemporáneamente significativas aunque no compartieran una morfología estable.</w:t>
      </w:r>
    </w:p>
    <w:p w14:paraId="21CB0328"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Ésta es también una advertencia para la historia razonada del arte. Las exposiciones no son recipientes neutros en los que simplemente se depositan relaciones que ya existían. Al seleccionar y aproximar obras construyen condiciones perceptivas nuevas; una pintura puede comenzar a ser leída de otra manera porque otra aparece a pocos metros, porque ambas comparten un catálogo, porque un crítico las menciona dentro del mismo texto o porque décadas después un manual repite aquella asociación hasta volver invisible la decisión que la produjo. La cercanía expositiva puede convertirse así en cercanía </w:t>
      </w:r>
      <w:r w:rsidRPr="005116E8">
        <w:rPr>
          <w:rFonts w:ascii="Times New Roman" w:hAnsi="Times New Roman" w:cs="Times New Roman"/>
          <w:kern w:val="0"/>
        </w:rPr>
        <w:lastRenderedPageBreak/>
        <w:t>historiográfica y, con suficiente repetición, terminar pareciendo una genealogía natural. El problema no consiste en que esa relación sea necesariamente falsa, sino en olvidar que alguna vez fue construida.</w:t>
      </w:r>
    </w:p>
    <w:p w14:paraId="0444E3C3"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Por eso </w:t>
      </w:r>
      <w:r w:rsidRPr="005116E8">
        <w:rPr>
          <w:rFonts w:ascii="Times New Roman" w:hAnsi="Times New Roman" w:cs="Times New Roman"/>
          <w:i/>
          <w:iCs/>
          <w:kern w:val="0"/>
        </w:rPr>
        <w:t>Véhémences confrontées</w:t>
      </w:r>
      <w:r w:rsidRPr="005116E8">
        <w:rPr>
          <w:rFonts w:ascii="Times New Roman" w:hAnsi="Times New Roman" w:cs="Times New Roman"/>
          <w:kern w:val="0"/>
        </w:rPr>
        <w:t xml:space="preserve"> puede considerarse un momento decisivo en la generalización que posteriormente acercará demasiado el Informalismo europeo al Expresionismo Abstracto estadounidense. La exposición hace imaginable una lectura común, pero no demuestra que los problemas internos de las obras sean equivalentes. Esa distinción permite conservar simultáneamente dos verdades: Tapié y Mathieu percibieron una transformación internacional que las categorías nacionales o estilísticas anteriores no alcanzaban a describir, mientras cada artista continuaba desarrollando una investigación cuya singularidad no desaparecía por haber entrado en ese campo. El error posterior aparecería cuando la escala amplia sustituyera a la cercana y el parentesco crítico comenzara a utilizarse como identidad creativa.</w:t>
      </w:r>
    </w:p>
    <w:p w14:paraId="61E2553A"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i/>
          <w:iCs/>
          <w:kern w:val="0"/>
        </w:rPr>
        <w:t>Imagen 3. Invitación, cartel o documentación de</w:t>
      </w:r>
      <w:r w:rsidRPr="005116E8">
        <w:rPr>
          <w:rFonts w:ascii="Times New Roman" w:hAnsi="Times New Roman" w:cs="Times New Roman"/>
          <w:kern w:val="0"/>
        </w:rPr>
        <w:t xml:space="preserve"> Véhémences confrontées, </w:t>
      </w:r>
      <w:r w:rsidRPr="005116E8">
        <w:rPr>
          <w:rFonts w:ascii="Times New Roman" w:hAnsi="Times New Roman" w:cs="Times New Roman"/>
          <w:i/>
          <w:iCs/>
          <w:kern w:val="0"/>
        </w:rPr>
        <w:t>Galerie Nina Dausset, París, 1951. El pie debe incluir a Camille Bryen, Giuseppe Capogrossi, Willem de Kooning, Hans Hartung, Georges Mathieu, Jackson Pollock, Jean-Paul Riopelle, Morgan Russell y Wols. Esta imagen es el documento central de la construcción curatorial del campo.</w:t>
      </w:r>
    </w:p>
    <w:p w14:paraId="42EC8469"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La dificultad quedó expuesta casi de inmediato en el propio vocabulario. </w:t>
      </w:r>
      <w:r w:rsidRPr="005116E8">
        <w:rPr>
          <w:rFonts w:ascii="Times New Roman" w:hAnsi="Times New Roman" w:cs="Times New Roman"/>
          <w:i/>
          <w:iCs/>
          <w:kern w:val="0"/>
        </w:rPr>
        <w:t>Informel</w:t>
      </w:r>
      <w:r w:rsidRPr="005116E8">
        <w:rPr>
          <w:rFonts w:ascii="Times New Roman" w:hAnsi="Times New Roman" w:cs="Times New Roman"/>
          <w:kern w:val="0"/>
        </w:rPr>
        <w:t xml:space="preserve"> servía mientras se utilizaba como señal de una apertura frente a determinadas convenciones formales, pero empezaba a fallar cuando pretendía describir positivamente aquello que cada artista hacía. Mathieu, por ejemplo, no estaba tratando de eliminar la forma; estaba produciendo signos cuya configuración no existía antes de la acción. La fórmula </w:t>
      </w:r>
      <w:r w:rsidRPr="005116E8">
        <w:rPr>
          <w:rFonts w:ascii="Times New Roman" w:hAnsi="Times New Roman" w:cs="Times New Roman"/>
          <w:i/>
          <w:iCs/>
          <w:kern w:val="0"/>
        </w:rPr>
        <w:t>Signifiants de l’informel</w:t>
      </w:r>
      <w:r w:rsidRPr="005116E8">
        <w:rPr>
          <w:rFonts w:ascii="Times New Roman" w:hAnsi="Times New Roman" w:cs="Times New Roman"/>
          <w:kern w:val="0"/>
        </w:rPr>
        <w:t xml:space="preserve"> contenía así una tensión que no podía resolverse simplemente ampliando la palabra </w:t>
      </w:r>
      <w:r w:rsidRPr="005116E8">
        <w:rPr>
          <w:rFonts w:ascii="Times New Roman" w:hAnsi="Times New Roman" w:cs="Times New Roman"/>
          <w:i/>
          <w:iCs/>
          <w:kern w:val="0"/>
        </w:rPr>
        <w:t>informel</w:t>
      </w:r>
      <w:r w:rsidRPr="005116E8">
        <w:rPr>
          <w:rFonts w:ascii="Times New Roman" w:hAnsi="Times New Roman" w:cs="Times New Roman"/>
          <w:kern w:val="0"/>
        </w:rPr>
        <w:t>. El término que había permitido abrir el territorio comenzaba a introducir una nueva limitación precisamente porque las investigaciones incluidas se resistían a compartir la propiedad que debía definirlas.</w:t>
      </w:r>
    </w:p>
    <w:p w14:paraId="06A09108"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Lo revelador es que Tapié no solucionó el problema expulsando lo que ya no encajaba. Su mirada siguió ensanchándose y, al hacerlo, el criterio se desplazó todavía más desde la apariencia hacia la continuidad de la investigación. El caso Pollock permitió observar ese movimiento con especial nitidez. Cuando Mathieu interpretó el retorno parcial del pintor estadounidense hacia la figuración como una interrupción de la aventura anterior, Tapié sostuvo que semejante desplazamiento no destruía necesariamente aquello que Pollock venía investigando. La oposición entre figuración y no figuración dejaba de ser suficiente para determinar dónde comenzaba o terminaba una trayectoria creativa; podía cambiar aquello que aparecía en la superficie sin que el problema que sostenía la investigación desapareciera con la misma rapidez.</w:t>
      </w:r>
    </w:p>
    <w:p w14:paraId="58E88E10"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La consecuencia era considerable. Si dentro de una sola trayectoria la continuidad de la investigación podía sobrevivir a una discontinuidad formal, la forma dejaba de funcionar como garantía exclusiva de identidad y se abría la posibilidad de reconocer relaciones entre artistas que tampoco necesitaban compartir una morfología. La semejanza seguía siendo útil, pero perdía el monopolio epistemológico que durante tanto tiempo había permitido </w:t>
      </w:r>
      <w:r w:rsidRPr="005116E8">
        <w:rPr>
          <w:rFonts w:ascii="Times New Roman" w:hAnsi="Times New Roman" w:cs="Times New Roman"/>
          <w:kern w:val="0"/>
        </w:rPr>
        <w:lastRenderedPageBreak/>
        <w:t>construir escuelas, estilos y movimientos. A partir de ese momento, dos producciones podían resultar históricamente próximas no porque parecieran versiones de una misma solución, sino porque mostraban maneras distintas de operar después de que determinadas reglas hubieran dejado de funcionar como garantía suficiente.</w:t>
      </w:r>
    </w:p>
    <w:p w14:paraId="6C9ED174"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i/>
          <w:iCs/>
          <w:kern w:val="0"/>
        </w:rPr>
        <w:t>Imagen 4. Wols y Jackson Pollock, obras del horizonte 1947–1951 presentadas como contrapunto, no como equivalentes. El pie debe hacer explícito que la comparación documenta la heterogeneidad de la confrontación de 1951.</w:t>
      </w:r>
    </w:p>
    <w:p w14:paraId="23D64096" w14:textId="77777777" w:rsidR="00F2021C" w:rsidRPr="005116E8" w:rsidRDefault="00F2021C" w:rsidP="00F2021C">
      <w:pPr>
        <w:autoSpaceDE w:val="0"/>
        <w:autoSpaceDN w:val="0"/>
        <w:adjustRightInd w:val="0"/>
        <w:spacing w:after="0" w:line="240" w:lineRule="auto"/>
        <w:rPr>
          <w:rFonts w:ascii="Times New Roman" w:hAnsi="Times New Roman" w:cs="Times New Roman"/>
          <w:color w:val="6D6D6D"/>
          <w:kern w:val="0"/>
        </w:rPr>
      </w:pPr>
    </w:p>
    <w:p w14:paraId="6D786E44" w14:textId="77777777" w:rsidR="00F2021C" w:rsidRPr="005116E8" w:rsidRDefault="00F2021C" w:rsidP="00F2021C">
      <w:pPr>
        <w:autoSpaceDE w:val="0"/>
        <w:autoSpaceDN w:val="0"/>
        <w:adjustRightInd w:val="0"/>
        <w:spacing w:after="298" w:line="240" w:lineRule="auto"/>
        <w:rPr>
          <w:rFonts w:ascii="Times New Roman" w:hAnsi="Times New Roman" w:cs="Times New Roman"/>
          <w:b/>
          <w:bCs/>
          <w:kern w:val="0"/>
        </w:rPr>
      </w:pPr>
      <w:r w:rsidRPr="005116E8">
        <w:rPr>
          <w:rFonts w:ascii="Times New Roman" w:hAnsi="Times New Roman" w:cs="Times New Roman"/>
          <w:b/>
          <w:bCs/>
          <w:kern w:val="0"/>
        </w:rPr>
        <w:t>III. Un libro que no sólo explica: selecciona</w:t>
      </w:r>
    </w:p>
    <w:p w14:paraId="402B1440"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Cuando </w:t>
      </w:r>
      <w:r w:rsidRPr="005116E8">
        <w:rPr>
          <w:rFonts w:ascii="Times New Roman" w:hAnsi="Times New Roman" w:cs="Times New Roman"/>
          <w:i/>
          <w:iCs/>
          <w:kern w:val="0"/>
        </w:rPr>
        <w:t>Un art autre: où il s’agit de nouveaux dévidages du réel</w:t>
      </w:r>
      <w:r w:rsidRPr="005116E8">
        <w:rPr>
          <w:rFonts w:ascii="Times New Roman" w:hAnsi="Times New Roman" w:cs="Times New Roman"/>
          <w:kern w:val="0"/>
        </w:rPr>
        <w:t xml:space="preserve"> apareció en 1952, la palabra </w:t>
      </w:r>
      <w:r w:rsidRPr="005116E8">
        <w:rPr>
          <w:rFonts w:ascii="Times New Roman" w:hAnsi="Times New Roman" w:cs="Times New Roman"/>
          <w:i/>
          <w:iCs/>
          <w:kern w:val="0"/>
        </w:rPr>
        <w:t>autre</w:t>
      </w:r>
      <w:r w:rsidRPr="005116E8">
        <w:rPr>
          <w:rFonts w:ascii="Times New Roman" w:hAnsi="Times New Roman" w:cs="Times New Roman"/>
          <w:kern w:val="0"/>
        </w:rPr>
        <w:t xml:space="preserve"> poseía una ventaja que las denominaciones anteriores no habían conseguido conservar durante mucho tiempo: decía relativamente poco acerca de cómo debía verse aquello que nombraba. El volumen reunía a numerosos artistas y reproducía decenas de obras; no funcionaba únicamente como un texto que definía una corriente, sino como un objeto editorial capaz de producir proximidades mediante su propia secuencia visual. Las reproducciones, su número, el espacio concedido a cada artista y las relaciones que aparecían al pasar de una página a otra participaban de la misma operación que las exposiciones. El libro argumentaba, pero también hacía visible el campo que pretendía reconocer.</w:t>
      </w:r>
    </w:p>
    <w:p w14:paraId="4FB4A44E"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Esta condición resulta particularmente importante porque evita convertir </w:t>
      </w:r>
      <w:r w:rsidRPr="005116E8">
        <w:rPr>
          <w:rFonts w:ascii="Times New Roman" w:hAnsi="Times New Roman" w:cs="Times New Roman"/>
          <w:i/>
          <w:iCs/>
          <w:kern w:val="0"/>
        </w:rPr>
        <w:t>Un art autre</w:t>
      </w:r>
      <w:r w:rsidRPr="005116E8">
        <w:rPr>
          <w:rFonts w:ascii="Times New Roman" w:hAnsi="Times New Roman" w:cs="Times New Roman"/>
          <w:kern w:val="0"/>
        </w:rPr>
        <w:t xml:space="preserve"> en un tratado sistemático que habría precedido a las obras. Lo que conocemos de su estructura material —un volumen ilustrado, no paginado en la edición original según las descripciones catalográficas disponibles, con alrededor de ochenta y cinco reproducciones y una presencia especialmente abundante de Mathieu— permite pensarlo como una especie de exposición transportable. La selección no aparecía después de la teoría como simple ejemplo; formaba parte de la manera en que la teoría podía existir. Las obras mantenían sus diferencias mientras el libro las obligaba a compartir un campo perceptivo que ya no dependía enteramente de una forma común.</w:t>
      </w:r>
    </w:p>
    <w:p w14:paraId="601021FF"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Ahí el término “paraguas” empieza a quedarse corto. Un paraguas sugiere una cobertura amplia bajo la cual se colocan elementos previamente reconocidos como miembros de una familia. Tapié realiza algo más activo: identifica, aproxima, confronta, insiste en ciertos nombres, modifica el vocabulario, publica, exhibe y vuelve a relacionar. Incluso “constelación”, aunque más fértil, conserva una cierta pasividad, como si todos los puntos hubieran estado esperando a que alguien trazara líneas entre ellos. El procedimiento de Tapié implica también decidir qué puntos merecen entrar en la figura y cuáles permanecen fuera. Quizá por eso resulte más exacto entender Art Autre como un campo de relaciones críticas construido por selección, una estructura cuya coherencia puede residir menos en las propiedades compartidas por sus miembros que en el criterio capaz de reconocerlos como significativos dentro de una transformación histórica más amplia.</w:t>
      </w:r>
    </w:p>
    <w:p w14:paraId="65F50F6C"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Los fragmentos conservados del libro a través de fuentes secundarias parecen compatibles con esa lectura. Tapié habla de ruptura, de Dada como corte, de arte ejercido “en otra </w:t>
      </w:r>
      <w:r w:rsidRPr="005116E8">
        <w:rPr>
          <w:rFonts w:ascii="Times New Roman" w:hAnsi="Times New Roman" w:cs="Times New Roman"/>
          <w:kern w:val="0"/>
        </w:rPr>
        <w:lastRenderedPageBreak/>
        <w:t>parte”, de desviación respecto de leyes admitidas, de ambigüedad como defensa frente a la estabilización académica y, de manera particularmente sugerente, desplaza el interés desde los movimientos hacia los individuos. Es necesario mantener aquí la cautela documental: el texto completo de 1952 no ha podido recuperarse y varias expresiones atribuidas posteriormente a Tapié —“nuevo protocolo”, “nuevo ritual” o ciertos aparatos científicos y filosóficos— no deben proyectarse sobre este momento sin evidencia. Pero precisamente esa prudencia deja ver un vocabulario menos sistemático y quizá más acorde con la operación que estaba realizando: aventura, ruptura, individuo, ambigüedad, exterioridad respecto de leyes reconocidas. Más que describir una morfología, esas palabras intentan reconocer una posición.</w:t>
      </w:r>
    </w:p>
    <w:p w14:paraId="055D8FA2"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La paradoja historiográfica aparece cuando una construcción que parece interesarse precisamente por investigaciones individuales termina convertida en otro movimiento. La historia recibe el nombre, lo utiliza para ordenar una década y poco a poco borra el mecanismo que había permitido reunir lo heterogéneo. Art Autre empieza entonces a parecer una gran familia dentro de la cual cabrían Informalismo, Tachismo, Abstracción Lírica y, con frecuencia, ciertas lecturas del Expresionismo Abstracto, como si esos términos fueran diferentes niveles de una misma taxonomía. La claridad es útil para un manual, pero pierde aquello que el propio proceso de Tapié había hecho visible: la posibilidad de que dos investigaciones compartan una posición histórica sin compartir la mutación interna que las produce.</w:t>
      </w:r>
    </w:p>
    <w:p w14:paraId="715BF4D1"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Esa diferencia permite volver a la obra sin renunciar al mapa. Pollock puede ser leído dentro del campo construido por Tapié sin dejar de pertenecer a su propia investigación; Wols puede relacionarse con él sin convertirse en su equivalente; Mathieu puede compartir exposiciones y libros con ambos sin que su concepción del signo, la velocidad y la premeditación quede reducida al término </w:t>
      </w:r>
      <w:r w:rsidRPr="005116E8">
        <w:rPr>
          <w:rFonts w:ascii="Times New Roman" w:hAnsi="Times New Roman" w:cs="Times New Roman"/>
          <w:i/>
          <w:iCs/>
          <w:kern w:val="0"/>
        </w:rPr>
        <w:t>informel</w:t>
      </w:r>
      <w:r w:rsidRPr="005116E8">
        <w:rPr>
          <w:rFonts w:ascii="Times New Roman" w:hAnsi="Times New Roman" w:cs="Times New Roman"/>
          <w:kern w:val="0"/>
        </w:rPr>
        <w:t>. La categoría no explica necesariamente cómo nació la obra; explica cómo determinadas obras comenzaron a ser vistas en relación.</w:t>
      </w:r>
    </w:p>
    <w:p w14:paraId="6FCBF441"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i/>
          <w:iCs/>
          <w:kern w:val="0"/>
        </w:rPr>
        <w:t>Imagen 5. Cubierta original de Michel Tapié,</w:t>
      </w:r>
      <w:r w:rsidRPr="005116E8">
        <w:rPr>
          <w:rFonts w:ascii="Times New Roman" w:hAnsi="Times New Roman" w:cs="Times New Roman"/>
          <w:kern w:val="0"/>
        </w:rPr>
        <w:t xml:space="preserve"> Un art autre: où il s’agit de nouveaux dévidages du réel, </w:t>
      </w:r>
      <w:r w:rsidRPr="005116E8">
        <w:rPr>
          <w:rFonts w:ascii="Times New Roman" w:hAnsi="Times New Roman" w:cs="Times New Roman"/>
          <w:i/>
          <w:iCs/>
          <w:kern w:val="0"/>
        </w:rPr>
        <w:t>1952. El pie deberá señalar que el volumen debe leerse simultáneamente como texto y como dispositivo editorial de selección.</w:t>
      </w:r>
    </w:p>
    <w:p w14:paraId="7E66450A"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Este nivel de segundo orden había aparecido antes y volvería a hacerlo después. Roger Fry había reunido en 1910 bajo la denominación Post-Impressionists a artistas cuya heterogeneidad difícilmente puede agotarse en la categoría que permitió presentarlos al público británico; Philip Johnson y Henry-Russell Hitchcock construirían en 1932, mediante exposición, selección y publicación, una imagen del International Style tan eficaz que terminaría pareciendo descripción natural de una arquitectura moderna mucho más diversa. Fry, Tapié y Johnson no hacen lo mismo ni deben convertirse en miembros de otra categoría fabricada apresuradamente, pero los tres permiten reconocer una capacidad crítica recurrente: el curador puede producir inteligibilidad histórica al construir relaciones entre objetos cuya unidad no estaba dada de antemano. El artista transforma la práctica desde dentro; el curador modifica la escala desde la que esa transformación puede ser percibida.</w:t>
      </w:r>
    </w:p>
    <w:p w14:paraId="34739256"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Es una capacidad poderosa porque actúa sin necesidad de alterar físicamente ninguna obra. Basta con cambiar las proximidades. Una exposición, un catálogo o un libro pueden </w:t>
      </w:r>
      <w:r w:rsidRPr="005116E8">
        <w:rPr>
          <w:rFonts w:ascii="Times New Roman" w:hAnsi="Times New Roman" w:cs="Times New Roman"/>
          <w:kern w:val="0"/>
        </w:rPr>
        <w:lastRenderedPageBreak/>
        <w:t>convertir en contemporáneas, para la mirada, investigaciones que se desarrollaron sin depender unas de otras. La relación que surge puede revelar algo real y, al mismo tiempo, no haber formado parte de la intención original de los creadores. Por eso la selección debe entenderse como producción de conocimiento y no como simple ordenamiento administrativo, aunque precisamente esa capacidad obliga a preguntar siempre quién seleccionó, qué criterio utilizó, quién quedó fuera y qué diferencias tuvieron que pasar a segundo plano para que la relación pudiera aparecer.</w:t>
      </w:r>
    </w:p>
    <w:p w14:paraId="50C1B0E7" w14:textId="77777777" w:rsidR="00F2021C" w:rsidRPr="005116E8" w:rsidRDefault="00F2021C" w:rsidP="00F2021C">
      <w:pPr>
        <w:autoSpaceDE w:val="0"/>
        <w:autoSpaceDN w:val="0"/>
        <w:adjustRightInd w:val="0"/>
        <w:spacing w:after="0" w:line="240" w:lineRule="auto"/>
        <w:rPr>
          <w:rFonts w:ascii="Times New Roman" w:hAnsi="Times New Roman" w:cs="Times New Roman"/>
          <w:color w:val="6D6D6D"/>
          <w:kern w:val="0"/>
        </w:rPr>
      </w:pPr>
    </w:p>
    <w:p w14:paraId="31AC6895" w14:textId="77777777" w:rsidR="00F2021C" w:rsidRPr="005116E8" w:rsidRDefault="00F2021C" w:rsidP="00F2021C">
      <w:pPr>
        <w:autoSpaceDE w:val="0"/>
        <w:autoSpaceDN w:val="0"/>
        <w:adjustRightInd w:val="0"/>
        <w:spacing w:after="298" w:line="240" w:lineRule="auto"/>
        <w:rPr>
          <w:rFonts w:ascii="Times New Roman" w:hAnsi="Times New Roman" w:cs="Times New Roman"/>
          <w:b/>
          <w:bCs/>
          <w:kern w:val="0"/>
        </w:rPr>
      </w:pPr>
      <w:r w:rsidRPr="005116E8">
        <w:rPr>
          <w:rFonts w:ascii="Times New Roman" w:hAnsi="Times New Roman" w:cs="Times New Roman"/>
          <w:b/>
          <w:bCs/>
          <w:kern w:val="0"/>
        </w:rPr>
        <w:t>IV. Fontana y el momento en que la categoría revela su verdadera elasticidad</w:t>
      </w:r>
    </w:p>
    <w:p w14:paraId="3E34EDBA"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Si Art Autre hubiera permanecido limitado a las confrontaciones de 1951 y al núcleo editorial de 1952, todavía sería posible interpretarlo como una denominación especialmente amplia para la abstracción no geométrica de la posguerra. La trayectoria posterior de Tapié complica esa lectura y la presencia de Lucio Fontana permite observar hasta qué punto el campo podía crecer sin exigir homogeneidad.</w:t>
      </w:r>
    </w:p>
    <w:p w14:paraId="0F90CAFF"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La investigación espacialista había nacido desde preguntas que no coinciden con las de Fautrier, Wols, Mathieu o Pollock. Desde finales de los años cuarenta Fontana había comenzado a perforar superficies, construir ambientes, utilizar luz y tratar el espacio real como parte constitutiva de la obra; más adelante los cortes llevarían esa lógica hacia una operación todavía más concentrada. El problema no consistía primordialmente en liberar el gesto, intensificar la materia pictórica o administrar la indeterminación del resultado, sino en cuestionar el límite mismo de la superficie y sustituir la representación del espacio por una intervención física que permitiera que el espacio ocurriera en la obra. Si se reconstruye desde dentro, el Espacialismo posee una mutación propia y difícilmente puede reducirse al Informalismo.</w:t>
      </w:r>
    </w:p>
    <w:p w14:paraId="40C8449F"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Precisamente por eso su incorporación posterior al campo de Tapié resulta tan reveladora. En 1957, la exposición </w:t>
      </w:r>
      <w:r w:rsidRPr="005116E8">
        <w:rPr>
          <w:rFonts w:ascii="Times New Roman" w:hAnsi="Times New Roman" w:cs="Times New Roman"/>
          <w:i/>
          <w:iCs/>
          <w:kern w:val="0"/>
        </w:rPr>
        <w:t>Art altre</w:t>
      </w:r>
      <w:r w:rsidRPr="005116E8">
        <w:rPr>
          <w:rFonts w:ascii="Times New Roman" w:hAnsi="Times New Roman" w:cs="Times New Roman"/>
          <w:kern w:val="0"/>
        </w:rPr>
        <w:t xml:space="preserve"> de Sala Gaspar en Barcelona reunió, entre otros, a Karel Appel, Alberto Burri, Jean Dubuffet, Jean Fautrier, Jackson Pollock, Franz Kline y Lucio Fontana. Una selección semejante hace difícil sostener que la unidad de Art Autre resida en una morfología compartida. La presencia de Fontana no convierte retrospectivamente al Espacialismo en una variante del Informalismo, del mismo modo que la proximidad con Pollock no transforma la investigación estadounidense en espacialista; lo que cambia es la escala desde la cual diferencias profundas pueden observarse dentro de un mismo campo crítico.</w:t>
      </w:r>
    </w:p>
    <w:p w14:paraId="5DFD5323"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Aquí la expansión deja de ser síntoma de debilidad y empieza a revelar la verdadera elasticidad del dispositivo. Si Tapié puede incorporar una investigación centrada en espacio real, perforación, ambiente y luz sin exigirle que abandone su singularidad, entonces Art Autre no necesita conservar un repertorio formal estable para continuar operando. El criterio puede adaptarse a nuevas geografías, técnicas y problemas porque aquello que mantiene unido el campo no es una solución visible, sino una lectura transversal de prácticas que han dejado de encontrar suficiente explicación en los sistemas anteriores.</w:t>
      </w:r>
    </w:p>
    <w:p w14:paraId="5A6B5B93"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i/>
          <w:iCs/>
          <w:kern w:val="0"/>
        </w:rPr>
        <w:lastRenderedPageBreak/>
        <w:t>Imagen 6. Lucio Fontana,</w:t>
      </w:r>
      <w:r w:rsidRPr="005116E8">
        <w:rPr>
          <w:rFonts w:ascii="Times New Roman" w:hAnsi="Times New Roman" w:cs="Times New Roman"/>
          <w:kern w:val="0"/>
        </w:rPr>
        <w:t xml:space="preserve"> Concetto spaziale, </w:t>
      </w:r>
      <w:r w:rsidRPr="005116E8">
        <w:rPr>
          <w:rFonts w:ascii="Times New Roman" w:hAnsi="Times New Roman" w:cs="Times New Roman"/>
          <w:i/>
          <w:iCs/>
          <w:kern w:val="0"/>
        </w:rPr>
        <w:t>mediados de los años cincuenta. El pie debe aclarar que su incorporación posterior a exposiciones vinculadas con Art Autre no demuestra identidad con el Informalismo; evidencia la capacidad expansiva del criterio de Tapié.</w:t>
      </w:r>
    </w:p>
    <w:p w14:paraId="63A50BE3"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Fontana funciona así como prueba de estrés de la categoría. Allí donde una lectura estilística debería romperse, el campo continúa funcionando, aunque para hacerlo necesite revelar que nunca había dependido enteramente del estilo. Esto obliga también a revisar la manera habitual de narrar su evolución. No parece adecuado hablar simplemente de nacimiento, apogeo y agotamiento, como si Art Autre hubiera sido otro movimiento cuyo lenguaje alcanzó un límite formal. Lo que puede agotarse es una denominación histórica, una red concreta de galerías, textos y relaciones; la capacidad relacional que aquella denominación hizo visible puede continuar expandiéndose e incluso sobrevivir al momento en que el nombre deja de ocupar el centro del debate.</w:t>
      </w:r>
    </w:p>
    <w:p w14:paraId="4DC5FC79"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Durante la segunda mitad de los años cincuenta Tapié extendió sus redes hacia Italia, España, Estados Unidos y Japón, incorporó nuevas prácticas y desarrolló un aparato conceptual cada vez más complejo. Las referencias posteriores a Lupasco, Cantor, topología, física contemporánea y otras áreas deben mantenerse cronológicamente separadas del núcleo de 1952, porque pertenecen a una etapa de sistematización posterior. Lo relevante para la evolución del pensamiento creativo no es demostrar que todo estaba contenido desde el principio, sino observar cómo una intuición crítica capaz de trabajar con heterogeneidad fue encontrando nuevos lenguajes para sostener su expansión.</w:t>
      </w:r>
    </w:p>
    <w:p w14:paraId="3F739535"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Esa expansión introduce también una tensión inevitable. Cuanto mayor es la capacidad de una categoría para incorporar diferencias, mayor es el riesgo de que la memoria historiográfica transforme la relación construida por el curador en una propiedad intrínseca de las obras. El problema no surge porque Tapié coloque a Fontana junto a Fautrier o Pollock; la confrontación puede producir conocimiento precisamente porque obliga a reconsiderar las escalas desde las que se observa el cambio. El problema aparece cuando, tiempo después, la inclusión se utiliza como prueba de que Espacialismo, Informalismo y Expresionismo Abstracto constituyen variantes equivalentes de una misma investigación. La selección original permitía relacionar sin borrar; la simplificación posterior puede conservar la relación mientras elimina la diferencia.</w:t>
      </w:r>
    </w:p>
    <w:p w14:paraId="502FF7A2"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i/>
          <w:iCs/>
          <w:kern w:val="0"/>
        </w:rPr>
        <w:t>Imagen 7. Documentación de</w:t>
      </w:r>
      <w:r w:rsidRPr="005116E8">
        <w:rPr>
          <w:rFonts w:ascii="Times New Roman" w:hAnsi="Times New Roman" w:cs="Times New Roman"/>
          <w:kern w:val="0"/>
        </w:rPr>
        <w:t xml:space="preserve"> Art altre, </w:t>
      </w:r>
      <w:r w:rsidRPr="005116E8">
        <w:rPr>
          <w:rFonts w:ascii="Times New Roman" w:hAnsi="Times New Roman" w:cs="Times New Roman"/>
          <w:i/>
          <w:iCs/>
          <w:kern w:val="0"/>
        </w:rPr>
        <w:t>Sala Gaspar, Barcelona, 1957. El pie deberá destacar la heterogeneidad de los participantes y presentar la muestra como evidencia de la expansión transnacional del campo.</w:t>
      </w:r>
    </w:p>
    <w:p w14:paraId="5B3BD279" w14:textId="77777777" w:rsidR="00F2021C" w:rsidRPr="005116E8" w:rsidRDefault="00F2021C" w:rsidP="00F2021C">
      <w:pPr>
        <w:autoSpaceDE w:val="0"/>
        <w:autoSpaceDN w:val="0"/>
        <w:adjustRightInd w:val="0"/>
        <w:spacing w:after="0" w:line="240" w:lineRule="auto"/>
        <w:rPr>
          <w:rFonts w:ascii="Times New Roman" w:hAnsi="Times New Roman" w:cs="Times New Roman"/>
          <w:color w:val="6D6D6D"/>
          <w:kern w:val="0"/>
        </w:rPr>
      </w:pPr>
    </w:p>
    <w:p w14:paraId="210656E2" w14:textId="77777777" w:rsidR="00F2021C" w:rsidRPr="005116E8" w:rsidRDefault="00F2021C" w:rsidP="00F2021C">
      <w:pPr>
        <w:autoSpaceDE w:val="0"/>
        <w:autoSpaceDN w:val="0"/>
        <w:adjustRightInd w:val="0"/>
        <w:spacing w:after="298" w:line="240" w:lineRule="auto"/>
        <w:rPr>
          <w:rFonts w:ascii="Times New Roman" w:hAnsi="Times New Roman" w:cs="Times New Roman"/>
          <w:b/>
          <w:bCs/>
          <w:kern w:val="0"/>
        </w:rPr>
      </w:pPr>
      <w:r w:rsidRPr="005116E8">
        <w:rPr>
          <w:rFonts w:ascii="Times New Roman" w:hAnsi="Times New Roman" w:cs="Times New Roman"/>
          <w:b/>
          <w:bCs/>
          <w:kern w:val="0"/>
        </w:rPr>
        <w:t>V. Cuando la operación sobrevive a la categoría</w:t>
      </w:r>
    </w:p>
    <w:p w14:paraId="0B3FD74C"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Vista desde el presente, la consecuencia más profunda de Art Autre quizá no se encuentre en la permanencia del término, sino en lo poco extraordinaria que puede parecernos hoy la operación que en los primeros años cincuenta necesitaba todavía ser defendida. Una exposición contemporánea puede reunir pintura, instalación, sonido, video, archivo, objetos industriales, prácticas comunitarias o investigaciones digitales sin que el espectador espere </w:t>
      </w:r>
      <w:r w:rsidRPr="005116E8">
        <w:rPr>
          <w:rFonts w:ascii="Times New Roman" w:hAnsi="Times New Roman" w:cs="Times New Roman"/>
          <w:kern w:val="0"/>
        </w:rPr>
        <w:lastRenderedPageBreak/>
        <w:t>necesariamente una morfología compartida; la unidad puede residir en una pregunta, una tensión social, una relación con el territorio, una condición material o una hipótesis curatorial. Aquello que para Tapié exigía confrontar categorías heredadas ha pasado a formar parte del repertorio normal con el que instituciones, curadores y espectadores construyen sentido.</w:t>
      </w:r>
    </w:p>
    <w:p w14:paraId="2B33451E"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Desde esa perspectiva, Art Autre no necesita pensarse como una estructura que murió cuando dejó de utilizarse con la misma intensidad. La categoría histórica pertenece a una época, pero la capacidad que contribuyó a hacer visible puede independizarse de ella. A medida que la práctica curatorial aprendió a relacionar investigaciones heterogéneas sin exigirles identidad formal, la operación dejó de necesitar el nombre que había servido para reconocerla por primera vez. No desapareció del todo; se incorporó a una manera más amplia de pensar exposiciones, colecciones y relatos históricos, hasta el punto de que su presencia puede volverse difícil de advertir precisamente porque ya no constituye una anomalía.</w:t>
      </w:r>
    </w:p>
    <w:p w14:paraId="68EF66D0"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Esta normalización permite comprender de otra manera la evolución del pensamiento creativo. No todas las capacidades nuevas terminan agotándose mediante la repetición de una forma. Algunas se transfieren al ambiente cultural y dejan de ser reconocibles como innovación porque pasan a formar parte de las condiciones ordinarias del pensamiento. La perspectiva lineal que busca origen, auge y decadencia resulta entonces insuficiente: en Art Autre puede observarse algo más parecido a una expansión que, después de ensayar confrontaciones, construir una categoría y extenderse hacia nuevas prácticas, termina disolviendo parte de su novedad en la cultura que ayudó a transformar.</w:t>
      </w:r>
    </w:p>
    <w:p w14:paraId="43482E60"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El desplazamiento alcanza también a la figura del curador. Si una exposición puede producir conocimiento mediante selección y proximidad, el curador deja de ser únicamente quien ordena objetos después de que la historia ha ocurrido; participa en la construcción del marco desde el cual una época aprende a reconocer lo que está ocurriendo. Esa capacidad no sustituye al creador y tampoco modifica retrospectivamente la intención de la obra, pero introduce un segundo nivel de creatividad histórica en el que relacionar puede resultar tan decisivo como clasificar. Fry había mostrado una versión temprana de esa posibilidad; Tapié la llevó hacia un campo donde la semejanza formal podía dejar de ser requisito; Johnson y Hitchcock mostrarían otra variante cuando la selección se volviera suficientemente poderosa para producir un canon reproducible. En todos los casos, el conocimiento surge no sólo de los objetos, sino también de las relaciones que alguien decide hacer visibles entre ellos.</w:t>
      </w:r>
    </w:p>
    <w:p w14:paraId="4327F988"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La distinción importa porque devuelve responsabilidad a la historiografía. Cuando aceptamos una familia de obras heredada, conviene preguntar quién la construyó, qué problema intentaba resolver y qué diferencias tuvo que dejar en segundo plano para que la relación pudiera funcionar. Una categoría histórica no necesita ser falsa para ser parcial; puede iluminar una escala y oscurecer otra, del mismo modo que un arqueólogo puede formular una hipótesis extraordinariamente fértil sin convertirla por ello en memoria directa de quien fabricó el objeto. Reconocer esta distancia no debilita la interpretación, la vuelve más precisa.</w:t>
      </w:r>
    </w:p>
    <w:p w14:paraId="6F9CBC62"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lastRenderedPageBreak/>
        <w:t>Pedro no habría necesitado formular ninguna de estas distinciones cuando abandonó La Lagunilla. Había visto solamente que aquel puesto podía cambiar de un domingo a otro sin perder por ello su coherencia, porque la coherencia no dependía de que los objetos conservaran una forma común. El hombre que recorría la ciudad podía regresar con una cámara, una silla o una máquina de escribir y reorganizar nuevamente la manta; mientras su criterio continuara operando, el conjunto podía transformarse sin dejar de ser reconocible. La unidad no pertenecía completamente a las cosas, aunque tampoco podía existir sin ellas: aparecía en la relación que una mirada construía al elegirlas.</w:t>
      </w:r>
    </w:p>
    <w:p w14:paraId="6AF3DD9B"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Algo semejante ocurre con el campo que Tapié fue ensanchando durante los años cincuenta. Pollock no necesitó convertirse en Wols, Fontana no dejó de ser espacialista y Fautrier no adquirió retrospectivamente los problemas de Mathieu para que sus investigaciones pudieran entrar en una lectura común. La posibilidad de relacionarlas dependía precisamente de aceptar que una realidad histórica podía ser compartida sin exigir que sus manifestaciones fueran equivalentes, y cuando esa manera de mirar dejó de necesitar el nombre Art Autre, la operación encontró otras formas de continuar. Quizá ahí resida su aportación más duradera a la evolución del pensamiento creativo: no en haber inventado otra familia de obras, sino en haber contribuido a volver pensable una historia capaz de reconocer relaciones entre diferencias sin convertirlas, por ello, en una misma cosa.</w:t>
      </w:r>
    </w:p>
    <w:p w14:paraId="288973A1" w14:textId="77777777" w:rsidR="00F2021C" w:rsidRPr="005116E8" w:rsidRDefault="00F2021C" w:rsidP="00F2021C">
      <w:pPr>
        <w:autoSpaceDE w:val="0"/>
        <w:autoSpaceDN w:val="0"/>
        <w:adjustRightInd w:val="0"/>
        <w:spacing w:after="0" w:line="240" w:lineRule="auto"/>
        <w:rPr>
          <w:rFonts w:ascii="Times New Roman" w:hAnsi="Times New Roman" w:cs="Times New Roman"/>
          <w:color w:val="6D6D6D"/>
          <w:kern w:val="0"/>
        </w:rPr>
      </w:pPr>
    </w:p>
    <w:p w14:paraId="3C25A5C1" w14:textId="77777777" w:rsidR="00F2021C" w:rsidRPr="005116E8" w:rsidRDefault="00F2021C" w:rsidP="00F2021C">
      <w:pPr>
        <w:autoSpaceDE w:val="0"/>
        <w:autoSpaceDN w:val="0"/>
        <w:adjustRightInd w:val="0"/>
        <w:spacing w:after="298" w:line="240" w:lineRule="auto"/>
        <w:rPr>
          <w:rFonts w:ascii="Times New Roman" w:hAnsi="Times New Roman" w:cs="Times New Roman"/>
          <w:b/>
          <w:bCs/>
          <w:kern w:val="0"/>
        </w:rPr>
      </w:pPr>
      <w:r w:rsidRPr="005116E8">
        <w:rPr>
          <w:rFonts w:ascii="Times New Roman" w:hAnsi="Times New Roman" w:cs="Times New Roman"/>
          <w:b/>
          <w:bCs/>
          <w:kern w:val="0"/>
        </w:rPr>
        <w:t>Bibliografía de trabajo</w:t>
      </w:r>
    </w:p>
    <w:p w14:paraId="0B54B4C8"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Brun, Baptiste. “L’œil de Tapié de Céleyran.” Applicat-Prazan, 2018.</w:t>
      </w:r>
    </w:p>
    <w:p w14:paraId="4BA82410"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Evezard, Juliette. </w:t>
      </w:r>
      <w:r w:rsidRPr="005116E8">
        <w:rPr>
          <w:rFonts w:ascii="Times New Roman" w:hAnsi="Times New Roman" w:cs="Times New Roman"/>
          <w:i/>
          <w:iCs/>
          <w:kern w:val="0"/>
        </w:rPr>
        <w:t>Un Art Autre: Le rêve de Michel Tapié</w:t>
      </w:r>
      <w:r w:rsidRPr="005116E8">
        <w:rPr>
          <w:rFonts w:ascii="Times New Roman" w:hAnsi="Times New Roman" w:cs="Times New Roman"/>
          <w:kern w:val="0"/>
        </w:rPr>
        <w:t>. Dijon: Les presses du réel, 2023.</w:t>
      </w:r>
    </w:p>
    <w:p w14:paraId="0C7C57A0"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Fondation Antoni Tàpies. </w:t>
      </w:r>
      <w:r w:rsidRPr="005116E8">
        <w:rPr>
          <w:rFonts w:ascii="Times New Roman" w:hAnsi="Times New Roman" w:cs="Times New Roman"/>
          <w:i/>
          <w:iCs/>
          <w:kern w:val="0"/>
        </w:rPr>
        <w:t>Tàpies als 30</w:t>
      </w:r>
      <w:r w:rsidRPr="005116E8">
        <w:rPr>
          <w:rFonts w:ascii="Times New Roman" w:hAnsi="Times New Roman" w:cs="Times New Roman"/>
          <w:kern w:val="0"/>
        </w:rPr>
        <w:t>. Barcelona: Fundació Antoni Tàpies.</w:t>
      </w:r>
    </w:p>
    <w:p w14:paraId="193A587D"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Fondation Jean Paul Riopelle. </w:t>
      </w:r>
      <w:r w:rsidRPr="005116E8">
        <w:rPr>
          <w:rFonts w:ascii="Times New Roman" w:hAnsi="Times New Roman" w:cs="Times New Roman"/>
          <w:i/>
          <w:iCs/>
          <w:kern w:val="0"/>
        </w:rPr>
        <w:t>Art Autre</w:t>
      </w:r>
      <w:r w:rsidRPr="005116E8">
        <w:rPr>
          <w:rFonts w:ascii="Times New Roman" w:hAnsi="Times New Roman" w:cs="Times New Roman"/>
          <w:kern w:val="0"/>
        </w:rPr>
        <w:t>. Catálogo y documentación cronológica.</w:t>
      </w:r>
    </w:p>
    <w:p w14:paraId="6E617233"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Harrison, Charles, and Paul Wood, eds. </w:t>
      </w:r>
      <w:r w:rsidRPr="005116E8">
        <w:rPr>
          <w:rFonts w:ascii="Times New Roman" w:hAnsi="Times New Roman" w:cs="Times New Roman"/>
          <w:i/>
          <w:iCs/>
          <w:kern w:val="0"/>
        </w:rPr>
        <w:t>Art in Theory 1900–2000: An Anthology of Changing Ideas</w:t>
      </w:r>
      <w:r w:rsidRPr="005116E8">
        <w:rPr>
          <w:rFonts w:ascii="Times New Roman" w:hAnsi="Times New Roman" w:cs="Times New Roman"/>
          <w:kern w:val="0"/>
        </w:rPr>
        <w:t>. 2nd ed. Malden, MA: Blackwell, 2002.</w:t>
      </w:r>
    </w:p>
    <w:p w14:paraId="2B66F09C"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Lombard, Édouard. “Mathieu et Tapié, 1948–1958: une décennie d’aventure.” Comité Georges Mathieu / Applicat-Prazan, 2018.</w:t>
      </w:r>
    </w:p>
    <w:p w14:paraId="272961AC"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Mathieu, Georges. </w:t>
      </w:r>
      <w:r w:rsidRPr="005116E8">
        <w:rPr>
          <w:rFonts w:ascii="Times New Roman" w:hAnsi="Times New Roman" w:cs="Times New Roman"/>
          <w:i/>
          <w:iCs/>
          <w:kern w:val="0"/>
        </w:rPr>
        <w:t>Au-delà du tachisme</w:t>
      </w:r>
      <w:r w:rsidRPr="005116E8">
        <w:rPr>
          <w:rFonts w:ascii="Times New Roman" w:hAnsi="Times New Roman" w:cs="Times New Roman"/>
          <w:kern w:val="0"/>
        </w:rPr>
        <w:t>. Paris: René Julliard, 1963.</w:t>
      </w:r>
    </w:p>
    <w:p w14:paraId="7994C485"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Tapié, Michel. “Dégagement.” Texto para la exposición de Georges Mathieu, Galerie René Drouin, Paris, 1950.</w:t>
      </w:r>
    </w:p>
    <w:p w14:paraId="5B4415A1"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 xml:space="preserve">Tapié, Michel. </w:t>
      </w:r>
      <w:r w:rsidRPr="005116E8">
        <w:rPr>
          <w:rFonts w:ascii="Times New Roman" w:hAnsi="Times New Roman" w:cs="Times New Roman"/>
          <w:i/>
          <w:iCs/>
          <w:kern w:val="0"/>
        </w:rPr>
        <w:t>Un art autre: où il s’agit de nouveaux dévidages du réel</w:t>
      </w:r>
      <w:r w:rsidRPr="005116E8">
        <w:rPr>
          <w:rFonts w:ascii="Times New Roman" w:hAnsi="Times New Roman" w:cs="Times New Roman"/>
          <w:kern w:val="0"/>
        </w:rPr>
        <w:t>. Paris: Gabriel-Giraud et fils, 1952.</w:t>
      </w:r>
    </w:p>
    <w:p w14:paraId="5DFEB04E"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t>Tapié, Michel. “Jackson Pollock avec nous.” Paris: Studio Paul Facchetti, 1952.</w:t>
      </w:r>
    </w:p>
    <w:p w14:paraId="0EBE92FB" w14:textId="77777777" w:rsidR="00F2021C" w:rsidRPr="005116E8" w:rsidRDefault="00F2021C" w:rsidP="00F2021C">
      <w:pPr>
        <w:autoSpaceDE w:val="0"/>
        <w:autoSpaceDN w:val="0"/>
        <w:adjustRightInd w:val="0"/>
        <w:spacing w:after="240" w:line="240" w:lineRule="auto"/>
        <w:rPr>
          <w:rFonts w:ascii="Times New Roman" w:hAnsi="Times New Roman" w:cs="Times New Roman"/>
          <w:kern w:val="0"/>
        </w:rPr>
      </w:pPr>
      <w:r w:rsidRPr="005116E8">
        <w:rPr>
          <w:rFonts w:ascii="Times New Roman" w:hAnsi="Times New Roman" w:cs="Times New Roman"/>
          <w:kern w:val="0"/>
        </w:rPr>
        <w:lastRenderedPageBreak/>
        <w:t xml:space="preserve">Villemur, Frédérique, and Brigitte Pietrzak. </w:t>
      </w:r>
      <w:r w:rsidRPr="005116E8">
        <w:rPr>
          <w:rFonts w:ascii="Times New Roman" w:hAnsi="Times New Roman" w:cs="Times New Roman"/>
          <w:i/>
          <w:iCs/>
          <w:kern w:val="0"/>
        </w:rPr>
        <w:t>Paul Facchetti, le Studio, art informel et abstraction lyrique</w:t>
      </w:r>
      <w:r w:rsidRPr="005116E8">
        <w:rPr>
          <w:rFonts w:ascii="Times New Roman" w:hAnsi="Times New Roman" w:cs="Times New Roman"/>
          <w:kern w:val="0"/>
        </w:rPr>
        <w:t>. Arles: Actes Sud, 2004.</w:t>
      </w:r>
    </w:p>
    <w:p w14:paraId="40195737" w14:textId="77777777" w:rsidR="00F2021C" w:rsidRPr="005116E8" w:rsidRDefault="00F2021C" w:rsidP="00F2021C">
      <w:pPr>
        <w:autoSpaceDE w:val="0"/>
        <w:autoSpaceDN w:val="0"/>
        <w:adjustRightInd w:val="0"/>
        <w:spacing w:after="0" w:line="240" w:lineRule="auto"/>
        <w:rPr>
          <w:rFonts w:ascii="Times New Roman" w:hAnsi="Times New Roman" w:cs="Times New Roman"/>
          <w:color w:val="6D6D6D"/>
          <w:kern w:val="0"/>
        </w:rPr>
      </w:pPr>
    </w:p>
    <w:p w14:paraId="2E58C1F0" w14:textId="77777777" w:rsidR="00365817" w:rsidRPr="005116E8" w:rsidRDefault="00365817">
      <w:pPr>
        <w:rPr>
          <w:rFonts w:ascii="Times New Roman" w:hAnsi="Times New Roman" w:cs="Times New Roman"/>
        </w:rPr>
      </w:pPr>
    </w:p>
    <w:sectPr w:rsidR="00365817" w:rsidRPr="005116E8" w:rsidSect="00F2021C">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1C"/>
    <w:rsid w:val="00365817"/>
    <w:rsid w:val="004A2E28"/>
    <w:rsid w:val="004E106E"/>
    <w:rsid w:val="005116E8"/>
    <w:rsid w:val="00721A63"/>
    <w:rsid w:val="009E7278"/>
    <w:rsid w:val="00BF07BD"/>
    <w:rsid w:val="00F202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697330D"/>
  <w15:chartTrackingRefBased/>
  <w15:docId w15:val="{EFE567DA-1F4E-6F44-A450-8C0F22E6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0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0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021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021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021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02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02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02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02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021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2021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2021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2021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2021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202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02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02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021C"/>
    <w:rPr>
      <w:rFonts w:eastAsiaTheme="majorEastAsia" w:cstheme="majorBidi"/>
      <w:color w:val="272727" w:themeColor="text1" w:themeTint="D8"/>
    </w:rPr>
  </w:style>
  <w:style w:type="paragraph" w:styleId="Ttulo">
    <w:name w:val="Title"/>
    <w:basedOn w:val="Normal"/>
    <w:next w:val="Normal"/>
    <w:link w:val="TtuloCar"/>
    <w:uiPriority w:val="10"/>
    <w:qFormat/>
    <w:rsid w:val="00F20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02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02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02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021C"/>
    <w:pPr>
      <w:spacing w:before="160"/>
      <w:jc w:val="center"/>
    </w:pPr>
    <w:rPr>
      <w:i/>
      <w:iCs/>
      <w:color w:val="404040" w:themeColor="text1" w:themeTint="BF"/>
    </w:rPr>
  </w:style>
  <w:style w:type="character" w:customStyle="1" w:styleId="CitaCar">
    <w:name w:val="Cita Car"/>
    <w:basedOn w:val="Fuentedeprrafopredeter"/>
    <w:link w:val="Cita"/>
    <w:uiPriority w:val="29"/>
    <w:rsid w:val="00F2021C"/>
    <w:rPr>
      <w:i/>
      <w:iCs/>
      <w:color w:val="404040" w:themeColor="text1" w:themeTint="BF"/>
    </w:rPr>
  </w:style>
  <w:style w:type="paragraph" w:styleId="Prrafodelista">
    <w:name w:val="List Paragraph"/>
    <w:basedOn w:val="Normal"/>
    <w:uiPriority w:val="34"/>
    <w:qFormat/>
    <w:rsid w:val="00F2021C"/>
    <w:pPr>
      <w:ind w:left="720"/>
      <w:contextualSpacing/>
    </w:pPr>
  </w:style>
  <w:style w:type="character" w:styleId="nfasisintenso">
    <w:name w:val="Intense Emphasis"/>
    <w:basedOn w:val="Fuentedeprrafopredeter"/>
    <w:uiPriority w:val="21"/>
    <w:qFormat/>
    <w:rsid w:val="00F2021C"/>
    <w:rPr>
      <w:i/>
      <w:iCs/>
      <w:color w:val="2F5496" w:themeColor="accent1" w:themeShade="BF"/>
    </w:rPr>
  </w:style>
  <w:style w:type="paragraph" w:styleId="Citadestacada">
    <w:name w:val="Intense Quote"/>
    <w:basedOn w:val="Normal"/>
    <w:next w:val="Normal"/>
    <w:link w:val="CitadestacadaCar"/>
    <w:uiPriority w:val="30"/>
    <w:qFormat/>
    <w:rsid w:val="00F20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2021C"/>
    <w:rPr>
      <w:i/>
      <w:iCs/>
      <w:color w:val="2F5496" w:themeColor="accent1" w:themeShade="BF"/>
    </w:rPr>
  </w:style>
  <w:style w:type="character" w:styleId="Referenciaintensa">
    <w:name w:val="Intense Reference"/>
    <w:basedOn w:val="Fuentedeprrafopredeter"/>
    <w:uiPriority w:val="32"/>
    <w:qFormat/>
    <w:rsid w:val="00F202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5555</Words>
  <Characters>30558</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2</cp:revision>
  <dcterms:created xsi:type="dcterms:W3CDTF">2026-09-18T14:56:00Z</dcterms:created>
  <dcterms:modified xsi:type="dcterms:W3CDTF">2026-09-18T15:20:00Z</dcterms:modified>
</cp:coreProperties>
</file>