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355"/>
          <w:sz w:val="34"/>
          <w:szCs w:val="34"/>
        </w:rPr>
        <w:t xml:space="preserve">Orelio Marcelo Martínez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Ingeniero Civil  ·  BIM  ·  Gestión de Proyectos y Presupuestos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Chicago, Illinois (EE. UU.)  ·  +1 760 883 0683  ·  oreliomartinez0@gmail.com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linkedin.com/in/orelio-martinez-assoc-aia-ncarb-17aa23368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1F3355"/>
          <w:sz w:val="18"/>
          <w:szCs w:val="18"/>
        </w:rPr>
        <w:t xml:space="preserve">Nacionalidad nicaragüense y estadounidense  ·  Español e inglés nativos</w:t>
      </w:r>
    </w:p>
    <w:p>
      <w:pPr>
        <w:pBdr>
          <w:bottom w:val="single" w:color="1F3355" w:sz="6" w:space="2"/>
        </w:pBdr>
        <w:spacing w:after="120" w:before="60"/>
      </w:pP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Perfil profesional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Ingeniero civil con mención en arquitectura y experiencia en dirección de proyectos de edificación, infraestructura viaria y energía, desde la fase de mediciones y presupuesto hasta la ejecución y el cierre de obra. Perfil mixto de oficina técnica y obra: elaboración de presupuestos y ofertas de licitación, modelado BIM en Revit y Civil 3D, levantamientos topográficos y catastrales, y coordinación de equipos multidisciplinares. Certificado PMP y Autodesk Certified Professional (AutoCAD, Revit, Civil 3D). Experiencia dirigiendo operaciones y relación con cliente en mercados estadounidense y latinoamericano.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Competencias clave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Gestión de proyectos y dirección de obra  ·  Mediciones, presupuestos y control de costes  ·  Licitaciones y administración de contratos  ·  Modelado y coordinación BIM  ·  Topografía y levantamientos catastrales  ·  Diseño arquitectónico y documentación técnica  ·  Planificación de plazos y recursos  ·  Supervisión y control de calidad en obra  ·  Dirección de equipos multidisciplinares  ·  Relación con cliente y desarrollo de negocio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Experiencia profesional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Veritas Drafting LLC — Director General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Ene 2026 – Actualidad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Firma de externalización de delineación y modelado 3D para el sector AEC · Actividad empresarial propia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Dirección operativa, financiera y comercial de la firma, con equipo de producción en Nicaragua y clientes en Estados Unidos.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Definición de flujos de trabajo estandarizados de delineación, modelado 3D, renderizado y control de calidad, mejorando la eficiencia de producción y la consistencia de las entregas.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Interlocución técnica con clientes clave: traducción de requisitos a planes de producción y entrega en plazo y especificación.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Martínez-Segura Multiservicios — Socio cofundador y Gerente General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2023 – Actualidad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Ingeniería multiservicio · Nicaragua · Sociedad de dos socios; actividad propia compatibilizada con empleo por cuenta ajena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Levantamientos topográficos y catastrales, cartografía georreferenciada, apoyo a tasación inmobiliaria, diseño arquitectónico y obra para clientes residenciales, comerciales e institucionales.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Producción de levantamientos georreferenciados, planos de curvas de nivel y archivos CAD utilizados para diseño, tramitación de licencias y valoración de inmuebles.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Elaboración de presupuestos y ofertas; responsabilidad sobre contratación, facturación y cierre económico de los trabajos.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Coordinación de cuadrillas de campo, subcontratas y proveedores en proyectos simultáneos.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Eniconsa – Empresa Nicaragüense de Construcción — Ingeniero de Proyectos y Presupuestos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2024 – May 2025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Colaboración puntual por proyecto · Edificación industrial, energía e infraestructura · Nicaragua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Gestión del ciclo completo de proyecto: presupuesto, planificación, ejecución y cierre.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Elaboración de mediciones, estimaciones de coste y presupuestos de obra para ofertas de licitación y control de costes durante la ejecución.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Supervisión de detalles arquitectónicos y de ingeniería en obra activa, gestionando reparaciones en campo y revisiones de diseño hasta la aprobación final del cliente.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Coordinación con contratistas, proveedores y representantes del cliente en proyectos multiemplazamiento.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355"/>
          <w:sz w:val="19"/>
          <w:szCs w:val="19"/>
        </w:rPr>
        <w:t xml:space="preserve">Proyectos destacados: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nave logística SINSA (Ocotal, Nueva Segovia); instalaciones fotovoltaicas (Chinandega y Jinotega); diseño e instalación de conducción (El Rama); mejoras en planta Cemex (Managua).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ArqLab — Proyectista, Topógrafo y Jefe de Proyecto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2024 – Mar 2025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Jornada completa · Edificación residencial, institucional y religiosa · Nicaragua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Diseño y ejecución de proyectos desde el concepto hasta la documentación de construcción, con gestión de alcance, presupuesto y plazo.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Levantamientos topográficos, cartografía y análisis de linderos para planeamiento de parcela e infraestructura.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Dirección de equipos y coordinación con ingenierías, contratistas y clientes para resolver conflictos de diseño y garantizar la constructibilidad.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355"/>
          <w:sz w:val="19"/>
          <w:szCs w:val="19"/>
        </w:rPr>
        <w:t xml:space="preserve">Portafolio: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St. Helens American Academy (Chinandega); Residencia Valdivia (Jinotepe, Carazo); Vivienda Santos (Mateare, Masaya); rehabilitación Lacayo (Managua); Iglesia Cristiana “De Todos los Santos” (Managua); vivienda Bermúdez Sánchez (Masaya).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Universidad Nacional de Ingeniería (UNI) — Asesor de proyectos de arquitectura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Oct 2020 – Ago 2022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Nicaragua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Tutoría y acompañamiento a equipos multidisciplinares de arquitectura e ingeniería en proyectos vinculados a infraestructura y desarrollo urbano.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Revisión de planos y propuestas de diseño en cuanto a cumplimiento normativo, viabilidad y calidad.</w:t>
      </w:r>
    </w:p>
    <w:p>
      <w:pPr>
        <w:tabs>
          <w:tab w:val="right" w:pos="9026"/>
        </w:tabs>
        <w:spacing w:after="0" w:before="1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MTI – Ministerio de Transporte e Infraestructura — Responsable de estudio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2020 – Sep 2020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1F3355"/>
          <w:sz w:val="20"/>
          <w:szCs w:val="20"/>
        </w:rPr>
        <w:t xml:space="preserve">Nicaragua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Dirección del estudio de aforo vehicular para el diseño del corredor La Concepción–La Borgoña, incluyendo la toma de datos en campo y el análisis de tráfico.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Conclusiones y recomendaciones de diseño adoptadas por el Departamento de Transporte para el nuevo trazado.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Formación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Ingeniería Civil</w:t>
      </w:r>
      <w:r>
        <w:rPr>
          <w:rFonts w:ascii="Calibri" w:cs="Calibri" w:eastAsia="Calibri" w:hAnsi="Calibri"/>
          <w:sz w:val="20"/>
          <w:szCs w:val="20"/>
        </w:rPr>
        <w:t xml:space="preserve"> — Universidad Nacional de Ingeniería (UNI), Nicaragua  ·  2019 –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Mención en Arquitectura</w:t>
      </w:r>
      <w:r>
        <w:rPr>
          <w:rFonts w:ascii="Calibri" w:cs="Calibri" w:eastAsia="Calibri" w:hAnsi="Calibri"/>
          <w:sz w:val="20"/>
          <w:szCs w:val="20"/>
        </w:rPr>
        <w:t xml:space="preserve"> — Universidad Nacional de Ingeniería (UNI) / ANIA, Nicaragua  · 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355"/>
          <w:sz w:val="18"/>
          <w:szCs w:val="18"/>
        </w:rPr>
        <w:t xml:space="preserve">Homologación de ambos títulos en trámite ante el Ministerio de Ciencia, Innovación y Universidades desde 07/2024.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Architecture (B.Arch.)</w:t>
      </w:r>
      <w:r>
        <w:rPr>
          <w:rFonts w:ascii="Calibri" w:cs="Calibri" w:eastAsia="Calibri" w:hAnsi="Calibri"/>
          <w:sz w:val="20"/>
          <w:szCs w:val="20"/>
        </w:rPr>
        <w:t xml:space="preserve"> — University of Illinois at Chicago (UIC), Estados Unidos  ·  2019 – 2021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(presencial en 2019; modalidad en línea desde 2020 por la pandemia · estudios cursados, no finalizados)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Project Management Professional (PMP) — Project Management Institute, nº 12090792 (2025)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Autodesk Certified Professional — AutoCAD, Revit y Civil 3D (2025)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Associate Architect — American Institute of Architects (AIA), nº 40873955 (2025)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NCEES — National Council of Examiners for Engineering and Surveying, nº 26-121-59 (2025)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Supervisor AXP — National Council of Architectural Registration Boards (NCARB) (2025)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Miembro certificado — American Concrete Institute (ACI), nº 2357545 (2025)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Competencias técnicas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Metodología BIM: </w:t>
      </w:r>
      <w:r>
        <w:rPr>
          <w:rFonts w:ascii="Calibri" w:cs="Calibri" w:eastAsia="Calibri" w:hAnsi="Calibri"/>
          <w:sz w:val="20"/>
          <w:szCs w:val="20"/>
        </w:rPr>
        <w:t xml:space="preserve">ISO 19650 (gestión de información en proyectos de edificación e infraestructura), coordinación de modelos y control de calidad de entregables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Diseño y modelado: </w:t>
      </w:r>
      <w:r>
        <w:rPr>
          <w:rFonts w:ascii="Calibri" w:cs="Calibri" w:eastAsia="Calibri" w:hAnsi="Calibri"/>
          <w:sz w:val="20"/>
          <w:szCs w:val="20"/>
        </w:rPr>
        <w:t xml:space="preserve">AutoCAD, Revit, Civil 3D, SketchUp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Renderizado y visualización: </w:t>
      </w:r>
      <w:r>
        <w:rPr>
          <w:rFonts w:ascii="Calibri" w:cs="Calibri" w:eastAsia="Calibri" w:hAnsi="Calibri"/>
          <w:sz w:val="20"/>
          <w:szCs w:val="20"/>
        </w:rPr>
        <w:t xml:space="preserve">V-Ray, Lumion, D5, Twinmotion, Enscape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Gestión de proyecto: </w:t>
      </w:r>
      <w:r>
        <w:rPr>
          <w:rFonts w:ascii="Calibri" w:cs="Calibri" w:eastAsia="Calibri" w:hAnsi="Calibri"/>
          <w:sz w:val="20"/>
          <w:szCs w:val="20"/>
        </w:rPr>
        <w:t xml:space="preserve">Procore, Jira / Atlassian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 </w:t>
      </w:r>
      <w:r>
        <w:rPr>
          <w:rFonts w:ascii="Calibri" w:cs="Calibri" w:eastAsia="Calibri" w:hAnsi="Calibri"/>
          <w:sz w:val="20"/>
          <w:szCs w:val="20"/>
        </w:rPr>
        <w:t xml:space="preserve">español e inglés (bilingüe, nivel nativo en ambos)</w:t>
      </w:r>
    </w:p>
    <w:p>
      <w:pPr>
        <w:pBdr>
          <w:bottom w:val="single" w:color="1F3355" w:sz="6" w:space="3"/>
        </w:pBdr>
        <w:spacing w:after="40" w:before="220"/>
      </w:pPr>
      <w:r>
        <w:rPr>
          <w:rFonts w:ascii="Calibri" w:cs="Calibri" w:eastAsia="Calibri" w:hAnsi="Calibri"/>
          <w:b/>
          <w:bCs/>
          <w:caps/>
          <w:color w:val="1F3355"/>
          <w:spacing w:val="20"/>
          <w:sz w:val="21"/>
          <w:szCs w:val="21"/>
        </w:rPr>
        <w:t xml:space="preserve">Disponibilidad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Incorporación inmediata en España. Nacional no comunitario (Nicaragua / EE. UU.); la contratación requiere autorización de residencia y trabajo, tramitable por la vía de Profesional Altamente Cualificado (Ley 14/2013, resolución en 20 días hábiles ante la UGE-CE) o por régimen general de cuenta ajena.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2026-08-01T20:34:10.406Z</dcterms:created>
  <dcterms:modified xsi:type="dcterms:W3CDTF">2026-08-01T20:34:10.406Z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