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Arial" w:cs="Arial" w:eastAsia="Arial" w:hAnsi="Arial"/>
          <w:b/>
          <w:bCs/>
          <w:color w:val="9C7A3C"/>
          <w:sz w:val="20"/>
          <w:szCs w:val="20"/>
        </w:rPr>
        <w:t xml:space="preserve">PERFORMANCE CASE STUDY</w:t>
      </w:r>
    </w:p>
    <w:p>
      <w:pPr>
        <w:spacing w:after="200" w:before="200"/>
        <w:jc w:val="center"/>
      </w:pPr>
      <w:r>
        <w:rPr>
          <w:rFonts w:ascii="Georgia" w:cs="Georgia" w:eastAsia="Georgia" w:hAnsi="Georgia"/>
          <w:b/>
          <w:bCs/>
          <w:color w:val="1A1A1A"/>
          <w:sz w:val="52"/>
          <w:szCs w:val="52"/>
        </w:rPr>
        <w:t xml:space="preserve">Aman — Performance Marketing</w:t>
      </w:r>
    </w:p>
    <w:p>
      <w:pPr>
        <w:spacing w:after="100"/>
        <w:jc w:val="center"/>
      </w:pPr>
      <w:r>
        <w:rPr>
          <w:i/>
          <w:iCs/>
          <w:color w:val="6B6B6B"/>
          <w:sz w:val="24"/>
          <w:szCs w:val="24"/>
        </w:rPr>
        <w:t xml:space="preserve">Taking a Fintech Super App From Launch to Market Leadership</w:t>
      </w:r>
    </w:p>
    <w:p>
      <w:pPr>
        <w:spacing w:before="600"/>
        <w:jc w:val="center"/>
      </w:pPr>
      <w:r>
        <w:rPr>
          <w:rFonts w:ascii="Arial" w:cs="Arial" w:eastAsia="Arial" w:hAnsi="Arial"/>
          <w:b/>
          <w:bCs/>
          <w:color w:val="9C7A3C"/>
          <w:sz w:val="18"/>
          <w:szCs w:val="18"/>
        </w:rPr>
        <w:t xml:space="preserve">CLIENT: AMAN  ·  SECTOR: FINTECH SUPER APP  ·  MARKET: EGYPT</w:t>
      </w:r>
    </w:p>
    <w:p>
      <w:pPr>
        <w:spacing w:before="40"/>
        <w:jc w:val="center"/>
      </w:pPr>
      <w:r>
        <w:rPr>
          <w:rFonts w:ascii="Arial" w:cs="Arial" w:eastAsia="Arial" w:hAnsi="Arial"/>
          <w:color w:val="6B6B6B"/>
          <w:sz w:val="18"/>
          <w:szCs w:val="18"/>
        </w:rPr>
        <w:t xml:space="preserve">PARTNER: ARQQA DIGITAL  ·  PROGRAM: NOV 2021 – JAN 2024</w:t>
      </w:r>
    </w:p>
    <w:p>
      <w:r>
        <w:br w:type="page"/>
      </w:r>
    </w:p>
    <w:p>
      <w:pPr>
        <w:spacing w:after="60" w:before="0"/>
      </w:pPr>
      <w:r>
        <w:rPr>
          <w:rFonts w:ascii="Arial" w:cs="Arial" w:eastAsia="Arial" w:hAnsi="Arial"/>
          <w:b/>
          <w:bCs/>
          <w:color w:val="9C7A3C"/>
          <w:sz w:val="16"/>
          <w:szCs w:val="16"/>
        </w:rPr>
        <w:t xml:space="preserve">EXECUTIVE SUMMARY</w:t>
      </w:r>
    </w:p>
    <w:p>
      <w:pPr>
        <w:pStyle w:val="Heading1"/>
        <w:spacing w:after="200" w:before="400"/>
      </w:pPr>
      <w:r>
        <w:rPr>
          <w:rFonts w:ascii="Georgia" w:cs="Georgia" w:eastAsia="Georgia" w:hAnsi="Georgia"/>
          <w:b/>
          <w:bCs/>
          <w:color w:val="1A1A1A"/>
          <w:sz w:val="36"/>
          <w:szCs w:val="36"/>
        </w:rPr>
        <w:t xml:space="preserve">Launching a Super App Into One of the Most Competitive Fintech Markets in the Region</w:t>
      </w:r>
    </w:p>
    <w:p>
      <w:pPr>
        <w:spacing w:after="160" w:before="0" w:line="300"/>
      </w:pPr>
      <w:r>
        <w:rPr>
          <w:i w:val="false"/>
          <w:iCs w:val="false"/>
          <w:color w:val="1A1A1A"/>
          <w:sz w:val="22"/>
          <w:szCs w:val="22"/>
        </w:rPr>
        <w:t xml:space="preserve">Aman entered the Egyptian fintech market as a super app — a single platform offering a wide array of financial services, from payments to transactions to everyday money management. That breadth was Aman's core value proposition, but it was also its go-to-market challenge: a super app only earns its name once real volume moves through it, across every service it offers, not just one.</w:t>
      </w:r>
    </w:p>
    <w:p>
      <w:pPr>
        <w:spacing w:after="120" w:before="0" w:line="300"/>
      </w:pPr>
      <w:r>
        <w:rPr>
          <w:b/>
          <w:bCs/>
          <w:color w:val="1A1A1A"/>
          <w:sz w:val="22"/>
          <w:szCs w:val="22"/>
        </w:rPr>
        <w:t xml:space="preserve">The mandate: </w:t>
      </w:r>
      <w:r>
        <w:rPr>
          <w:color w:val="1A1A1A"/>
          <w:sz w:val="22"/>
          <w:szCs w:val="22"/>
        </w:rPr>
        <w:t xml:space="preserve">stand out in a saturated Egyptian fintech market and generate real, voluminous transaction activity across Aman's full range of services — not just downloads, but sustained usage.</w:t>
      </w:r>
    </w:p>
    <w:p>
      <w:pPr>
        <w:spacing w:after="120" w:before="0" w:line="300"/>
      </w:pPr>
      <w:r>
        <w:rPr>
          <w:b/>
          <w:bCs/>
          <w:color w:val="1A1A1A"/>
          <w:sz w:val="22"/>
          <w:szCs w:val="22"/>
        </w:rPr>
        <w:t xml:space="preserve">The approach: </w:t>
      </w:r>
      <w:r>
        <w:rPr>
          <w:color w:val="1A1A1A"/>
          <w:sz w:val="22"/>
          <w:szCs w:val="22"/>
        </w:rPr>
        <w:t xml:space="preserve">a sustained, multi-year performance marketing program combining growth-focused paid acquisition, social media brand-building, high-conversion visual content, and continuous performance optimization — run as an embedded extension of Aman's own growth team.</w:t>
      </w:r>
    </w:p>
    <w:p>
      <w:pPr>
        <w:spacing w:after="120" w:before="0" w:line="300"/>
      </w:pPr>
      <w:r>
        <w:rPr>
          <w:b/>
          <w:bCs/>
          <w:color w:val="1A1A1A"/>
          <w:sz w:val="22"/>
          <w:szCs w:val="22"/>
        </w:rPr>
        <w:t xml:space="preserve">The result: </w:t>
      </w:r>
      <w:r>
        <w:rPr>
          <w:color w:val="1A1A1A"/>
          <w:sz w:val="22"/>
          <w:szCs w:val="22"/>
        </w:rPr>
        <w:t xml:space="preserve">2 million app downloads, 232,000 completed registrations, and 800,000 successful transactions over the course of the partnership — moving Aman from a new market entrant to a prestigious position in the Egyptian fintech landscape.</w:t>
      </w:r>
    </w:p>
    <w:p>
      <w:pPr>
        <w:pBdr>
          <w:bottom w:val="single" w:color="9C7A3C" w:sz="6" w:space="1"/>
        </w:pBdr>
        <w:spacing w:after="200" w:before="200"/>
      </w:pPr>
      <w:r>
        <w:t xml:space="preserve"/>
      </w:r>
    </w:p>
    <w:p>
      <w:pPr>
        <w:pStyle w:val="Heading2"/>
        <w:spacing w:after="160" w:before="360"/>
      </w:pPr>
      <w:r>
        <w:rPr>
          <w:rFonts w:ascii="Georgia" w:cs="Georgia" w:eastAsia="Georgia" w:hAnsi="Georgia"/>
          <w:b/>
          <w:bCs/>
          <w:color w:val="9C7A3C"/>
          <w:sz w:val="26"/>
          <w:szCs w:val="26"/>
        </w:rPr>
        <w:t xml:space="preserve">Program Headline Numbers</w:t>
      </w:r>
    </w:p>
    <w:p>
      <w:pPr>
        <w:pBdr>
          <w:left w:val="single" w:color="9C7A3C" w:sz="12" w:space="8"/>
        </w:pBdr>
        <w:shd w:fill="F5F3EE" w:val="clear"/>
        <w:spacing w:after="200" w:before="100"/>
      </w:pPr>
      <w:r>
        <w:rPr>
          <w:i/>
          <w:iCs/>
          <w:color w:val="6B6B6B"/>
          <w:sz w:val="19"/>
          <w:szCs w:val="19"/>
        </w:rPr>
        <w:t xml:space="preserve">All figures below are volume and growth metrics — never client spend or revenue. See the Data Sensitivity Policy at the close of this document.</w:t>
      </w:r>
    </w:p>
    <w:tbl>
      <w:tblPr>
        <w:tblW w:type="dxa" w:w="9350"/>
        <w:tblBorders>
          <w:top w:val="none"/>
          <w:left w:val="none"/>
          <w:bottom w:val="none"/>
          <w:right w:val="none"/>
          <w:insideH w:val="none"/>
          <w:insideV w:val="none"/>
        </w:tblBorders>
      </w:tblPr>
      <w:tblGrid>
        <w:gridCol w:w="3116"/>
        <w:gridCol w:w="3116"/>
        <w:gridCol w:w="3116"/>
      </w:tblGrid>
      <w:tr>
        <w:tc>
          <w:tcPr>
            <w:tcW w:type="dxa" w:w="3116"/>
            <w:shd w:fill="F5F3EE" w:val="clear"/>
            <w:tcMar>
              <w:top w:type="dxa" w:w="200"/>
              <w:left w:type="dxa" w:w="120"/>
              <w:bottom w:type="dxa" w:w="200"/>
              <w:right w:type="dxa" w:w="120"/>
            </w:tcMar>
            <w:vAlign w:val="center"/>
          </w:tcPr>
          <w:p>
            <w:pPr>
              <w:spacing w:after="0" w:before="0"/>
              <w:jc w:val="center"/>
            </w:pPr>
            <w:r>
              <w:rPr>
                <w:b/>
                <w:bCs/>
                <w:color w:val="9C7A3C"/>
                <w:sz w:val="40"/>
                <w:szCs w:val="40"/>
              </w:rPr>
              <w:t xml:space="preserve">2M</w:t>
            </w:r>
          </w:p>
          <w:p>
            <w:pPr>
              <w:spacing w:after="0" w:before="0"/>
              <w:jc w:val="center"/>
            </w:pPr>
            <w:r>
              <w:rPr>
                <w:color w:val="6B6B6B"/>
                <w:sz w:val="17"/>
                <w:szCs w:val="17"/>
              </w:rPr>
              <w:t xml:space="preserve">app downloads</w:t>
            </w:r>
          </w:p>
        </w:tc>
        <w:tc>
          <w:tcPr>
            <w:tcW w:type="dxa" w:w="3116"/>
            <w:shd w:fill="F5F3EE" w:val="clear"/>
            <w:tcMar>
              <w:top w:type="dxa" w:w="200"/>
              <w:left w:type="dxa" w:w="120"/>
              <w:bottom w:type="dxa" w:w="200"/>
              <w:right w:type="dxa" w:w="120"/>
            </w:tcMar>
            <w:vAlign w:val="center"/>
          </w:tcPr>
          <w:p>
            <w:pPr>
              <w:spacing w:after="0" w:before="0"/>
              <w:jc w:val="center"/>
            </w:pPr>
            <w:r>
              <w:rPr>
                <w:b/>
                <w:bCs/>
                <w:color w:val="9C7A3C"/>
                <w:sz w:val="40"/>
                <w:szCs w:val="40"/>
              </w:rPr>
              <w:t xml:space="preserve">232K</w:t>
            </w:r>
          </w:p>
          <w:p>
            <w:pPr>
              <w:spacing w:after="0" w:before="0"/>
              <w:jc w:val="center"/>
            </w:pPr>
            <w:r>
              <w:rPr>
                <w:color w:val="6B6B6B"/>
                <w:sz w:val="17"/>
                <w:szCs w:val="17"/>
              </w:rPr>
              <w:t xml:space="preserve">completed app registrations</w:t>
            </w:r>
          </w:p>
        </w:tc>
        <w:tc>
          <w:tcPr>
            <w:tcW w:type="dxa" w:w="3116"/>
            <w:shd w:fill="F5F3EE" w:val="clear"/>
            <w:tcMar>
              <w:top w:type="dxa" w:w="200"/>
              <w:left w:type="dxa" w:w="120"/>
              <w:bottom w:type="dxa" w:w="200"/>
              <w:right w:type="dxa" w:w="120"/>
            </w:tcMar>
            <w:vAlign w:val="center"/>
          </w:tcPr>
          <w:p>
            <w:pPr>
              <w:spacing w:after="0" w:before="0"/>
              <w:jc w:val="center"/>
            </w:pPr>
            <w:r>
              <w:rPr>
                <w:b/>
                <w:bCs/>
                <w:color w:val="2E7D32"/>
                <w:sz w:val="40"/>
                <w:szCs w:val="40"/>
              </w:rPr>
              <w:t xml:space="preserve">800K</w:t>
            </w:r>
          </w:p>
          <w:p>
            <w:pPr>
              <w:spacing w:after="0" w:before="0"/>
              <w:jc w:val="center"/>
            </w:pPr>
            <w:r>
              <w:rPr>
                <w:color w:val="6B6B6B"/>
                <w:sz w:val="17"/>
                <w:szCs w:val="17"/>
              </w:rPr>
              <w:t xml:space="preserve">successful transactions</w:t>
            </w:r>
          </w:p>
        </w:tc>
      </w:tr>
    </w:tbl>
    <w:p>
      <w:pPr>
        <w:spacing w:after="160" w:before="0" w:line="300"/>
      </w:pPr>
      <w:r>
        <w:rPr>
          <w:i w:val="false"/>
          <w:iCs w:val="false"/>
          <w:color w:val="1A1A1A"/>
          <w:sz w:val="22"/>
          <w:szCs w:val="22"/>
        </w:rPr>
        <w:t xml:space="preserve"/>
      </w:r>
    </w:p>
    <w:p>
      <w:pPr>
        <w:pBdr>
          <w:left w:val="single" w:color="9C7A3C" w:sz="12" w:space="8"/>
        </w:pBdr>
        <w:shd w:fill="F5F3EE" w:val="clear"/>
        <w:spacing w:after="200" w:before="100"/>
      </w:pPr>
      <w:r>
        <w:rPr>
          <w:i/>
          <w:iCs/>
          <w:color w:val="6B6B6B"/>
          <w:sz w:val="19"/>
          <w:szCs w:val="19"/>
        </w:rPr>
        <w:t xml:space="preserve">Cumulative figures across the full partnership window: November 2021 – January 2024.</w:t>
      </w:r>
    </w:p>
    <w:p>
      <w:r>
        <w:br w:type="page"/>
      </w:r>
    </w:p>
    <w:p>
      <w:pPr>
        <w:spacing w:after="60" w:before="0"/>
      </w:pPr>
      <w:r>
        <w:rPr>
          <w:rFonts w:ascii="Arial" w:cs="Arial" w:eastAsia="Arial" w:hAnsi="Arial"/>
          <w:b/>
          <w:bCs/>
          <w:color w:val="9C7A3C"/>
          <w:sz w:val="16"/>
          <w:szCs w:val="16"/>
        </w:rPr>
        <w:t xml:space="preserve">THE CHALLENGE</w:t>
      </w:r>
    </w:p>
    <w:p>
      <w:pPr>
        <w:pStyle w:val="Heading1"/>
        <w:spacing w:after="200" w:before="400"/>
      </w:pPr>
      <w:r>
        <w:rPr>
          <w:rFonts w:ascii="Georgia" w:cs="Georgia" w:eastAsia="Georgia" w:hAnsi="Georgia"/>
          <w:b/>
          <w:bCs/>
          <w:color w:val="1A1A1A"/>
          <w:sz w:val="36"/>
          <w:szCs w:val="36"/>
        </w:rPr>
        <w:t xml:space="preserve">A Super App Is Only as Strong as Its Transaction Volume</w:t>
      </w:r>
    </w:p>
    <w:p>
      <w:pPr>
        <w:spacing w:after="160" w:before="0" w:line="300"/>
      </w:pPr>
      <w:r>
        <w:rPr>
          <w:i w:val="false"/>
          <w:iCs w:val="false"/>
          <w:color w:val="1A1A1A"/>
          <w:sz w:val="22"/>
          <w:szCs w:val="22"/>
        </w:rPr>
        <w:t xml:space="preserve">Egypt's fintech space had no shortage of competing apps and platforms, each fighting for the same limited pool of early-adopter attention. Aman needed more than visibility — it needed to convert that visibility into a specific, harder outcome: real, repeated transaction activity across a wide service catalogue.</w:t>
      </w:r>
    </w:p>
    <w:p>
      <w:pPr>
        <w:pStyle w:val="ListParagraph"/>
        <w:numPr>
          <w:ilvl w:val="0"/>
          <w:numId w:val="2"/>
        </w:numPr>
        <w:spacing w:after="100" w:before="0" w:line="280"/>
      </w:pPr>
      <w:r>
        <w:rPr>
          <w:b w:val="false"/>
          <w:bCs w:val="false"/>
          <w:color w:val="1A1A1A"/>
          <w:sz w:val="22"/>
          <w:szCs w:val="22"/>
        </w:rPr>
        <w:t xml:space="preserve">Standing out required differentiating a broad, multi-service super app in a category where most competitors were pitching a single point solution.</w:t>
      </w:r>
    </w:p>
    <w:p>
      <w:pPr>
        <w:pStyle w:val="ListParagraph"/>
        <w:numPr>
          <w:ilvl w:val="0"/>
          <w:numId w:val="2"/>
        </w:numPr>
        <w:spacing w:after="100" w:before="0" w:line="280"/>
      </w:pPr>
      <w:r>
        <w:rPr>
          <w:b w:val="false"/>
          <w:bCs w:val="false"/>
          <w:color w:val="1A1A1A"/>
          <w:sz w:val="22"/>
          <w:szCs w:val="22"/>
        </w:rPr>
        <w:t xml:space="preserve">Downloads alone don't validate a super app — the real test is whether users complete registration and then transact, and keep transacting, across the platform's range of services.</w:t>
      </w:r>
    </w:p>
    <w:p>
      <w:pPr>
        <w:pStyle w:val="ListParagraph"/>
        <w:numPr>
          <w:ilvl w:val="0"/>
          <w:numId w:val="2"/>
        </w:numPr>
        <w:spacing w:after="100" w:before="0" w:line="280"/>
      </w:pPr>
      <w:r>
        <w:rPr>
          <w:b w:val="false"/>
          <w:bCs w:val="false"/>
          <w:color w:val="1A1A1A"/>
          <w:sz w:val="22"/>
          <w:szCs w:val="22"/>
        </w:rPr>
        <w:t xml:space="preserve">A long-term, always-on program was needed rather than a launch campaign, because sustained transaction volume compounds over time, not in a single flight.</w:t>
      </w:r>
    </w:p>
    <w:p>
      <w:pPr>
        <w:pBdr>
          <w:bottom w:val="single" w:color="9C7A3C" w:sz="6" w:space="1"/>
        </w:pBdr>
        <w:spacing w:after="200" w:before="200"/>
      </w:pPr>
      <w:r>
        <w:t xml:space="preserve"/>
      </w:r>
    </w:p>
    <w:p>
      <w:pPr>
        <w:spacing w:after="100" w:before="240"/>
      </w:pPr>
      <w:r>
        <w:rPr>
          <w:b/>
          <w:bCs/>
          <w:color w:val="1A1A1A"/>
          <w:sz w:val="22"/>
          <w:szCs w:val="22"/>
        </w:rPr>
        <w:t xml:space="preserve">The Category Entry Point</w:t>
      </w:r>
    </w:p>
    <w:p>
      <w:pPr>
        <w:pBdr>
          <w:left w:val="single" w:color="9C7A3C" w:sz="12" w:space="8"/>
        </w:pBdr>
        <w:shd w:fill="F5F3EE" w:val="clear"/>
        <w:spacing w:after="200" w:before="100"/>
      </w:pPr>
      <w:r>
        <w:rPr>
          <w:i/>
          <w:iCs/>
          <w:color w:val="6B6B6B"/>
          <w:sz w:val="19"/>
          <w:szCs w:val="19"/>
        </w:rPr>
        <w:t xml:space="preserve">“When you've launched a multi-service platform and need transaction volume — not just installs — across a competitive category.”</w:t>
      </w:r>
    </w:p>
    <w:p>
      <w:r>
        <w:br w:type="page"/>
      </w:r>
    </w:p>
    <w:p>
      <w:pPr>
        <w:spacing w:after="60" w:before="0"/>
      </w:pPr>
      <w:r>
        <w:rPr>
          <w:rFonts w:ascii="Arial" w:cs="Arial" w:eastAsia="Arial" w:hAnsi="Arial"/>
          <w:b/>
          <w:bCs/>
          <w:color w:val="9C7A3C"/>
          <w:sz w:val="16"/>
          <w:szCs w:val="16"/>
        </w:rPr>
        <w:t xml:space="preserve">THE STRATEGY</w:t>
      </w:r>
    </w:p>
    <w:p>
      <w:pPr>
        <w:pStyle w:val="Heading1"/>
        <w:spacing w:after="200" w:before="400"/>
      </w:pPr>
      <w:r>
        <w:rPr>
          <w:rFonts w:ascii="Georgia" w:cs="Georgia" w:eastAsia="Georgia" w:hAnsi="Georgia"/>
          <w:b/>
          <w:bCs/>
          <w:color w:val="1A1A1A"/>
          <w:sz w:val="36"/>
          <w:szCs w:val="36"/>
        </w:rPr>
        <w:t xml:space="preserve">Growth Ads, Brand Presence, and Conversion-First Creative — Working as One System</w:t>
      </w:r>
    </w:p>
    <w:p>
      <w:pPr>
        <w:spacing w:after="160" w:before="0" w:line="300"/>
      </w:pPr>
      <w:r>
        <w:rPr>
          <w:i w:val="false"/>
          <w:iCs w:val="false"/>
          <w:color w:val="1A1A1A"/>
          <w:sz w:val="22"/>
          <w:szCs w:val="22"/>
        </w:rPr>
        <w:t xml:space="preserve">Arqqa Digital's approach combined the two things a fintech super app needs at once: enough qualified volume through the funnel to hit real transaction scale, and enough brand credibility to make first-time users trust a financial app with their money.</w:t>
      </w:r>
    </w:p>
    <w:p>
      <w:pPr>
        <w:pStyle w:val="Heading2"/>
        <w:spacing w:after="160" w:before="360"/>
      </w:pPr>
      <w:r>
        <w:rPr>
          <w:rFonts w:ascii="Georgia" w:cs="Georgia" w:eastAsia="Georgia" w:hAnsi="Georgia"/>
          <w:b/>
          <w:bCs/>
          <w:color w:val="9C7A3C"/>
          <w:sz w:val="26"/>
          <w:szCs w:val="26"/>
        </w:rPr>
        <w:t xml:space="preserve">The Program</w:t>
      </w:r>
    </w:p>
    <w:p>
      <w:pPr>
        <w:spacing w:after="120" w:before="0" w:line="300"/>
      </w:pPr>
      <w:r>
        <w:rPr>
          <w:b/>
          <w:bCs/>
          <w:color w:val="1A1A1A"/>
          <w:sz w:val="22"/>
          <w:szCs w:val="22"/>
        </w:rPr>
        <w:t xml:space="preserve">Performance Marketing &amp; Growth Ads: </w:t>
      </w:r>
      <w:r>
        <w:rPr>
          <w:color w:val="1A1A1A"/>
          <w:sz w:val="22"/>
          <w:szCs w:val="22"/>
        </w:rPr>
        <w:t xml:space="preserve">acquisition campaigns targeting fintech-intent users across Egypt, engineered to drive qualified installs and registrations rather than low-intent clicks.</w:t>
      </w:r>
    </w:p>
    <w:p>
      <w:pPr>
        <w:spacing w:after="120" w:before="0" w:line="300"/>
      </w:pPr>
      <w:r>
        <w:rPr>
          <w:b/>
          <w:bCs/>
          <w:color w:val="1A1A1A"/>
          <w:sz w:val="22"/>
          <w:szCs w:val="22"/>
        </w:rPr>
        <w:t xml:space="preserve">Social Media Deployment: </w:t>
      </w:r>
      <w:r>
        <w:rPr>
          <w:color w:val="1A1A1A"/>
          <w:sz w:val="22"/>
          <w:szCs w:val="22"/>
        </w:rPr>
        <w:t xml:space="preserve">an always-on social presence built for brand awareness and engagement — establishing the trust and familiarity a financial super app needs before a first-time user hands over their data.</w:t>
      </w:r>
    </w:p>
    <w:p>
      <w:pPr>
        <w:spacing w:after="120" w:before="0" w:line="300"/>
      </w:pPr>
      <w:r>
        <w:rPr>
          <w:b/>
          <w:bCs/>
          <w:color w:val="1A1A1A"/>
          <w:sz w:val="22"/>
          <w:szCs w:val="22"/>
        </w:rPr>
        <w:t xml:space="preserve">High-Conversion Visual Content: </w:t>
      </w:r>
      <w:r>
        <w:rPr>
          <w:color w:val="1A1A1A"/>
          <w:sz w:val="22"/>
          <w:szCs w:val="22"/>
        </w:rPr>
        <w:t xml:space="preserve">creative built specifically for Google Ads and advertising network performance — optimized to convert attention into completed registrations, not just impressions.</w:t>
      </w:r>
    </w:p>
    <w:p>
      <w:pPr>
        <w:spacing w:after="120" w:before="0" w:line="300"/>
      </w:pPr>
      <w:r>
        <w:rPr>
          <w:b/>
          <w:bCs/>
          <w:color w:val="1A1A1A"/>
          <w:sz w:val="22"/>
          <w:szCs w:val="22"/>
        </w:rPr>
        <w:t xml:space="preserve">Continuous Optimization: </w:t>
      </w:r>
      <w:r>
        <w:rPr>
          <w:color w:val="1A1A1A"/>
          <w:sz w:val="22"/>
          <w:szCs w:val="22"/>
        </w:rPr>
        <w:t xml:space="preserve">ongoing performance analysis and strategy refinement across the full partnership window, embedded directly with Aman's internal growth team rather than run as a detached agency retainer.</w:t>
      </w:r>
    </w:p>
    <w:p>
      <w:pPr>
        <w:pBdr>
          <w:bottom w:val="single" w:color="9C7A3C" w:sz="6" w:space="1"/>
        </w:pBdr>
        <w:spacing w:after="200" w:before="200"/>
      </w:pPr>
      <w:r>
        <w:t xml:space="preserve"/>
      </w:r>
    </w:p>
    <w:p>
      <w:pPr>
        <w:pStyle w:val="Heading2"/>
        <w:spacing w:after="160" w:before="360"/>
      </w:pPr>
      <w:r>
        <w:rPr>
          <w:rFonts w:ascii="Georgia" w:cs="Georgia" w:eastAsia="Georgia" w:hAnsi="Georgia"/>
          <w:b/>
          <w:bCs/>
          <w:color w:val="9C7A3C"/>
          <w:sz w:val="26"/>
          <w:szCs w:val="26"/>
        </w:rPr>
        <w:t xml:space="preserve">Why This Combination Worked</w:t>
      </w:r>
    </w:p>
    <w:p>
      <w:pPr>
        <w:spacing w:after="160" w:before="0" w:line="300"/>
      </w:pPr>
      <w:r>
        <w:rPr>
          <w:i w:val="false"/>
          <w:iCs w:val="false"/>
          <w:color w:val="1A1A1A"/>
          <w:sz w:val="22"/>
          <w:szCs w:val="22"/>
        </w:rPr>
        <w:t xml:space="preserve">A super app's growth curve depends on the full funnel holding together — awareness has to convert to installs, installs have to convert to registrations, and registrations have to convert to actual transactions. Running acquisition, brand, and creative as one continuously optimized system — rather than three separate workstreams — is what let Aman's funnel compound instead of leaking at each stage.</w:t>
      </w:r>
    </w:p>
    <w:p>
      <w:pPr>
        <w:pStyle w:val="ListParagraph"/>
        <w:numPr>
          <w:ilvl w:val="0"/>
          <w:numId w:val="2"/>
        </w:numPr>
        <w:spacing w:after="100" w:before="0" w:line="280"/>
      </w:pPr>
      <w:r>
        <w:rPr>
          <w:b w:val="false"/>
          <w:bCs w:val="false"/>
          <w:color w:val="1A1A1A"/>
          <w:sz w:val="22"/>
          <w:szCs w:val="22"/>
        </w:rPr>
        <w:t xml:space="preserve">232,000 registrations against 2 million downloads reflects a funnel built for qualified intent, not just raw install volume.</w:t>
      </w:r>
    </w:p>
    <w:p>
      <w:pPr>
        <w:pStyle w:val="ListParagraph"/>
        <w:numPr>
          <w:ilvl w:val="0"/>
          <w:numId w:val="2"/>
        </w:numPr>
        <w:spacing w:after="100" w:before="0" w:line="280"/>
      </w:pPr>
      <w:r>
        <w:rPr>
          <w:b w:val="false"/>
          <w:bCs w:val="false"/>
          <w:color w:val="1A1A1A"/>
          <w:sz w:val="22"/>
          <w:szCs w:val="22"/>
        </w:rPr>
        <w:t xml:space="preserve">800,000 successful transactions — nearly 3.5x the registered-user count — shows the platform driving repeat usage, not one-time sign-ups, which is the real signal of super-app product-market fit.</w:t>
      </w:r>
    </w:p>
    <w:p>
      <w:r>
        <w:br w:type="page"/>
      </w:r>
    </w:p>
    <w:p>
      <w:pPr>
        <w:spacing w:after="60" w:before="0"/>
      </w:pPr>
      <w:r>
        <w:rPr>
          <w:rFonts w:ascii="Arial" w:cs="Arial" w:eastAsia="Arial" w:hAnsi="Arial"/>
          <w:b/>
          <w:bCs/>
          <w:color w:val="9C7A3C"/>
          <w:sz w:val="16"/>
          <w:szCs w:val="16"/>
        </w:rPr>
        <w:t xml:space="preserve">THE OUTCOME</w:t>
      </w:r>
    </w:p>
    <w:p>
      <w:pPr>
        <w:pStyle w:val="Heading1"/>
        <w:spacing w:after="200" w:before="400"/>
      </w:pPr>
      <w:r>
        <w:rPr>
          <w:rFonts w:ascii="Georgia" w:cs="Georgia" w:eastAsia="Georgia" w:hAnsi="Georgia"/>
          <w:b/>
          <w:bCs/>
          <w:color w:val="1A1A1A"/>
          <w:sz w:val="36"/>
          <w:szCs w:val="36"/>
        </w:rPr>
        <w:t xml:space="preserve">From New Entrant to Market Position</w:t>
      </w:r>
    </w:p>
    <w:p>
      <w:pPr>
        <w:pStyle w:val="ListParagraph"/>
        <w:numPr>
          <w:ilvl w:val="0"/>
          <w:numId w:val="2"/>
        </w:numPr>
        <w:spacing w:after="100" w:before="0" w:line="280"/>
      </w:pPr>
      <w:r>
        <w:rPr>
          <w:b w:val="false"/>
          <w:bCs w:val="false"/>
          <w:color w:val="1A1A1A"/>
          <w:sz w:val="22"/>
          <w:szCs w:val="22"/>
        </w:rPr>
        <w:t xml:space="preserve">2 million downloads and 232,000 completed registrations, delivered through a multi-year, continuously optimized acquisition program rather than a single launch push.</w:t>
      </w:r>
    </w:p>
    <w:p>
      <w:pPr>
        <w:pStyle w:val="ListParagraph"/>
        <w:numPr>
          <w:ilvl w:val="0"/>
          <w:numId w:val="2"/>
        </w:numPr>
        <w:spacing w:after="100" w:before="0" w:line="280"/>
      </w:pPr>
      <w:r>
        <w:rPr>
          <w:b w:val="false"/>
          <w:bCs w:val="false"/>
          <w:color w:val="1A1A1A"/>
          <w:sz w:val="22"/>
          <w:szCs w:val="22"/>
        </w:rPr>
        <w:t xml:space="preserve">800,000 successful transactions — direct evidence that the program drove real usage across Aman's service catalogue, not just app installs.</w:t>
      </w:r>
    </w:p>
    <w:p>
      <w:pPr>
        <w:pStyle w:val="ListParagraph"/>
        <w:numPr>
          <w:ilvl w:val="0"/>
          <w:numId w:val="2"/>
        </w:numPr>
        <w:spacing w:after="100" w:before="0" w:line="280"/>
      </w:pPr>
      <w:r>
        <w:rPr>
          <w:b w:val="false"/>
          <w:bCs w:val="false"/>
          <w:color w:val="1A1A1A"/>
          <w:sz w:val="22"/>
          <w:szCs w:val="22"/>
        </w:rPr>
        <w:t xml:space="preserve">A strategic and tactical partnership embedded with Aman's own growth team, sustained across more than two years of the platform's growth trajectory.</w:t>
      </w:r>
    </w:p>
    <w:p>
      <w:pPr>
        <w:pStyle w:val="ListParagraph"/>
        <w:numPr>
          <w:ilvl w:val="0"/>
          <w:numId w:val="2"/>
        </w:numPr>
        <w:spacing w:after="100" w:before="0" w:line="280"/>
      </w:pPr>
      <w:r>
        <w:rPr>
          <w:b w:val="false"/>
          <w:bCs w:val="false"/>
          <w:color w:val="1A1A1A"/>
          <w:sz w:val="22"/>
          <w:szCs w:val="22"/>
        </w:rPr>
        <w:t xml:space="preserve">Aman moved from launch-stage market entrant to a prestigious position in one of the region's most competitive fintech markets.</w:t>
      </w:r>
    </w:p>
    <w:p>
      <w:pPr>
        <w:pBdr>
          <w:bottom w:val="single" w:color="9C7A3C" w:sz="6" w:space="1"/>
        </w:pBdr>
        <w:spacing w:after="200" w:before="200"/>
      </w:pPr>
      <w:r>
        <w:t xml:space="preserve"/>
      </w:r>
    </w:p>
    <w:tbl>
      <w:tblPr>
        <w:tblW w:type="dxa" w:w="9350"/>
        <w:tblBorders>
          <w:top w:val="single" w:color="9C7A3C" w:sz="4"/>
          <w:left w:val="single" w:color="9C7A3C" w:sz="4"/>
          <w:bottom w:val="single" w:color="9C7A3C" w:sz="4"/>
          <w:right w:val="single" w:color="9C7A3C" w:sz="4"/>
          <w:insideH w:val="none"/>
          <w:insideV w:val="none"/>
        </w:tblBorders>
      </w:tblPr>
      <w:tblGrid>
        <w:gridCol w:w="9350"/>
      </w:tblGrid>
      <w:tr>
        <w:tc>
          <w:tcPr>
            <w:tcW w:type="dxa" w:w="9350"/>
            <w:shd w:fill="1A1A1A" w:val="clear"/>
            <w:tcMar>
              <w:top w:type="dxa" w:w="260"/>
              <w:left w:type="dxa" w:w="300"/>
              <w:bottom w:type="dxa" w:w="260"/>
              <w:right w:type="dxa" w:w="300"/>
            </w:tcMar>
          </w:tcPr>
          <w:p>
            <w:pPr>
              <w:jc w:val="center"/>
            </w:pPr>
            <w:r>
              <w:rPr>
                <w:b/>
                <w:bCs/>
                <w:color w:val="FFFFFF"/>
                <w:sz w:val="24"/>
                <w:szCs w:val="24"/>
              </w:rPr>
              <w:t xml:space="preserve">See how a sustained growth-marketing program could scale your app's transaction volume</w:t>
            </w:r>
          </w:p>
          <w:p>
            <w:pPr>
              <w:spacing w:before="80"/>
              <w:jc w:val="center"/>
            </w:pPr>
            <w:r>
              <w:rPr>
                <w:color w:val="D9D2C4"/>
                <w:sz w:val="19"/>
                <w:szCs w:val="19"/>
              </w:rPr>
              <w:t xml:space="preserve">Book a Growth Strategy Session with Arqqa Digital — built for platforms that need usage, not just installs.</w:t>
            </w:r>
          </w:p>
        </w:tc>
      </w:tr>
    </w:tbl>
    <w:p>
      <w:r>
        <w:br w:type="page"/>
      </w:r>
    </w:p>
    <w:p>
      <w:pPr>
        <w:spacing w:after="60" w:before="0"/>
      </w:pPr>
      <w:r>
        <w:rPr>
          <w:rFonts w:ascii="Arial" w:cs="Arial" w:eastAsia="Arial" w:hAnsi="Arial"/>
          <w:b/>
          <w:bCs/>
          <w:color w:val="9C7A3C"/>
          <w:sz w:val="16"/>
          <w:szCs w:val="16"/>
        </w:rPr>
        <w:t xml:space="preserve">APPENDIX</w:t>
      </w:r>
    </w:p>
    <w:p>
      <w:pPr>
        <w:pStyle w:val="Heading1"/>
        <w:spacing w:after="200" w:before="400"/>
      </w:pPr>
      <w:r>
        <w:rPr>
          <w:rFonts w:ascii="Georgia" w:cs="Georgia" w:eastAsia="Georgia" w:hAnsi="Georgia"/>
          <w:b/>
          <w:bCs/>
          <w:color w:val="1A1A1A"/>
          <w:sz w:val="36"/>
          <w:szCs w:val="36"/>
        </w:rPr>
        <w:t xml:space="preserve">Data Sensitivity Policy</w:t>
      </w:r>
    </w:p>
    <w:p>
      <w:pPr>
        <w:spacing w:after="160" w:before="0" w:line="300"/>
      </w:pPr>
      <w:r>
        <w:rPr>
          <w:i w:val="false"/>
          <w:iCs w:val="false"/>
          <w:color w:val="1A1A1A"/>
          <w:sz w:val="22"/>
          <w:szCs w:val="22"/>
        </w:rPr>
        <w:t xml:space="preserve">In line with Arqqa Digital's standard policy for all published case studies, this document contains no client media spend, revenue, or commercial figures. All performance figures shown are volume metrics (downloads, registrations, transactions) — reflecting real, verified program performance without disclosing any client's commercial or financial information.</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4"/>
        <w:szCs w:val="14"/>
      </w:rPr>
      <w:t xml:space="preserve">Page </w:t>
    </w:r>
    <w:r>
      <w:rPr>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6B6B6B"/>
        <w:sz w:val="14"/>
        <w:szCs w:val="14"/>
      </w:rPr>
      <w:t xml:space="preserve">ARQQA DIGITAL  ·  AMAN — PERFORMANCE MARKETING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2026-09-20T09:16:09.186Z</dcterms:created>
  <dcterms:modified xsi:type="dcterms:W3CDTF">2026-09-20T09:16:09.189Z</dcterms:modified>
</cp:coreProperties>
</file>

<file path=docProps/custom.xml><?xml version="1.0" encoding="utf-8"?>
<Properties xmlns="http://schemas.openxmlformats.org/officeDocument/2006/custom-properties" xmlns:vt="http://schemas.openxmlformats.org/officeDocument/2006/docPropsVTypes"/>
</file>