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Arial" w:cs="Arial" w:eastAsia="Arial" w:hAnsi="Arial"/>
          <w:b/>
          <w:bCs/>
          <w:color w:val="9C7A3C"/>
          <w:sz w:val="20"/>
          <w:szCs w:val="20"/>
        </w:rPr>
        <w:t xml:space="preserve">PERFORMANCE CASE STUDY</w:t>
      </w:r>
    </w:p>
    <w:p>
      <w:pPr>
        <w:spacing w:after="200" w:before="200"/>
        <w:jc w:val="center"/>
      </w:pPr>
      <w:r>
        <w:rPr>
          <w:rFonts w:ascii="Georgia" w:cs="Georgia" w:eastAsia="Georgia" w:hAnsi="Georgia"/>
          <w:b/>
          <w:bCs/>
          <w:color w:val="1A1A1A"/>
          <w:sz w:val="56"/>
          <w:szCs w:val="56"/>
        </w:rPr>
        <w:t xml:space="preserve">Fawry — SEO</w:t>
      </w:r>
    </w:p>
    <w:p>
      <w:pPr>
        <w:spacing w:after="100"/>
        <w:jc w:val="center"/>
      </w:pPr>
      <w:r>
        <w:rPr>
          <w:i/>
          <w:iCs/>
          <w:color w:val="6B6B6B"/>
          <w:sz w:val="24"/>
          <w:szCs w:val="24"/>
        </w:rPr>
        <w:t xml:space="preserve">How Structured, Service-Level SEO Made Egypt's Payment Leader Impossible to Miss</w:t>
      </w:r>
    </w:p>
    <w:p>
      <w:pPr>
        <w:spacing w:before="600"/>
        <w:jc w:val="center"/>
      </w:pPr>
      <w:r>
        <w:rPr>
          <w:rFonts w:ascii="Arial" w:cs="Arial" w:eastAsia="Arial" w:hAnsi="Arial"/>
          <w:b/>
          <w:bCs/>
          <w:color w:val="9C7A3C"/>
          <w:sz w:val="18"/>
          <w:szCs w:val="18"/>
        </w:rPr>
        <w:t xml:space="preserve">CLIENT: FAWRY  ·  SECTOR: FINTECH &amp; PAYMENT AGGREGATION  ·  MARKET: EGYPT</w:t>
      </w:r>
    </w:p>
    <w:p>
      <w:pPr>
        <w:spacing w:before="40"/>
        <w:jc w:val="center"/>
      </w:pPr>
      <w:r>
        <w:rPr>
          <w:rFonts w:ascii="Arial" w:cs="Arial" w:eastAsia="Arial" w:hAnsi="Arial"/>
          <w:color w:val="6B6B6B"/>
          <w:sz w:val="18"/>
          <w:szCs w:val="18"/>
        </w:rPr>
        <w:t xml:space="preserve">PARTNER: ARQQA DIGITAL</w:t>
      </w:r>
    </w:p>
    <w:p>
      <w:r>
        <w:br w:type="page"/>
      </w:r>
    </w:p>
    <w:p>
      <w:pPr>
        <w:spacing w:after="60" w:before="0"/>
      </w:pPr>
      <w:r>
        <w:rPr>
          <w:rFonts w:ascii="Arial" w:cs="Arial" w:eastAsia="Arial" w:hAnsi="Arial"/>
          <w:b/>
          <w:bCs/>
          <w:color w:val="9C7A3C"/>
          <w:sz w:val="16"/>
          <w:szCs w:val="16"/>
        </w:rPr>
        <w:t xml:space="preserve">EXECUTIVE SUMMARY</w:t>
      </w:r>
    </w:p>
    <w:p>
      <w:pPr>
        <w:pStyle w:val="Heading1"/>
        <w:spacing w:after="200" w:before="400"/>
      </w:pPr>
      <w:r>
        <w:rPr>
          <w:rFonts w:ascii="Georgia" w:cs="Georgia" w:eastAsia="Georgia" w:hAnsi="Georgia"/>
          <w:b/>
          <w:bCs/>
          <w:color w:val="1A1A1A"/>
          <w:sz w:val="36"/>
          <w:szCs w:val="36"/>
        </w:rPr>
        <w:t xml:space="preserve">Egypt's Largest Payment Aggregator Needed to Own Search — Not Just Rank In It</w:t>
      </w:r>
    </w:p>
    <w:p>
      <w:pPr>
        <w:spacing w:after="160" w:before="0" w:line="300"/>
      </w:pPr>
      <w:r>
        <w:rPr>
          <w:i w:val="false"/>
          <w:iCs w:val="false"/>
          <w:color w:val="1A1A1A"/>
          <w:sz w:val="22"/>
          <w:szCs w:val="22"/>
        </w:rPr>
        <w:t xml:space="preserve">Fawry is Egypt's leading electronic payment and financial technology platform — the network behind the country's bill payments, card recharges, government fees, and a growing catalogue of individual merchant and consumer payment services. That scale is exactly what makes SEO hard: hundreds of distinct services, each with its own search demand, all competing to be found under one brand.</w:t>
      </w:r>
    </w:p>
    <w:p>
      <w:pPr>
        <w:spacing w:after="120" w:before="0" w:line="300"/>
      </w:pPr>
      <w:r>
        <w:rPr>
          <w:b/>
          <w:bCs/>
          <w:color w:val="1A1A1A"/>
          <w:sz w:val="22"/>
          <w:szCs w:val="22"/>
        </w:rPr>
        <w:t xml:space="preserve">The mandate: </w:t>
      </w:r>
      <w:r>
        <w:rPr>
          <w:color w:val="1A1A1A"/>
          <w:sz w:val="22"/>
          <w:szCs w:val="22"/>
        </w:rPr>
        <w:t xml:space="preserve">move Fawry from generic brand visibility to category dominance — ranking not just for “Fawry,” but for every individual payment service Fawry offers, in the exact language Egyptian searchers use to find it.</w:t>
      </w:r>
    </w:p>
    <w:p>
      <w:pPr>
        <w:spacing w:after="120" w:before="0" w:line="300"/>
      </w:pPr>
      <w:r>
        <w:rPr>
          <w:b/>
          <w:bCs/>
          <w:color w:val="1A1A1A"/>
          <w:sz w:val="22"/>
          <w:szCs w:val="22"/>
        </w:rPr>
        <w:t xml:space="preserve">The approach: </w:t>
      </w:r>
      <w:r>
        <w:rPr>
          <w:color w:val="1A1A1A"/>
          <w:sz w:val="22"/>
          <w:szCs w:val="22"/>
        </w:rPr>
        <w:t xml:space="preserve">Arqqa Digital ran a multi-year, always-on SEO program built on two pillars — technical/on-page optimization at the domain level, and dedicated landing pages built for each individual Fawry service (electricity card recharge, bill payments, traffic fine payments, meter recharge, and more), each engineered to rank for its own high-intent keyword cluster.</w:t>
      </w:r>
    </w:p>
    <w:p>
      <w:pPr>
        <w:spacing w:after="120" w:before="0" w:line="300"/>
      </w:pPr>
      <w:r>
        <w:rPr>
          <w:b/>
          <w:bCs/>
          <w:color w:val="1A1A1A"/>
          <w:sz w:val="22"/>
          <w:szCs w:val="22"/>
        </w:rPr>
        <w:t xml:space="preserve">The result: </w:t>
      </w:r>
      <w:r>
        <w:rPr>
          <w:color w:val="1A1A1A"/>
          <w:sz w:val="22"/>
          <w:szCs w:val="22"/>
        </w:rPr>
        <w:t xml:space="preserve">organic search became Fawry's single largest acquisition channel, and the service-specific landing page strategy gave Fawry first-position visibility across hundreds of the exact searches its customers were already making — reinforcing Fawry's category leadership at the moment of intent, not just on the homepage.</w:t>
      </w:r>
    </w:p>
    <w:p>
      <w:pPr>
        <w:pBdr>
          <w:bottom w:val="single" w:color="9C7A3C" w:sz="6" w:space="1"/>
        </w:pBdr>
        <w:spacing w:after="200" w:before="200"/>
      </w:pPr>
      <w:r>
        <w:t xml:space="preserve"/>
      </w:r>
    </w:p>
    <w:p>
      <w:pPr>
        <w:pStyle w:val="Heading2"/>
        <w:spacing w:after="160" w:before="360"/>
      </w:pPr>
      <w:r>
        <w:rPr>
          <w:rFonts w:ascii="Georgia" w:cs="Georgia" w:eastAsia="Georgia" w:hAnsi="Georgia"/>
          <w:b/>
          <w:bCs/>
          <w:color w:val="9C7A3C"/>
          <w:sz w:val="26"/>
          <w:szCs w:val="26"/>
        </w:rPr>
        <w:t xml:space="preserve">Program Headline Numbers</w:t>
      </w:r>
    </w:p>
    <w:p>
      <w:pPr>
        <w:pBdr>
          <w:left w:val="single" w:color="9C7A3C" w:sz="12" w:space="8"/>
        </w:pBdr>
        <w:shd w:fill="F5F3EE" w:val="clear"/>
        <w:spacing w:after="200" w:before="100"/>
      </w:pPr>
      <w:r>
        <w:rPr>
          <w:i/>
          <w:iCs/>
          <w:color w:val="6B6B6B"/>
          <w:sz w:val="19"/>
          <w:szCs w:val="19"/>
        </w:rPr>
        <w:t xml:space="preserve">All figures below are organic search growth, keyword-ranking counts, and traffic-share metrics — never client spend or revenue. See the Data Sensitivity Policy at the close of this document.</w:t>
      </w:r>
    </w:p>
    <w:tbl>
      <w:tblPr>
        <w:tblW w:type="dxa" w:w="9350"/>
        <w:tblBorders>
          <w:top w:val="none"/>
          <w:left w:val="none"/>
          <w:bottom w:val="none"/>
          <w:right w:val="none"/>
          <w:insideH w:val="none"/>
          <w:insideV w:val="none"/>
        </w:tblBorders>
      </w:tblPr>
      <w:tblGrid>
        <w:gridCol w:w="3116"/>
        <w:gridCol w:w="3116"/>
        <w:gridCol w:w="3116"/>
      </w:tblGrid>
      <w:tr>
        <w:tc>
          <w:tcPr>
            <w:tcW w:type="dxa" w:w="3116"/>
            <w:shd w:fill="F5F3EE" w:val="clear"/>
            <w:tcMar>
              <w:top w:type="dxa" w:w="200"/>
              <w:left w:type="dxa" w:w="120"/>
              <w:bottom w:type="dxa" w:w="200"/>
              <w:right w:type="dxa" w:w="120"/>
            </w:tcMar>
            <w:vAlign w:val="center"/>
          </w:tcPr>
          <w:p>
            <w:pPr>
              <w:spacing w:after="0" w:before="0"/>
              <w:jc w:val="center"/>
            </w:pPr>
            <w:r>
              <w:rPr>
                <w:b/>
                <w:bCs/>
                <w:color w:val="9C7A3C"/>
                <w:sz w:val="40"/>
                <w:szCs w:val="40"/>
              </w:rPr>
              <w:t xml:space="preserve">+1,200%</w:t>
            </w:r>
          </w:p>
          <w:p>
            <w:pPr>
              <w:spacing w:after="0" w:before="0"/>
              <w:jc w:val="center"/>
            </w:pPr>
            <w:r>
              <w:rPr>
                <w:color w:val="6B6B6B"/>
                <w:sz w:val="17"/>
                <w:szCs w:val="17"/>
              </w:rPr>
              <w:t xml:space="preserve">YoY organic traffic growth (multi-year program)</w:t>
            </w:r>
          </w:p>
        </w:tc>
        <w:tc>
          <w:tcPr>
            <w:tcW w:type="dxa" w:w="3116"/>
            <w:shd w:fill="F5F3EE" w:val="clear"/>
            <w:tcMar>
              <w:top w:type="dxa" w:w="200"/>
              <w:left w:type="dxa" w:w="120"/>
              <w:bottom w:type="dxa" w:w="200"/>
              <w:right w:type="dxa" w:w="120"/>
            </w:tcMar>
            <w:vAlign w:val="center"/>
          </w:tcPr>
          <w:p>
            <w:pPr>
              <w:spacing w:after="0" w:before="0"/>
              <w:jc w:val="center"/>
            </w:pPr>
            <w:r>
              <w:rPr>
                <w:b/>
                <w:bCs/>
                <w:color w:val="9C7A3C"/>
                <w:sz w:val="40"/>
                <w:szCs w:val="40"/>
              </w:rPr>
              <w:t xml:space="preserve">903</w:t>
            </w:r>
          </w:p>
          <w:p>
            <w:pPr>
              <w:spacing w:after="0" w:before="0"/>
              <w:jc w:val="center"/>
            </w:pPr>
            <w:r>
              <w:rPr>
                <w:color w:val="6B6B6B"/>
                <w:sz w:val="17"/>
                <w:szCs w:val="17"/>
              </w:rPr>
              <w:t xml:space="preserve">keywords ranked on page 1 of Google</w:t>
            </w:r>
          </w:p>
        </w:tc>
        <w:tc>
          <w:tcPr>
            <w:tcW w:type="dxa" w:w="3116"/>
            <w:shd w:fill="F5F3EE" w:val="clear"/>
            <w:tcMar>
              <w:top w:type="dxa" w:w="200"/>
              <w:left w:type="dxa" w:w="120"/>
              <w:bottom w:type="dxa" w:w="200"/>
              <w:right w:type="dxa" w:w="120"/>
            </w:tcMar>
            <w:vAlign w:val="center"/>
          </w:tcPr>
          <w:p>
            <w:pPr>
              <w:spacing w:after="0" w:before="0"/>
              <w:jc w:val="center"/>
            </w:pPr>
            <w:r>
              <w:rPr>
                <w:b/>
                <w:bCs/>
                <w:color w:val="9C7A3C"/>
                <w:sz w:val="40"/>
                <w:szCs w:val="40"/>
              </w:rPr>
              <w:t xml:space="preserve">72</w:t>
            </w:r>
          </w:p>
          <w:p>
            <w:pPr>
              <w:spacing w:after="0" w:before="0"/>
              <w:jc w:val="center"/>
            </w:pPr>
            <w:r>
              <w:rPr>
                <w:color w:val="6B6B6B"/>
                <w:sz w:val="17"/>
                <w:szCs w:val="17"/>
              </w:rPr>
              <w:t xml:space="preserve">keywords ranked #1</w:t>
            </w:r>
          </w:p>
        </w:tc>
      </w:tr>
    </w:tbl>
    <w:p>
      <w:pPr>
        <w:spacing w:before="160"/>
      </w:pPr>
      <w:r>
        <w:t xml:space="preserve"/>
      </w:r>
    </w:p>
    <w:tbl>
      <w:tblPr>
        <w:tblW w:type="dxa" w:w="9350"/>
        <w:tblBorders>
          <w:top w:val="none"/>
          <w:left w:val="none"/>
          <w:bottom w:val="none"/>
          <w:right w:val="none"/>
          <w:insideH w:val="none"/>
          <w:insideV w:val="none"/>
        </w:tblBorders>
      </w:tblPr>
      <w:tblGrid>
        <w:gridCol w:w="3116"/>
        <w:gridCol w:w="3116"/>
        <w:gridCol w:w="3116"/>
      </w:tblGrid>
      <w:tr>
        <w:tc>
          <w:tcPr>
            <w:tcW w:type="dxa" w:w="3116"/>
            <w:shd w:fill="F5F3EE" w:val="clear"/>
            <w:tcMar>
              <w:top w:type="dxa" w:w="200"/>
              <w:left w:type="dxa" w:w="120"/>
              <w:bottom w:type="dxa" w:w="200"/>
              <w:right w:type="dxa" w:w="120"/>
            </w:tcMar>
            <w:vAlign w:val="center"/>
          </w:tcPr>
          <w:p>
            <w:pPr>
              <w:spacing w:after="0" w:before="0"/>
              <w:jc w:val="center"/>
            </w:pPr>
            <w:r>
              <w:rPr>
                <w:b/>
                <w:bCs/>
                <w:color w:val="9C7A3C"/>
                <w:sz w:val="40"/>
                <w:szCs w:val="40"/>
              </w:rPr>
              <w:t xml:space="preserve">211</w:t>
            </w:r>
          </w:p>
          <w:p>
            <w:pPr>
              <w:spacing w:after="0" w:before="0"/>
              <w:jc w:val="center"/>
            </w:pPr>
            <w:r>
              <w:rPr>
                <w:color w:val="6B6B6B"/>
                <w:sz w:val="17"/>
                <w:szCs w:val="17"/>
              </w:rPr>
              <w:t xml:space="preserve">keywords ranked in the top 3</w:t>
            </w:r>
          </w:p>
        </w:tc>
        <w:tc>
          <w:tcPr>
            <w:tcW w:type="dxa" w:w="3116"/>
            <w:shd w:fill="F5F3EE" w:val="clear"/>
            <w:tcMar>
              <w:top w:type="dxa" w:w="200"/>
              <w:left w:type="dxa" w:w="120"/>
              <w:bottom w:type="dxa" w:w="200"/>
              <w:right w:type="dxa" w:w="120"/>
            </w:tcMar>
            <w:vAlign w:val="center"/>
          </w:tcPr>
          <w:p>
            <w:pPr>
              <w:spacing w:after="0" w:before="0"/>
              <w:jc w:val="center"/>
            </w:pPr>
            <w:r>
              <w:rPr>
                <w:b/>
                <w:bCs/>
                <w:color w:val="9C7A3C"/>
                <w:sz w:val="40"/>
                <w:szCs w:val="40"/>
              </w:rPr>
              <w:t xml:space="preserve">620</w:t>
            </w:r>
          </w:p>
          <w:p>
            <w:pPr>
              <w:spacing w:after="0" w:before="0"/>
              <w:jc w:val="center"/>
            </w:pPr>
            <w:r>
              <w:rPr>
                <w:color w:val="6B6B6B"/>
                <w:sz w:val="17"/>
                <w:szCs w:val="17"/>
              </w:rPr>
              <w:t xml:space="preserve">keywords ranked positions 4–10</w:t>
            </w:r>
          </w:p>
        </w:tc>
        <w:tc>
          <w:tcPr>
            <w:tcW w:type="dxa" w:w="3116"/>
            <w:shd w:fill="F5F3EE" w:val="clear"/>
            <w:tcMar>
              <w:top w:type="dxa" w:w="200"/>
              <w:left w:type="dxa" w:w="120"/>
              <w:bottom w:type="dxa" w:w="200"/>
              <w:right w:type="dxa" w:w="120"/>
            </w:tcMar>
            <w:vAlign w:val="center"/>
          </w:tcPr>
          <w:p>
            <w:pPr>
              <w:spacing w:after="0" w:before="0"/>
              <w:jc w:val="center"/>
            </w:pPr>
            <w:r>
              <w:rPr>
                <w:b/>
                <w:bCs/>
                <w:color w:val="2E7D32"/>
                <w:sz w:val="40"/>
                <w:szCs w:val="40"/>
              </w:rPr>
              <w:t xml:space="preserve">4+ yrs</w:t>
            </w:r>
          </w:p>
          <w:p>
            <w:pPr>
              <w:spacing w:after="0" w:before="0"/>
              <w:jc w:val="center"/>
            </w:pPr>
            <w:r>
              <w:rPr>
                <w:color w:val="6B6B6B"/>
                <w:sz w:val="17"/>
                <w:szCs w:val="17"/>
              </w:rPr>
              <w:t xml:space="preserve">of continuous, always-on SEO delivery</w:t>
            </w:r>
          </w:p>
        </w:tc>
      </w:tr>
    </w:tbl>
    <w:p>
      <w:r>
        <w:br w:type="page"/>
      </w:r>
    </w:p>
    <w:p>
      <w:pPr>
        <w:spacing w:after="60" w:before="0"/>
      </w:pPr>
      <w:r>
        <w:rPr>
          <w:rFonts w:ascii="Arial" w:cs="Arial" w:eastAsia="Arial" w:hAnsi="Arial"/>
          <w:b/>
          <w:bCs/>
          <w:color w:val="9C7A3C"/>
          <w:sz w:val="16"/>
          <w:szCs w:val="16"/>
        </w:rPr>
        <w:t xml:space="preserve">THE CHALLENGE</w:t>
      </w:r>
    </w:p>
    <w:p>
      <w:pPr>
        <w:pStyle w:val="Heading1"/>
        <w:spacing w:after="200" w:before="400"/>
      </w:pPr>
      <w:r>
        <w:rPr>
          <w:rFonts w:ascii="Georgia" w:cs="Georgia" w:eastAsia="Georgia" w:hAnsi="Georgia"/>
          <w:b/>
          <w:bCs/>
          <w:color w:val="1A1A1A"/>
          <w:sz w:val="36"/>
          <w:szCs w:val="36"/>
        </w:rPr>
        <w:t xml:space="preserve">One Brand. Hundreds of Services. One Search Box.</w:t>
      </w:r>
    </w:p>
    <w:p>
      <w:pPr>
        <w:spacing w:after="160" w:before="0" w:line="300"/>
      </w:pPr>
      <w:r>
        <w:rPr>
          <w:i w:val="false"/>
          <w:iCs w:val="false"/>
          <w:color w:val="1A1A1A"/>
          <w:sz w:val="22"/>
          <w:szCs w:val="22"/>
        </w:rPr>
        <w:t xml:space="preserve">Fawry's business model is its SEO challenge. A typical fintech competitor sells one or two core products and can concentrate all of its search equity behind a handful of pages. Fawry is different: it's an aggregator, offering dozens of distinct, unrelated payment services under one umbrella — electricity card recharge, internet bill payment, traffic fine settlement, meter top-ups, telecom bill payment, and government service fees, to name a few.</w:t>
      </w:r>
    </w:p>
    <w:p>
      <w:pPr>
        <w:pStyle w:val="ListParagraph"/>
        <w:numPr>
          <w:ilvl w:val="0"/>
          <w:numId w:val="2"/>
        </w:numPr>
        <w:spacing w:after="100" w:before="0" w:line="280"/>
      </w:pPr>
      <w:r>
        <w:rPr>
          <w:b w:val="false"/>
          <w:bCs w:val="false"/>
          <w:color w:val="1A1A1A"/>
          <w:sz w:val="22"/>
          <w:szCs w:val="22"/>
        </w:rPr>
        <w:t xml:space="preserve">Each of those services has its own search behavior, its own keyword language, and its own competing pages — often government portals, banks, or other aggregators optimized for that exact query.</w:t>
      </w:r>
    </w:p>
    <w:p>
      <w:pPr>
        <w:pStyle w:val="ListParagraph"/>
        <w:numPr>
          <w:ilvl w:val="0"/>
          <w:numId w:val="2"/>
        </w:numPr>
        <w:spacing w:after="100" w:before="0" w:line="280"/>
      </w:pPr>
      <w:r>
        <w:rPr>
          <w:b w:val="false"/>
          <w:bCs w:val="false"/>
          <w:color w:val="1A1A1A"/>
          <w:sz w:val="22"/>
          <w:szCs w:val="22"/>
        </w:rPr>
        <w:t xml:space="preserve">A single homepage or generic “services” page cannot rank competitively for all of them at once — Google rewards pages built specifically around a single intent, not broad pages that mention many.</w:t>
      </w:r>
    </w:p>
    <w:p>
      <w:pPr>
        <w:pStyle w:val="ListParagraph"/>
        <w:numPr>
          <w:ilvl w:val="0"/>
          <w:numId w:val="2"/>
        </w:numPr>
        <w:spacing w:after="100" w:before="0" w:line="280"/>
      </w:pPr>
      <w:r>
        <w:rPr>
          <w:b w:val="false"/>
          <w:bCs w:val="false"/>
          <w:color w:val="1A1A1A"/>
          <w:sz w:val="22"/>
          <w:szCs w:val="22"/>
        </w:rPr>
        <w:t xml:space="preserve">Without dedicated, individually optimized pages, Fawry was ceding page-one visibility on its own core use cases to competitors and even to third-party content.</w:t>
      </w:r>
    </w:p>
    <w:p>
      <w:pPr>
        <w:pBdr>
          <w:bottom w:val="single" w:color="9C7A3C" w:sz="6" w:space="1"/>
        </w:pBdr>
        <w:spacing w:after="200" w:before="200"/>
      </w:pPr>
      <w:r>
        <w:t xml:space="preserve"/>
      </w:r>
    </w:p>
    <w:p>
      <w:pPr>
        <w:spacing w:after="100" w:before="240"/>
      </w:pPr>
      <w:r>
        <w:rPr>
          <w:b/>
          <w:bCs/>
          <w:color w:val="1A1A1A"/>
          <w:sz w:val="22"/>
          <w:szCs w:val="22"/>
        </w:rPr>
        <w:t xml:space="preserve">The Category Entry Point</w:t>
      </w:r>
    </w:p>
    <w:p>
      <w:pPr>
        <w:pBdr>
          <w:left w:val="single" w:color="9C7A3C" w:sz="12" w:space="8"/>
        </w:pBdr>
        <w:shd w:fill="F5F3EE" w:val="clear"/>
        <w:spacing w:after="200" w:before="100"/>
      </w:pPr>
      <w:r>
        <w:rPr>
          <w:i/>
          <w:iCs/>
          <w:color w:val="6B6B6B"/>
          <w:sz w:val="19"/>
          <w:szCs w:val="19"/>
        </w:rPr>
        <w:t xml:space="preserve">“When your brand serves many services under one name, and each one is losing search visibility to smaller, more specifically-optimized competitors.”</w:t>
      </w:r>
    </w:p>
    <w:p>
      <w:r>
        <w:br w:type="page"/>
      </w:r>
    </w:p>
    <w:p>
      <w:pPr>
        <w:spacing w:after="60" w:before="0"/>
      </w:pPr>
      <w:r>
        <w:rPr>
          <w:rFonts w:ascii="Arial" w:cs="Arial" w:eastAsia="Arial" w:hAnsi="Arial"/>
          <w:b/>
          <w:bCs/>
          <w:color w:val="9C7A3C"/>
          <w:sz w:val="16"/>
          <w:szCs w:val="16"/>
        </w:rPr>
        <w:t xml:space="preserve">THE STRATEGY</w:t>
      </w:r>
    </w:p>
    <w:p>
      <w:pPr>
        <w:pStyle w:val="Heading1"/>
        <w:spacing w:after="200" w:before="400"/>
      </w:pPr>
      <w:r>
        <w:rPr>
          <w:rFonts w:ascii="Georgia" w:cs="Georgia" w:eastAsia="Georgia" w:hAnsi="Georgia"/>
          <w:b/>
          <w:bCs/>
          <w:color w:val="1A1A1A"/>
          <w:sz w:val="36"/>
          <w:szCs w:val="36"/>
        </w:rPr>
        <w:t xml:space="preserve">A Dedicated Landing Page for Every Service Fawry Offers</w:t>
      </w:r>
    </w:p>
    <w:p>
      <w:pPr>
        <w:spacing w:after="160" w:before="0" w:line="300"/>
      </w:pPr>
      <w:r>
        <w:rPr>
          <w:i w:val="false"/>
          <w:iCs w:val="false"/>
          <w:color w:val="1A1A1A"/>
          <w:sz w:val="22"/>
          <w:szCs w:val="22"/>
        </w:rPr>
        <w:t xml:space="preserve">Instead of treating SEO as a single site-wide exercise, Arqqa Digital restructured Fawry's organic strategy around service-level ownership: every individual payment service got its own purpose-built landing page, engineered around the specific keyword cluster real users were searching for that service.</w:t>
      </w:r>
    </w:p>
    <w:p>
      <w:pPr>
        <w:pStyle w:val="Heading2"/>
        <w:spacing w:after="160" w:before="360"/>
      </w:pPr>
      <w:r>
        <w:rPr>
          <w:rFonts w:ascii="Georgia" w:cs="Georgia" w:eastAsia="Georgia" w:hAnsi="Georgia"/>
          <w:b/>
          <w:bCs/>
          <w:color w:val="9C7A3C"/>
          <w:sz w:val="26"/>
          <w:szCs w:val="26"/>
        </w:rPr>
        <w:t xml:space="preserve">Why Service-Level Pages Changed the Outcome</w:t>
      </w:r>
    </w:p>
    <w:p>
      <w:pPr>
        <w:spacing w:after="120" w:before="0" w:line="300"/>
      </w:pPr>
      <w:r>
        <w:rPr>
          <w:b/>
          <w:bCs/>
          <w:color w:val="1A1A1A"/>
          <w:sz w:val="22"/>
          <w:szCs w:val="22"/>
        </w:rPr>
        <w:t xml:space="preserve">Search-intent match: </w:t>
      </w:r>
      <w:r>
        <w:rPr>
          <w:color w:val="1A1A1A"/>
          <w:sz w:val="22"/>
          <w:szCs w:val="22"/>
        </w:rPr>
        <w:t xml:space="preserve">a user searching “شحن كرت الكهرباء” (recharge electricity card) lands on a page built entirely around that task — not a general Fawry services page that mentions it in passing.</w:t>
      </w:r>
    </w:p>
    <w:p>
      <w:pPr>
        <w:spacing w:after="120" w:before="0" w:line="300"/>
      </w:pPr>
      <w:r>
        <w:rPr>
          <w:b/>
          <w:bCs/>
          <w:color w:val="1A1A1A"/>
          <w:sz w:val="22"/>
          <w:szCs w:val="22"/>
        </w:rPr>
        <w:t xml:space="preserve">Keyword depth per page: </w:t>
      </w:r>
      <w:r>
        <w:rPr>
          <w:color w:val="1A1A1A"/>
          <w:sz w:val="22"/>
          <w:szCs w:val="22"/>
        </w:rPr>
        <w:t xml:space="preserve">each landing page could be optimized for its own cluster of related terms — the core query, “how to” variations, “online” modifiers, and long-tail phrasing — instead of one page competing for everything at once.</w:t>
      </w:r>
    </w:p>
    <w:p>
      <w:pPr>
        <w:spacing w:after="120" w:before="0" w:line="300"/>
      </w:pPr>
      <w:r>
        <w:rPr>
          <w:b/>
          <w:bCs/>
          <w:color w:val="1A1A1A"/>
          <w:sz w:val="22"/>
          <w:szCs w:val="22"/>
        </w:rPr>
        <w:t xml:space="preserve">Category dominance, not just brand visibility: </w:t>
      </w:r>
      <w:r>
        <w:rPr>
          <w:color w:val="1A1A1A"/>
          <w:sz w:val="22"/>
          <w:szCs w:val="22"/>
        </w:rPr>
        <w:t xml:space="preserve">the strategy shifted the goal from “rank for Fawry” to “rank for every task Fawry solves” — meaning Fawry now appears at the exact moment a customer has a specific payment need, regardless of whether they know the Fawry brand yet.</w:t>
      </w:r>
    </w:p>
    <w:p>
      <w:pPr>
        <w:spacing w:after="120" w:before="0" w:line="300"/>
      </w:pPr>
      <w:r>
        <w:rPr>
          <w:b/>
          <w:bCs/>
          <w:color w:val="1A1A1A"/>
          <w:sz w:val="22"/>
          <w:szCs w:val="22"/>
        </w:rPr>
        <w:t xml:space="preserve">Compounding authority: </w:t>
      </w:r>
      <w:r>
        <w:rPr>
          <w:color w:val="1A1A1A"/>
          <w:sz w:val="22"/>
          <w:szCs w:val="22"/>
        </w:rPr>
        <w:t xml:space="preserve">as more service pages ranked and earned organic clicks, they reinforced the domain's overall topical authority in the payments space, lifting the ranking potential of every other page on the site.</w:t>
      </w:r>
    </w:p>
    <w:p>
      <w:pPr>
        <w:pBdr>
          <w:bottom w:val="single" w:color="9C7A3C" w:sz="6" w:space="1"/>
        </w:pBdr>
        <w:spacing w:after="200" w:before="200"/>
      </w:pPr>
      <w:r>
        <w:t xml:space="preserve"/>
      </w:r>
    </w:p>
    <w:p>
      <w:pPr>
        <w:pStyle w:val="Heading2"/>
        <w:spacing w:after="160" w:before="360"/>
      </w:pPr>
      <w:r>
        <w:rPr>
          <w:rFonts w:ascii="Georgia" w:cs="Georgia" w:eastAsia="Georgia" w:hAnsi="Georgia"/>
          <w:b/>
          <w:bCs/>
          <w:color w:val="9C7A3C"/>
          <w:sz w:val="26"/>
          <w:szCs w:val="26"/>
        </w:rPr>
        <w:t xml:space="preserve">The Business Impact: Scene Dominance and Brand Positioning</w:t>
      </w:r>
    </w:p>
    <w:p>
      <w:pPr>
        <w:spacing w:after="160" w:before="0" w:line="300"/>
      </w:pPr>
      <w:r>
        <w:rPr>
          <w:i w:val="false"/>
          <w:iCs w:val="false"/>
          <w:color w:val="1A1A1A"/>
          <w:sz w:val="22"/>
          <w:szCs w:val="22"/>
        </w:rPr>
        <w:t xml:space="preserve">The service-page strategy did more than grow traffic — it changed how Fawry is discovered. By owning first-position rankings across the individual services people actually search for, Fawry became the default, unavoidable answer across the category rather than one option among several aggregators and government portals.</w:t>
      </w:r>
    </w:p>
    <w:p>
      <w:pPr>
        <w:pStyle w:val="ListParagraph"/>
        <w:numPr>
          <w:ilvl w:val="0"/>
          <w:numId w:val="2"/>
        </w:numPr>
        <w:spacing w:after="100" w:before="0" w:line="280"/>
      </w:pPr>
      <w:r>
        <w:rPr>
          <w:b w:val="false"/>
          <w:bCs w:val="false"/>
          <w:color w:val="1A1A1A"/>
          <w:sz w:val="22"/>
          <w:szCs w:val="22"/>
        </w:rPr>
        <w:t xml:space="preserve">Customers searching for a specific task — not the Fawry brand — now consistently land on a Fawry-owned page first, making Fawry the practical default for that service.</w:t>
      </w:r>
    </w:p>
    <w:p>
      <w:pPr>
        <w:pStyle w:val="ListParagraph"/>
        <w:numPr>
          <w:ilvl w:val="0"/>
          <w:numId w:val="2"/>
        </w:numPr>
        <w:spacing w:after="100" w:before="0" w:line="280"/>
      </w:pPr>
      <w:r>
        <w:rPr>
          <w:b w:val="false"/>
          <w:bCs w:val="false"/>
          <w:color w:val="1A1A1A"/>
          <w:sz w:val="22"/>
          <w:szCs w:val="22"/>
        </w:rPr>
        <w:t xml:space="preserve">This service-by-service visibility compounded into category-wide dominance: Fawry didn't just rank well, it became the presumed answer across the majority of the payment-service search landscape in Egypt.</w:t>
      </w:r>
    </w:p>
    <w:p>
      <w:pPr>
        <w:pStyle w:val="ListParagraph"/>
        <w:numPr>
          <w:ilvl w:val="0"/>
          <w:numId w:val="2"/>
        </w:numPr>
        <w:spacing w:after="100" w:before="0" w:line="280"/>
      </w:pPr>
      <w:r>
        <w:rPr>
          <w:b w:val="false"/>
          <w:bCs w:val="false"/>
          <w:color w:val="1A1A1A"/>
          <w:sz w:val="22"/>
          <w:szCs w:val="22"/>
        </w:rPr>
        <w:t xml:space="preserve">The cumulative effect uplifted Fawry's brand positioning — reinforcing its market status as Egypt's leading payment aggregator through consistent, first-position presence at every individual point of customer intent, not through advertising alone.</w:t>
      </w:r>
    </w:p>
    <w:p>
      <w:r>
        <w:br w:type="page"/>
      </w:r>
    </w:p>
    <w:p>
      <w:pPr>
        <w:spacing w:after="60" w:before="0"/>
      </w:pPr>
      <w:r>
        <w:rPr>
          <w:rFonts w:ascii="Arial" w:cs="Arial" w:eastAsia="Arial" w:hAnsi="Arial"/>
          <w:b/>
          <w:bCs/>
          <w:color w:val="9C7A3C"/>
          <w:sz w:val="16"/>
          <w:szCs w:val="16"/>
        </w:rPr>
        <w:t xml:space="preserve">THE PROOF</w:t>
      </w:r>
    </w:p>
    <w:p>
      <w:pPr>
        <w:pStyle w:val="Heading1"/>
        <w:spacing w:after="200" w:before="400"/>
      </w:pPr>
      <w:r>
        <w:rPr>
          <w:rFonts w:ascii="Georgia" w:cs="Georgia" w:eastAsia="Georgia" w:hAnsi="Georgia"/>
          <w:b/>
          <w:bCs/>
          <w:color w:val="1A1A1A"/>
          <w:sz w:val="36"/>
          <w:szCs w:val="36"/>
        </w:rPr>
        <w:t xml:space="preserve">What the Numbers Show</w:t>
      </w:r>
    </w:p>
    <w:p>
      <w:pPr>
        <w:pStyle w:val="Heading2"/>
        <w:spacing w:after="160" w:before="360"/>
      </w:pPr>
      <w:r>
        <w:rPr>
          <w:rFonts w:ascii="Georgia" w:cs="Georgia" w:eastAsia="Georgia" w:hAnsi="Georgia"/>
          <w:b/>
          <w:bCs/>
          <w:color w:val="9C7A3C"/>
          <w:sz w:val="26"/>
          <w:szCs w:val="26"/>
        </w:rPr>
        <w:t xml:space="preserve">Multi-Year Program Result</w:t>
      </w:r>
    </w:p>
    <w:p>
      <w:pPr>
        <w:spacing w:after="120" w:before="0" w:line="300"/>
      </w:pPr>
      <w:r>
        <w:rPr>
          <w:b/>
          <w:bCs/>
          <w:color w:val="1A1A1A"/>
          <w:sz w:val="22"/>
          <w:szCs w:val="22"/>
        </w:rPr>
        <w:t xml:space="preserve">+1,200% year-over-year organic traffic growth</w:t>
      </w:r>
      <w:r>
        <w:rPr>
          <w:color w:val="1A1A1A"/>
          <w:sz w:val="22"/>
          <w:szCs w:val="22"/>
        </w:rPr>
        <w:t xml:space="preserve"> — measured across the full engagement, reflecting the compounding effect of continuous technical SEO plus the service-page expansion strategy.</w:t>
      </w:r>
    </w:p>
    <w:p>
      <w:pPr>
        <w:spacing w:after="160" w:before="0" w:line="300"/>
      </w:pPr>
      <w:r>
        <w:rPr>
          <w:i w:val="false"/>
          <w:iCs w:val="false"/>
          <w:color w:val="1A1A1A"/>
          <w:sz w:val="22"/>
          <w:szCs w:val="22"/>
        </w:rPr>
        <w:t xml:space="preserve"/>
      </w:r>
    </w:p>
    <w:tbl>
      <w:tblPr>
        <w:tblW w:type="dxa" w:w="9350"/>
        <w:tblBorders>
          <w:top w:val="single" w:color="CCCCCC" w:sz="4"/>
          <w:left w:val="single" w:color="CCCCCC" w:sz="4"/>
          <w:bottom w:val="single" w:color="CCCCCC" w:sz="4"/>
          <w:right w:val="single" w:color="CCCCCC" w:sz="4"/>
          <w:insideH w:val="single" w:color="E0E0E0" w:sz="4"/>
          <w:insideV w:val="single" w:color="E0E0E0" w:sz="4"/>
        </w:tblBorders>
      </w:tblPr>
      <w:tblGrid>
        <w:gridCol w:w="5850"/>
        <w:gridCol w:w="3500"/>
      </w:tblGrid>
      <w:tr>
        <w:trPr>
          <w:tblHeader/>
        </w:trPr>
        <w:tc>
          <w:tcPr>
            <w:tcW w:type="dxa" w:w="5850"/>
            <w:shd w:fill="1A1A1A" w:val="clear"/>
            <w:tcMar>
              <w:top w:type="dxa" w:w="120"/>
              <w:left w:type="dxa" w:w="140"/>
              <w:bottom w:type="dxa" w:w="120"/>
              <w:right w:type="dxa" w:w="140"/>
            </w:tcMar>
            <w:vAlign w:val="center"/>
          </w:tcPr>
          <w:p>
            <w:r>
              <w:rPr>
                <w:b/>
                <w:bCs/>
                <w:color w:val="FFFFFF"/>
                <w:sz w:val="20"/>
                <w:szCs w:val="20"/>
              </w:rPr>
              <w:t xml:space="preserve">Ranking Tier</w:t>
            </w:r>
          </w:p>
        </w:tc>
        <w:tc>
          <w:tcPr>
            <w:tcW w:type="dxa" w:w="3500"/>
            <w:shd w:fill="1A1A1A" w:val="clear"/>
            <w:tcMar>
              <w:top w:type="dxa" w:w="120"/>
              <w:left w:type="dxa" w:w="140"/>
              <w:bottom w:type="dxa" w:w="120"/>
              <w:right w:type="dxa" w:w="140"/>
            </w:tcMar>
            <w:vAlign w:val="center"/>
          </w:tcPr>
          <w:p>
            <w:r>
              <w:rPr>
                <w:b/>
                <w:bCs/>
                <w:color w:val="FFFFFF"/>
                <w:sz w:val="20"/>
                <w:szCs w:val="20"/>
              </w:rPr>
              <w:t xml:space="preserve">Keyword Count</w:t>
            </w:r>
          </w:p>
        </w:tc>
      </w:tr>
      <w:tr>
        <w:trPr>
          <w:tblHeader w:val="false"/>
        </w:trPr>
        <w:tc>
          <w:tcPr>
            <w:tcW w:type="dxa" w:w="5850"/>
            <w:shd w:fill="FFFFFF" w:val="clear"/>
            <w:tcMar>
              <w:top w:type="dxa" w:w="120"/>
              <w:left w:type="dxa" w:w="140"/>
              <w:bottom w:type="dxa" w:w="120"/>
              <w:right w:type="dxa" w:w="140"/>
            </w:tcMar>
            <w:vAlign w:val="center"/>
          </w:tcPr>
          <w:p>
            <w:r>
              <w:rPr>
                <w:b w:val="false"/>
                <w:bCs w:val="false"/>
                <w:color w:val="1A1A1A"/>
                <w:sz w:val="20"/>
                <w:szCs w:val="20"/>
              </w:rPr>
              <w:t xml:space="preserve">Position #1</w:t>
            </w:r>
          </w:p>
        </w:tc>
        <w:tc>
          <w:tcPr>
            <w:tcW w:type="dxa" w:w="3500"/>
            <w:shd w:fill="FFFFFF" w:val="clear"/>
            <w:tcMar>
              <w:top w:type="dxa" w:w="120"/>
              <w:left w:type="dxa" w:w="140"/>
              <w:bottom w:type="dxa" w:w="120"/>
              <w:right w:type="dxa" w:w="140"/>
            </w:tcMar>
            <w:vAlign w:val="center"/>
          </w:tcPr>
          <w:p>
            <w:r>
              <w:rPr>
                <w:b w:val="false"/>
                <w:bCs w:val="false"/>
                <w:color w:val="1A1A1A"/>
                <w:sz w:val="20"/>
                <w:szCs w:val="20"/>
              </w:rPr>
              <w:t xml:space="preserve">72 keywords</w:t>
            </w:r>
          </w:p>
        </w:tc>
      </w:tr>
      <w:tr>
        <w:trPr>
          <w:tblHeader w:val="false"/>
        </w:trPr>
        <w:tc>
          <w:tcPr>
            <w:tcW w:type="dxa" w:w="5850"/>
            <w:shd w:fill="FFFFFF" w:val="clear"/>
            <w:tcMar>
              <w:top w:type="dxa" w:w="120"/>
              <w:left w:type="dxa" w:w="140"/>
              <w:bottom w:type="dxa" w:w="120"/>
              <w:right w:type="dxa" w:w="140"/>
            </w:tcMar>
            <w:vAlign w:val="center"/>
          </w:tcPr>
          <w:p>
            <w:r>
              <w:rPr>
                <w:b w:val="false"/>
                <w:bCs w:val="false"/>
                <w:color w:val="1A1A1A"/>
                <w:sz w:val="20"/>
                <w:szCs w:val="20"/>
              </w:rPr>
              <w:t xml:space="preserve">Top 3 positions</w:t>
            </w:r>
          </w:p>
        </w:tc>
        <w:tc>
          <w:tcPr>
            <w:tcW w:type="dxa" w:w="3500"/>
            <w:shd w:fill="FFFFFF" w:val="clear"/>
            <w:tcMar>
              <w:top w:type="dxa" w:w="120"/>
              <w:left w:type="dxa" w:w="140"/>
              <w:bottom w:type="dxa" w:w="120"/>
              <w:right w:type="dxa" w:w="140"/>
            </w:tcMar>
            <w:vAlign w:val="center"/>
          </w:tcPr>
          <w:p>
            <w:r>
              <w:rPr>
                <w:b w:val="false"/>
                <w:bCs w:val="false"/>
                <w:color w:val="1A1A1A"/>
                <w:sz w:val="20"/>
                <w:szCs w:val="20"/>
              </w:rPr>
              <w:t xml:space="preserve">211 keywords</w:t>
            </w:r>
          </w:p>
        </w:tc>
      </w:tr>
      <w:tr>
        <w:trPr>
          <w:tblHeader w:val="false"/>
        </w:trPr>
        <w:tc>
          <w:tcPr>
            <w:tcW w:type="dxa" w:w="5850"/>
            <w:shd w:fill="FFFFFF" w:val="clear"/>
            <w:tcMar>
              <w:top w:type="dxa" w:w="120"/>
              <w:left w:type="dxa" w:w="140"/>
              <w:bottom w:type="dxa" w:w="120"/>
              <w:right w:type="dxa" w:w="140"/>
            </w:tcMar>
            <w:vAlign w:val="center"/>
          </w:tcPr>
          <w:p>
            <w:r>
              <w:rPr>
                <w:b w:val="false"/>
                <w:bCs w:val="false"/>
                <w:color w:val="1A1A1A"/>
                <w:sz w:val="20"/>
                <w:szCs w:val="20"/>
              </w:rPr>
              <w:t xml:space="preserve">Positions 4–10 (page 1)</w:t>
            </w:r>
          </w:p>
        </w:tc>
        <w:tc>
          <w:tcPr>
            <w:tcW w:type="dxa" w:w="3500"/>
            <w:shd w:fill="FFFFFF" w:val="clear"/>
            <w:tcMar>
              <w:top w:type="dxa" w:w="120"/>
              <w:left w:type="dxa" w:w="140"/>
              <w:bottom w:type="dxa" w:w="120"/>
              <w:right w:type="dxa" w:w="140"/>
            </w:tcMar>
            <w:vAlign w:val="center"/>
          </w:tcPr>
          <w:p>
            <w:r>
              <w:rPr>
                <w:b w:val="false"/>
                <w:bCs w:val="false"/>
                <w:color w:val="1A1A1A"/>
                <w:sz w:val="20"/>
                <w:szCs w:val="20"/>
              </w:rPr>
              <w:t xml:space="preserve">620 keywords</w:t>
            </w:r>
          </w:p>
        </w:tc>
      </w:tr>
      <w:tr>
        <w:trPr>
          <w:tblHeader w:val="false"/>
        </w:trPr>
        <w:tc>
          <w:tcPr>
            <w:tcW w:type="dxa" w:w="5850"/>
            <w:shd w:fill="FFFFFF" w:val="clear"/>
            <w:tcMar>
              <w:top w:type="dxa" w:w="120"/>
              <w:left w:type="dxa" w:w="140"/>
              <w:bottom w:type="dxa" w:w="120"/>
              <w:right w:type="dxa" w:w="140"/>
            </w:tcMar>
            <w:vAlign w:val="center"/>
          </w:tcPr>
          <w:p>
            <w:r>
              <w:rPr>
                <w:b w:val="false"/>
                <w:bCs w:val="false"/>
                <w:color w:val="1A1A1A"/>
                <w:sz w:val="20"/>
                <w:szCs w:val="20"/>
              </w:rPr>
              <w:t xml:space="preserve">Total on page 1 of Google</w:t>
            </w:r>
          </w:p>
        </w:tc>
        <w:tc>
          <w:tcPr>
            <w:tcW w:type="dxa" w:w="3500"/>
            <w:shd w:fill="FFFFFF" w:val="clear"/>
            <w:tcMar>
              <w:top w:type="dxa" w:w="120"/>
              <w:left w:type="dxa" w:w="140"/>
              <w:bottom w:type="dxa" w:w="120"/>
              <w:right w:type="dxa" w:w="140"/>
            </w:tcMar>
            <w:vAlign w:val="center"/>
          </w:tcPr>
          <w:p>
            <w:r>
              <w:rPr>
                <w:b w:val="false"/>
                <w:bCs w:val="false"/>
                <w:color w:val="1A1A1A"/>
                <w:sz w:val="20"/>
                <w:szCs w:val="20"/>
              </w:rPr>
              <w:t xml:space="preserve">903 keywords</w:t>
            </w:r>
          </w:p>
        </w:tc>
      </w:tr>
    </w:tbl>
    <w:p>
      <w:pPr>
        <w:pStyle w:val="Heading2"/>
        <w:spacing w:after="160" w:before="360"/>
      </w:pPr>
      <w:r>
        <w:rPr>
          <w:rFonts w:ascii="Georgia" w:cs="Georgia" w:eastAsia="Georgia" w:hAnsi="Georgia"/>
          <w:b/>
          <w:bCs/>
          <w:color w:val="9C7A3C"/>
          <w:sz w:val="26"/>
          <w:szCs w:val="26"/>
        </w:rPr>
        <w:t xml:space="preserve">Mid-Program Snapshot — Organic Channel Performance</w:t>
      </w:r>
    </w:p>
    <w:p>
      <w:pPr>
        <w:spacing w:after="160" w:before="0" w:line="300"/>
      </w:pPr>
      <w:r>
        <w:rPr>
          <w:i w:val="false"/>
          <w:iCs w:val="false"/>
          <w:color w:val="1A1A1A"/>
          <w:sz w:val="22"/>
          <w:szCs w:val="22"/>
        </w:rPr>
        <w:t xml:space="preserve">A monthly performance snapshot taken partway through the engagement shows the trajectory in motion: organic search had already become Fawry's single largest traffic channel, ahead of direct and referral traffic combined with paid search.</w:t>
      </w:r>
    </w:p>
    <w:tbl>
      <w:tblPr>
        <w:tblW w:type="dxa" w:w="9350"/>
        <w:tblBorders>
          <w:top w:val="none"/>
          <w:left w:val="none"/>
          <w:bottom w:val="none"/>
          <w:right w:val="none"/>
          <w:insideH w:val="none"/>
          <w:insideV w:val="none"/>
        </w:tblBorders>
      </w:tblPr>
      <w:tblGrid>
        <w:gridCol w:w="3116"/>
        <w:gridCol w:w="3116"/>
        <w:gridCol w:w="3116"/>
      </w:tblGrid>
      <w:tr>
        <w:tc>
          <w:tcPr>
            <w:tcW w:type="dxa" w:w="3116"/>
            <w:shd w:fill="F5F3EE" w:val="clear"/>
            <w:tcMar>
              <w:top w:type="dxa" w:w="200"/>
              <w:left w:type="dxa" w:w="120"/>
              <w:bottom w:type="dxa" w:w="200"/>
              <w:right w:type="dxa" w:w="120"/>
            </w:tcMar>
            <w:vAlign w:val="center"/>
          </w:tcPr>
          <w:p>
            <w:pPr>
              <w:spacing w:after="0" w:before="0"/>
              <w:jc w:val="center"/>
            </w:pPr>
            <w:r>
              <w:rPr>
                <w:b/>
                <w:bCs/>
                <w:color w:val="9C7A3C"/>
                <w:sz w:val="40"/>
                <w:szCs w:val="40"/>
              </w:rPr>
              <w:t xml:space="preserve">47%</w:t>
            </w:r>
          </w:p>
          <w:p>
            <w:pPr>
              <w:spacing w:after="0" w:before="0"/>
              <w:jc w:val="center"/>
            </w:pPr>
            <w:r>
              <w:rPr>
                <w:color w:val="6B6B6B"/>
                <w:sz w:val="17"/>
                <w:szCs w:val="17"/>
              </w:rPr>
              <w:t xml:space="preserve">of all site traffic from Organic Search — the #1 channel</w:t>
            </w:r>
          </w:p>
        </w:tc>
        <w:tc>
          <w:tcPr>
            <w:tcW w:type="dxa" w:w="3116"/>
            <w:shd w:fill="F5F3EE" w:val="clear"/>
            <w:tcMar>
              <w:top w:type="dxa" w:w="200"/>
              <w:left w:type="dxa" w:w="120"/>
              <w:bottom w:type="dxa" w:w="200"/>
              <w:right w:type="dxa" w:w="120"/>
            </w:tcMar>
            <w:vAlign w:val="center"/>
          </w:tcPr>
          <w:p>
            <w:pPr>
              <w:spacing w:after="0" w:before="0"/>
              <w:jc w:val="center"/>
            </w:pPr>
            <w:r>
              <w:rPr>
                <w:b/>
                <w:bCs/>
                <w:color w:val="9C7A3C"/>
                <w:sz w:val="40"/>
                <w:szCs w:val="40"/>
              </w:rPr>
              <w:t xml:space="preserve">+12%</w:t>
            </w:r>
          </w:p>
          <w:p>
            <w:pPr>
              <w:spacing w:after="0" w:before="0"/>
              <w:jc w:val="center"/>
            </w:pPr>
            <w:r>
              <w:rPr>
                <w:color w:val="6B6B6B"/>
                <w:sz w:val="17"/>
                <w:szCs w:val="17"/>
              </w:rPr>
              <w:t xml:space="preserve">month-over-month growth in organic users</w:t>
            </w:r>
          </w:p>
        </w:tc>
        <w:tc>
          <w:tcPr>
            <w:tcW w:type="dxa" w:w="3116"/>
            <w:shd w:fill="F5F3EE" w:val="clear"/>
            <w:tcMar>
              <w:top w:type="dxa" w:w="200"/>
              <w:left w:type="dxa" w:w="120"/>
              <w:bottom w:type="dxa" w:w="200"/>
              <w:right w:type="dxa" w:w="120"/>
            </w:tcMar>
            <w:vAlign w:val="center"/>
          </w:tcPr>
          <w:p>
            <w:pPr>
              <w:spacing w:after="0" w:before="0"/>
              <w:jc w:val="center"/>
            </w:pPr>
            <w:r>
              <w:rPr>
                <w:b/>
                <w:bCs/>
                <w:color w:val="9C7A3C"/>
                <w:sz w:val="40"/>
                <w:szCs w:val="40"/>
              </w:rPr>
              <w:t xml:space="preserve">130+</w:t>
            </w:r>
          </w:p>
          <w:p>
            <w:pPr>
              <w:spacing w:after="0" w:before="0"/>
              <w:jc w:val="center"/>
            </w:pPr>
            <w:r>
              <w:rPr>
                <w:color w:val="6B6B6B"/>
                <w:sz w:val="17"/>
                <w:szCs w:val="17"/>
              </w:rPr>
              <w:t xml:space="preserve">keywords already in position #1 at this stage</w:t>
            </w:r>
          </w:p>
        </w:tc>
      </w:tr>
    </w:tbl>
    <w:p>
      <w:pPr>
        <w:pBdr>
          <w:left w:val="single" w:color="9C7A3C" w:sz="12" w:space="8"/>
        </w:pBdr>
        <w:shd w:fill="F5F3EE" w:val="clear"/>
        <w:spacing w:after="200" w:before="100"/>
      </w:pPr>
      <w:r>
        <w:rPr>
          <w:i/>
          <w:iCs/>
          <w:color w:val="6B6B6B"/>
          <w:sz w:val="19"/>
          <w:szCs w:val="19"/>
        </w:rPr>
        <w:t xml:space="preserve">Organic Search led every other acquisition channel that month — outperforming Direct (36%), Referral (9.9%), Social, and Paid Search combined — evidence that the service-page strategy was driving durable, compounding organic demand rather than one-off spikes.</w:t>
      </w:r>
    </w:p>
    <w:p>
      <w:pPr>
        <w:pStyle w:val="Heading2"/>
        <w:spacing w:after="160" w:before="360"/>
      </w:pPr>
      <w:r>
        <w:rPr>
          <w:rFonts w:ascii="Georgia" w:cs="Georgia" w:eastAsia="Georgia" w:hAnsi="Georgia"/>
          <w:b/>
          <w:bCs/>
          <w:color w:val="9C7A3C"/>
          <w:sz w:val="26"/>
          <w:szCs w:val="26"/>
        </w:rPr>
        <w:t xml:space="preserve">Search Demand Captured</w:t>
      </w:r>
    </w:p>
    <w:p>
      <w:pPr>
        <w:spacing w:after="160" w:before="0" w:line="300"/>
      </w:pPr>
      <w:r>
        <w:rPr>
          <w:i w:val="false"/>
          <w:iCs w:val="false"/>
          <w:color w:val="1A1A1A"/>
          <w:sz w:val="22"/>
          <w:szCs w:val="22"/>
        </w:rPr>
        <w:t xml:space="preserve">The top-ranking keywords span real, high-frequency customer tasks — not vanity brand terms. The single highest-ranked keyword in this snapshot (an electricity-card-recharge query) alone carries roughly 5,400 average monthly searches, with dozens more service-specific terms ranking in the 200–1,600 monthly-search range.</w:t>
      </w:r>
    </w:p>
    <w:p>
      <w:pPr>
        <w:pStyle w:val="ListParagraph"/>
        <w:numPr>
          <w:ilvl w:val="0"/>
          <w:numId w:val="2"/>
        </w:numPr>
        <w:spacing w:after="100" w:before="0" w:line="280"/>
      </w:pPr>
      <w:r>
        <w:rPr>
          <w:b w:val="false"/>
          <w:bCs w:val="false"/>
          <w:color w:val="1A1A1A"/>
          <w:sz w:val="22"/>
          <w:szCs w:val="22"/>
        </w:rPr>
        <w:t xml:space="preserve">Electricity card recharge and “how to recharge” variants — Fawry's highest-volume, highest-ranking cluster</w:t>
      </w:r>
    </w:p>
    <w:p>
      <w:pPr>
        <w:pStyle w:val="ListParagraph"/>
        <w:numPr>
          <w:ilvl w:val="0"/>
          <w:numId w:val="2"/>
        </w:numPr>
        <w:spacing w:after="100" w:before="0" w:line="280"/>
      </w:pPr>
      <w:r>
        <w:rPr>
          <w:b w:val="false"/>
          <w:bCs w:val="false"/>
          <w:color w:val="1A1A1A"/>
          <w:sz w:val="22"/>
          <w:szCs w:val="22"/>
        </w:rPr>
        <w:t xml:space="preserve">Bill payment queries (internet, electricity meter, telecom) — each with its own ranking landing page</w:t>
      </w:r>
    </w:p>
    <w:p>
      <w:pPr>
        <w:pStyle w:val="ListParagraph"/>
        <w:numPr>
          <w:ilvl w:val="0"/>
          <w:numId w:val="2"/>
        </w:numPr>
        <w:spacing w:after="100" w:before="0" w:line="280"/>
      </w:pPr>
      <w:r>
        <w:rPr>
          <w:b w:val="false"/>
          <w:bCs w:val="false"/>
          <w:color w:val="1A1A1A"/>
          <w:sz w:val="22"/>
          <w:szCs w:val="22"/>
        </w:rPr>
        <w:t xml:space="preserve">Traffic fine payment and government service queries — high-intent, transactional searches converting directly on-page</w:t>
      </w:r>
    </w:p>
    <w:p>
      <w:r>
        <w:br w:type="page"/>
      </w:r>
    </w:p>
    <w:p>
      <w:pPr>
        <w:spacing w:after="60" w:before="0"/>
      </w:pPr>
      <w:r>
        <w:rPr>
          <w:rFonts w:ascii="Arial" w:cs="Arial" w:eastAsia="Arial" w:hAnsi="Arial"/>
          <w:b/>
          <w:bCs/>
          <w:color w:val="9C7A3C"/>
          <w:sz w:val="16"/>
          <w:szCs w:val="16"/>
        </w:rPr>
        <w:t xml:space="preserve">THE OUTCOME</w:t>
      </w:r>
    </w:p>
    <w:p>
      <w:pPr>
        <w:pStyle w:val="Heading1"/>
        <w:spacing w:after="200" w:before="400"/>
      </w:pPr>
      <w:r>
        <w:rPr>
          <w:rFonts w:ascii="Georgia" w:cs="Georgia" w:eastAsia="Georgia" w:hAnsi="Georgia"/>
          <w:b/>
          <w:bCs/>
          <w:color w:val="1A1A1A"/>
          <w:sz w:val="36"/>
          <w:szCs w:val="36"/>
        </w:rPr>
        <w:t xml:space="preserve">From One Search Bar to Category Ownership</w:t>
      </w:r>
    </w:p>
    <w:p>
      <w:pPr>
        <w:pStyle w:val="ListParagraph"/>
        <w:numPr>
          <w:ilvl w:val="0"/>
          <w:numId w:val="2"/>
        </w:numPr>
        <w:spacing w:after="100" w:before="0" w:line="280"/>
      </w:pPr>
      <w:r>
        <w:rPr>
          <w:b w:val="false"/>
          <w:bCs w:val="false"/>
          <w:color w:val="1A1A1A"/>
          <w:sz w:val="22"/>
          <w:szCs w:val="22"/>
        </w:rPr>
        <w:t xml:space="preserve">A single, undifferentiated brand presence became a structured architecture of service-specific landing pages, each competing — and winning — for its own search intent.</w:t>
      </w:r>
    </w:p>
    <w:p>
      <w:pPr>
        <w:pStyle w:val="ListParagraph"/>
        <w:numPr>
          <w:ilvl w:val="0"/>
          <w:numId w:val="2"/>
        </w:numPr>
        <w:spacing w:after="100" w:before="0" w:line="280"/>
      </w:pPr>
      <w:r>
        <w:rPr>
          <w:b w:val="false"/>
          <w:bCs w:val="false"/>
          <w:color w:val="1A1A1A"/>
          <w:sz w:val="22"/>
          <w:szCs w:val="22"/>
        </w:rPr>
        <w:t xml:space="preserve">Organic search grew into Fawry's leading acquisition channel, sustained across a 4+ year always-on program rather than a short-term spike.</w:t>
      </w:r>
    </w:p>
    <w:p>
      <w:pPr>
        <w:pStyle w:val="ListParagraph"/>
        <w:numPr>
          <w:ilvl w:val="0"/>
          <w:numId w:val="2"/>
        </w:numPr>
        <w:spacing w:after="100" w:before="0" w:line="280"/>
      </w:pPr>
      <w:r>
        <w:rPr>
          <w:b w:val="false"/>
          <w:bCs w:val="false"/>
          <w:color w:val="1A1A1A"/>
          <w:sz w:val="22"/>
          <w:szCs w:val="22"/>
        </w:rPr>
        <w:t xml:space="preserve">903 keywords on page one, 72 in position #1 — direct evidence that the service-page strategy out-competed government portals, banks, and rival aggregators on Fawry's own core use cases.</w:t>
      </w:r>
    </w:p>
    <w:p>
      <w:pPr>
        <w:pStyle w:val="ListParagraph"/>
        <w:numPr>
          <w:ilvl w:val="0"/>
          <w:numId w:val="2"/>
        </w:numPr>
        <w:spacing w:after="100" w:before="0" w:line="280"/>
      </w:pPr>
      <w:r>
        <w:rPr>
          <w:b w:val="false"/>
          <w:bCs w:val="false"/>
          <w:color w:val="1A1A1A"/>
          <w:sz w:val="22"/>
          <w:szCs w:val="22"/>
        </w:rPr>
        <w:t xml:space="preserve">The strategy's business impact extended beyond traffic: consistent first-position presence across individual services reinforced Fawry's brand as the default, category-leading payment aggregator in the Egyptian market.</w:t>
      </w:r>
    </w:p>
    <w:p>
      <w:pPr>
        <w:pStyle w:val="ListParagraph"/>
        <w:numPr>
          <w:ilvl w:val="0"/>
          <w:numId w:val="2"/>
        </w:numPr>
        <w:spacing w:after="100" w:before="0" w:line="280"/>
      </w:pPr>
      <w:r>
        <w:rPr>
          <w:b w:val="false"/>
          <w:bCs w:val="false"/>
          <w:color w:val="1A1A1A"/>
          <w:sz w:val="22"/>
          <w:szCs w:val="22"/>
        </w:rPr>
        <w:t xml:space="preserve">A repeatable, scalable model — every new payment service Fawry launches can follow the same dedicated-landing-page playbook to capture its own search demand from day one.</w:t>
      </w:r>
    </w:p>
    <w:p>
      <w:pPr>
        <w:pBdr>
          <w:bottom w:val="single" w:color="9C7A3C" w:sz="6" w:space="1"/>
        </w:pBdr>
        <w:spacing w:after="200" w:before="200"/>
      </w:pPr>
      <w:r>
        <w:t xml:space="preserve"/>
      </w:r>
    </w:p>
    <w:tbl>
      <w:tblPr>
        <w:tblW w:type="dxa" w:w="9350"/>
        <w:tblBorders>
          <w:top w:val="single" w:color="9C7A3C" w:sz="4"/>
          <w:left w:val="single" w:color="9C7A3C" w:sz="4"/>
          <w:bottom w:val="single" w:color="9C7A3C" w:sz="4"/>
          <w:right w:val="single" w:color="9C7A3C" w:sz="4"/>
          <w:insideH w:val="none"/>
          <w:insideV w:val="none"/>
        </w:tblBorders>
      </w:tblPr>
      <w:tblGrid>
        <w:gridCol w:w="9350"/>
      </w:tblGrid>
      <w:tr>
        <w:tc>
          <w:tcPr>
            <w:tcW w:type="dxa" w:w="9350"/>
            <w:shd w:fill="1A1A1A" w:val="clear"/>
            <w:tcMar>
              <w:top w:type="dxa" w:w="260"/>
              <w:left w:type="dxa" w:w="300"/>
              <w:bottom w:type="dxa" w:w="260"/>
              <w:right w:type="dxa" w:w="300"/>
            </w:tcMar>
          </w:tcPr>
          <w:p>
            <w:pPr>
              <w:jc w:val="center"/>
            </w:pPr>
            <w:r>
              <w:rPr>
                <w:b/>
                <w:bCs/>
                <w:color w:val="FFFFFF"/>
                <w:sz w:val="24"/>
                <w:szCs w:val="24"/>
              </w:rPr>
              <w:t xml:space="preserve">See how a service-level SEO architecture could work for your brand</w:t>
            </w:r>
          </w:p>
          <w:p>
            <w:pPr>
              <w:spacing w:before="80"/>
              <w:jc w:val="center"/>
            </w:pPr>
            <w:r>
              <w:rPr>
                <w:color w:val="D9D2C4"/>
                <w:sz w:val="19"/>
                <w:szCs w:val="19"/>
              </w:rPr>
              <w:t xml:space="preserve">Book a Tech &amp; SEO Audit with Arqqa Digital — identify the exact service pages your category is missing.</w:t>
            </w:r>
          </w:p>
        </w:tc>
      </w:tr>
    </w:tbl>
    <w:p>
      <w:r>
        <w:br w:type="page"/>
      </w:r>
    </w:p>
    <w:p>
      <w:pPr>
        <w:spacing w:after="60" w:before="0"/>
      </w:pPr>
      <w:r>
        <w:rPr>
          <w:rFonts w:ascii="Arial" w:cs="Arial" w:eastAsia="Arial" w:hAnsi="Arial"/>
          <w:b/>
          <w:bCs/>
          <w:color w:val="9C7A3C"/>
          <w:sz w:val="16"/>
          <w:szCs w:val="16"/>
        </w:rPr>
        <w:t xml:space="preserve">APPENDIX</w:t>
      </w:r>
    </w:p>
    <w:p>
      <w:pPr>
        <w:pStyle w:val="Heading1"/>
        <w:spacing w:after="200" w:before="400"/>
      </w:pPr>
      <w:r>
        <w:rPr>
          <w:rFonts w:ascii="Georgia" w:cs="Georgia" w:eastAsia="Georgia" w:hAnsi="Georgia"/>
          <w:b/>
          <w:bCs/>
          <w:color w:val="1A1A1A"/>
          <w:sz w:val="36"/>
          <w:szCs w:val="36"/>
        </w:rPr>
        <w:t xml:space="preserve">Data Sensitivity Policy</w:t>
      </w:r>
    </w:p>
    <w:p>
      <w:pPr>
        <w:spacing w:after="160" w:before="0" w:line="300"/>
      </w:pPr>
      <w:r>
        <w:rPr>
          <w:i w:val="false"/>
          <w:iCs w:val="false"/>
          <w:color w:val="1A1A1A"/>
          <w:sz w:val="22"/>
          <w:szCs w:val="22"/>
        </w:rPr>
        <w:t xml:space="preserve">In line with Arqqa Digital's standard policy for all published case studies, this document contains no client media spend, revenue, or commercial figures. All performance figures shown are organic growth percentages, keyword-ranking counts, and traffic-share metrics — reflecting real, verified SEO performance data without disclosing any client's commercial or financial information.</w:t>
      </w:r>
    </w:p>
    <w:p>
      <w:pPr>
        <w:pBdr>
          <w:left w:val="single" w:color="9C7A3C" w:sz="12" w:space="8"/>
        </w:pBdr>
        <w:shd w:fill="F5F3EE" w:val="clear"/>
        <w:spacing w:after="200" w:before="100"/>
      </w:pPr>
      <w:r>
        <w:rPr>
          <w:i/>
          <w:iCs/>
          <w:color w:val="6B6B6B"/>
          <w:sz w:val="19"/>
          <w:szCs w:val="19"/>
        </w:rPr>
        <w:t xml:space="preserve">Note: this case study documents Fawry's SEO program specifically. It is a separate body of work from Fawry's app-growth performance marketing case study (installs, MAU) featured in the ARQQA Performance Case Studies document — together they represent two distinct engagements within the broader Fawry × Arqqa Digital partnership.</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4"/>
        <w:szCs w:val="14"/>
      </w:rPr>
      <w:t xml:space="preserve">Page </w:t>
    </w:r>
    <w:r>
      <w:rPr>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6B6B6B"/>
        <w:sz w:val="14"/>
        <w:szCs w:val="14"/>
      </w:rPr>
      <w:t xml:space="preserve">ARQQA DIGITAL  ·  FAWRY — SEO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2026-09-20T08:10:45.066Z</dcterms:created>
  <dcterms:modified xsi:type="dcterms:W3CDTF">2026-09-20T08:10:45.075Z</dcterms:modified>
</cp:coreProperties>
</file>

<file path=docProps/custom.xml><?xml version="1.0" encoding="utf-8"?>
<Properties xmlns="http://schemas.openxmlformats.org/officeDocument/2006/custom-properties" xmlns:vt="http://schemas.openxmlformats.org/officeDocument/2006/docPropsVTypes"/>
</file>