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18"/>
        </w:rPr>
        <w:t>ARQQA  |  PERFORMANCE CASE STUDY</w:t>
      </w:r>
    </w:p>
    <w:p>
      <w:pPr>
        <w:spacing w:after="80"/>
      </w:pPr>
      <w:r>
        <w:rPr>
          <w:b/>
          <w:color w:val="5A5A5A"/>
          <w:sz w:val="17"/>
        </w:rPr>
        <w:t>FRAGRANCE · PERFORMANCE MARKETING | SAUDI ARABIA · KUWAIT</w:t>
      </w:r>
    </w:p>
    <w:p>
      <w:pPr>
        <w:pStyle w:val="Title"/>
        <w:jc w:val="left"/>
      </w:pPr>
      <w:r>
        <w:t>Turning a Cultural Moment Into 10x ROAS.</w:t>
      </w:r>
    </w:p>
    <w:p>
      <w:r>
        <w:t>When an unexpected on-camera fragrance mention broke during the Champions League final, Onyx had a narrow window to turn attention into demand. We moved within the same news cycle, launching across KSA and Kuwait before the conversation cooled and turning one organic moment into a 10x accumulated ROAS month in Kuwait.</w:t>
      </w:r>
    </w:p>
    <w:p>
      <w:r>
        <w:rPr>
          <w:b/>
        </w:rPr>
        <w:t>Reactive Trend Campaign · 2 Markets · 3 Platforms</w:t>
      </w:r>
    </w:p>
    <w:p>
      <w:pPr>
        <w:spacing w:after="80"/>
      </w:pPr>
      <w:r>
        <w:rPr>
          <w:b/>
          <w:color w:val="5A5A5A"/>
          <w:sz w:val="17"/>
        </w:rPr>
        <w:t>THE CHALLENGE</w:t>
      </w:r>
    </w:p>
    <w:p>
      <w:pPr>
        <w:pStyle w:val="Heading1"/>
      </w:pPr>
      <w:r>
        <w:t>The opportunity wouldn’t wait.</w:t>
      </w:r>
    </w:p>
    <w:p>
      <w:r>
        <w:t>During the Champions League final, a globally followed footballer named Aljazeera as his fragrance of choice on camera. The mention was completely organic, but within minutes it was driving conversation and demand across the Gulf.</w:t>
      </w:r>
    </w:p>
    <w:p>
      <w:r>
        <w:t>The challenge wasn’t creating the moment. It was reacting fast enough to capture it.</w:t>
      </w:r>
    </w:p>
    <w:p>
      <w:r>
        <w:t>Search interest and demand moved across Saudi Arabia and Kuwait at the same time, while the useful life of the trend was measured in days rather than weeks. Every hour between the original moment and the first campaign impression mattered.</w:t>
      </w:r>
    </w:p>
    <w:p>
      <w:pPr>
        <w:spacing w:after="80"/>
      </w:pPr>
      <w:r>
        <w:rPr>
          <w:b/>
          <w:color w:val="5A5A5A"/>
          <w:sz w:val="17"/>
        </w:rPr>
        <w:t>THE APPROACH</w:t>
      </w:r>
    </w:p>
    <w:p>
      <w:pPr>
        <w:pStyle w:val="Heading1"/>
      </w:pPr>
      <w:r>
        <w:t>What we did about it.</w:t>
      </w:r>
    </w:p>
    <w:p>
      <w:r>
        <w:t>We built the campaign around one priority: speed. Instead of adding complexity, we created a structure that could launch quickly, read clearly and move budget as demand evolved.</w:t>
      </w:r>
    </w:p>
    <w:p>
      <w:pPr>
        <w:pStyle w:val="Heading2"/>
      </w:pPr>
      <w:r>
        <w:t>Moved Inside the Same News Cycle</w:t>
      </w:r>
    </w:p>
    <w:p>
      <w:r>
        <w:t>The trend was identified as it broke rather than after it had already peaked. Creative, media structure and campaign deployment were handled at speed so Onyx could enter the conversation while attention was still active.</w:t>
      </w:r>
    </w:p>
    <w:p>
      <w:pPr>
        <w:pStyle w:val="Heading2"/>
      </w:pPr>
      <w:r>
        <w:t>Kept the Structure Deliberately Flat</w:t>
      </w:r>
    </w:p>
    <w:p>
      <w:r>
        <w:t>Instead of building fragmented testing matrices or complex audience trees, we ran a simple structure across three core platforms and two markets.</w:t>
      </w:r>
    </w:p>
    <w:p>
      <w:r>
        <w:t>Fewer moving parts meant faster decisions, clearer comparisons between KSA and Kuwait and the ability to redirect budget within hours rather than days.</w:t>
      </w:r>
    </w:p>
    <w:p>
      <w:pPr>
        <w:pStyle w:val="Heading2"/>
      </w:pPr>
      <w:r>
        <w:t>Put Onyx at the Center</w:t>
      </w:r>
    </w:p>
    <w:p>
      <w:r>
        <w:t>Onyx became the hero SKU of the campaign, while the wider Aljazeera fragrance portfolio benefited from the same surge in demand.</w:t>
      </w:r>
    </w:p>
    <w:p>
      <w:r>
        <w:t>The objective was to turn attention around one product into broader commercial momentum without diluting the product already at the center of the conversation.</w:t>
      </w:r>
    </w:p>
    <w:p>
      <w:pPr>
        <w:pStyle w:val="Heading2"/>
      </w:pPr>
      <w:r>
        <w:t>Let Budget Follow the Signal</w:t>
      </w:r>
    </w:p>
    <w:p>
      <w:r>
        <w:t>Budget allocation wasn’t fixed around a long-term media plan. Performance was monitored daily and spend followed the demand while the trend window remained open.</w:t>
      </w:r>
    </w:p>
    <w:p>
      <w:r>
        <w:t>That flexibility allowed the campaign to scale around what was happening in the market rather than waiting for a traditional optimization cycle.</w:t>
      </w:r>
    </w:p>
    <w:p>
      <w:pPr>
        <w:pStyle w:val="Heading2"/>
      </w:pPr>
      <w:r>
        <w:t>Rebuilt the Creative Opportunity</w:t>
      </w:r>
    </w:p>
    <w:p>
      <w:r>
        <w:t>There was one major limitation: rights to the original player footage were unavailable.</w:t>
      </w:r>
    </w:p>
    <w:p>
      <w:r>
        <w:t>Rather than wait for clearance or build the campaign around an asset we couldn’t use, we created a new high-end visual world for Onyx, putting the product itself at the center of the creative.</w:t>
      </w:r>
    </w:p>
    <w:p>
      <w:r>
        <w:t>Cinematic production quality replaced the original moment and gave the campaign an asset strong enough to compete for attention independently.</w:t>
      </w:r>
    </w:p>
    <w:p>
      <w:pPr>
        <w:spacing w:after="80"/>
      </w:pPr>
      <w:r>
        <w:rPr>
          <w:b/>
          <w:color w:val="5A5A5A"/>
          <w:sz w:val="17"/>
        </w:rPr>
        <w:t>THE RESULTS</w:t>
      </w:r>
    </w:p>
    <w:p>
      <w:pPr>
        <w:pStyle w:val="Heading1"/>
      </w:pPr>
      <w:r>
        <w:t>What it produced.</w:t>
      </w:r>
    </w:p>
    <w:p>
      <w:r>
        <w:t>The campaign captured existing demand while it was still accelerating.</w:t>
      </w:r>
    </w:p>
    <w:tbl>
      <w:tblPr>
        <w:tblStyle w:val="TableGrid"/>
        <w:tblW w:type="auto" w:w="0"/>
        <w:tblLayout w:type="fixed"/>
        <w:tblLook w:firstColumn="1" w:firstRow="1" w:lastColumn="0" w:lastRow="0" w:noHBand="0" w:noVBand="1" w:val="04A0"/>
      </w:tblPr>
      <w:tblGrid>
        <w:gridCol w:w="1728"/>
        <w:gridCol w:w="8208"/>
      </w:tblGrid>
      <w:tr>
        <w:tc>
          <w:tcPr>
            <w:tcW w:type="dxa" w:w="4968"/>
            <w:shd w:fill="F6F6F6"/>
          </w:tcPr>
          <w:p>
            <w:pPr>
              <w:jc w:val="center"/>
            </w:pPr>
            <w:r>
              <w:rPr>
                <w:b/>
                <w:sz w:val="36"/>
              </w:rPr>
              <w:t>10x</w:t>
            </w:r>
          </w:p>
        </w:tc>
        <w:tc>
          <w:tcPr>
            <w:tcW w:type="dxa" w:w="4968"/>
            <w:shd w:fill="F6F6F6"/>
          </w:tcPr>
          <w:p>
            <w:r>
              <w:rPr>
                <w:b/>
                <w:sz w:val="21"/>
              </w:rPr>
              <w:t>Accumulated ROAS in Kuwait</w:t>
            </w:r>
          </w:p>
        </w:tc>
      </w:tr>
    </w:tbl>
    <w:p>
      <w:pPr>
        <w:spacing w:after="0"/>
      </w:pPr>
    </w:p>
    <w:tbl>
      <w:tblPr>
        <w:tblStyle w:val="TableGrid"/>
        <w:tblW w:type="auto" w:w="0"/>
        <w:tblLayout w:type="fixed"/>
        <w:tblLook w:firstColumn="1" w:firstRow="1" w:lastColumn="0" w:lastRow="0" w:noHBand="0" w:noVBand="1" w:val="04A0"/>
      </w:tblPr>
      <w:tblGrid>
        <w:gridCol w:w="1728"/>
        <w:gridCol w:w="8208"/>
      </w:tblGrid>
      <w:tr>
        <w:tc>
          <w:tcPr>
            <w:tcW w:type="dxa" w:w="4968"/>
            <w:shd w:fill="F6F6F6"/>
          </w:tcPr>
          <w:p>
            <w:pPr>
              <w:jc w:val="center"/>
            </w:pPr>
            <w:r>
              <w:rPr>
                <w:b/>
                <w:sz w:val="36"/>
              </w:rPr>
              <w:t>+150%</w:t>
            </w:r>
          </w:p>
        </w:tc>
        <w:tc>
          <w:tcPr>
            <w:tcW w:type="dxa" w:w="4968"/>
            <w:shd w:fill="F6F6F6"/>
          </w:tcPr>
          <w:p>
            <w:r>
              <w:rPr>
                <w:b/>
                <w:sz w:val="21"/>
              </w:rPr>
              <w:t>ROAS versus the regular-month baseline</w:t>
            </w:r>
          </w:p>
        </w:tc>
      </w:tr>
    </w:tbl>
    <w:p>
      <w:pPr>
        <w:spacing w:after="0"/>
      </w:pPr>
    </w:p>
    <w:tbl>
      <w:tblPr>
        <w:tblStyle w:val="TableGrid"/>
        <w:tblW w:type="auto" w:w="0"/>
        <w:tblLayout w:type="fixed"/>
        <w:tblLook w:firstColumn="1" w:firstRow="1" w:lastColumn="0" w:lastRow="0" w:noHBand="0" w:noVBand="1" w:val="04A0"/>
      </w:tblPr>
      <w:tblGrid>
        <w:gridCol w:w="1728"/>
        <w:gridCol w:w="8208"/>
      </w:tblGrid>
      <w:tr>
        <w:tc>
          <w:tcPr>
            <w:tcW w:type="dxa" w:w="4968"/>
            <w:shd w:fill="F6F6F6"/>
          </w:tcPr>
          <w:p>
            <w:pPr>
              <w:jc w:val="center"/>
            </w:pPr>
            <w:r>
              <w:rPr>
                <w:b/>
                <w:sz w:val="36"/>
              </w:rPr>
              <w:t>2.5x</w:t>
            </w:r>
          </w:p>
        </w:tc>
        <w:tc>
          <w:tcPr>
            <w:tcW w:type="dxa" w:w="4968"/>
            <w:shd w:fill="F6F6F6"/>
          </w:tcPr>
          <w:p>
            <w:r>
              <w:rPr>
                <w:b/>
                <w:sz w:val="21"/>
              </w:rPr>
              <w:t>The efficiency of a normal trading month</w:t>
            </w:r>
          </w:p>
        </w:tc>
      </w:tr>
    </w:tbl>
    <w:p>
      <w:pPr>
        <w:spacing w:after="0"/>
      </w:pPr>
    </w:p>
    <w:tbl>
      <w:tblPr>
        <w:tblStyle w:val="TableGrid"/>
        <w:tblW w:type="auto" w:w="0"/>
        <w:tblLayout w:type="fixed"/>
        <w:tblLook w:firstColumn="1" w:firstRow="1" w:lastColumn="0" w:lastRow="0" w:noHBand="0" w:noVBand="1" w:val="04A0"/>
      </w:tblPr>
      <w:tblGrid>
        <w:gridCol w:w="1728"/>
        <w:gridCol w:w="8208"/>
      </w:tblGrid>
      <w:tr>
        <w:tc>
          <w:tcPr>
            <w:tcW w:type="dxa" w:w="4968"/>
            <w:shd w:fill="F6F6F6"/>
          </w:tcPr>
          <w:p>
            <w:pPr>
              <w:jc w:val="center"/>
            </w:pPr>
            <w:r>
              <w:rPr>
                <w:b/>
                <w:sz w:val="36"/>
              </w:rPr>
              <w:t>2 Markets</w:t>
            </w:r>
          </w:p>
        </w:tc>
        <w:tc>
          <w:tcPr>
            <w:tcW w:type="dxa" w:w="4968"/>
            <w:shd w:fill="F6F6F6"/>
          </w:tcPr>
          <w:p>
            <w:r>
              <w:rPr>
                <w:b/>
                <w:sz w:val="21"/>
              </w:rPr>
              <w:t>Saudi Arabia and Kuwait</w:t>
            </w:r>
          </w:p>
        </w:tc>
      </w:tr>
    </w:tbl>
    <w:p>
      <w:pPr>
        <w:spacing w:after="0"/>
      </w:pPr>
    </w:p>
    <w:tbl>
      <w:tblPr>
        <w:tblStyle w:val="TableGrid"/>
        <w:tblW w:type="auto" w:w="0"/>
        <w:tblLayout w:type="fixed"/>
        <w:tblLook w:firstColumn="1" w:firstRow="1" w:lastColumn="0" w:lastRow="0" w:noHBand="0" w:noVBand="1" w:val="04A0"/>
      </w:tblPr>
      <w:tblGrid>
        <w:gridCol w:w="1728"/>
        <w:gridCol w:w="8208"/>
      </w:tblGrid>
      <w:tr>
        <w:tc>
          <w:tcPr>
            <w:tcW w:type="dxa" w:w="4968"/>
            <w:shd w:fill="F6F6F6"/>
          </w:tcPr>
          <w:p>
            <w:pPr>
              <w:jc w:val="center"/>
            </w:pPr>
            <w:r>
              <w:rPr>
                <w:b/>
                <w:sz w:val="36"/>
              </w:rPr>
              <w:t>3 Platforms</w:t>
            </w:r>
          </w:p>
        </w:tc>
        <w:tc>
          <w:tcPr>
            <w:tcW w:type="dxa" w:w="4968"/>
            <w:shd w:fill="F6F6F6"/>
          </w:tcPr>
          <w:p>
            <w:r>
              <w:rPr>
                <w:b/>
                <w:sz w:val="21"/>
              </w:rPr>
              <w:t>Activated through one simplified campaign structure</w:t>
            </w:r>
          </w:p>
        </w:tc>
      </w:tr>
    </w:tbl>
    <w:p>
      <w:pPr>
        <w:spacing w:after="0"/>
      </w:pPr>
    </w:p>
    <w:p>
      <w:r>
        <w:t>Against a regular-month benchmark of approximately 4x ROAS, the trend campaign generated 10x accumulated ROAS in Kuwait.</w:t>
      </w:r>
    </w:p>
    <w:p>
      <w:r>
        <w:t>The result wasn’t driven by manufacturing demand. Demand was already there. The performance came from putting the right product in front of it quickly enough to benefit before attention moved somewhere else.</w:t>
      </w:r>
    </w:p>
    <w:p>
      <w:pPr>
        <w:spacing w:after="80"/>
      </w:pPr>
      <w:r>
        <w:rPr>
          <w:b/>
          <w:color w:val="5A5A5A"/>
          <w:sz w:val="17"/>
        </w:rPr>
        <w:t>WHY IT WORKED</w:t>
      </w:r>
    </w:p>
    <w:p>
      <w:pPr>
        <w:pStyle w:val="Heading1"/>
      </w:pPr>
      <w:r>
        <w:t>What it leaves behind.</w:t>
      </w:r>
    </w:p>
    <w:p>
      <w:r>
        <w:rPr>
          <w:b/>
        </w:rPr>
        <w:t xml:space="preserve">Monitoring became part of media. </w:t>
      </w:r>
      <w:r>
        <w:t>Cultural listening wasn’t treated as something separate from performance marketing. Spotting the signal early was the first media decision.</w:t>
      </w:r>
    </w:p>
    <w:p>
      <w:r>
        <w:rPr>
          <w:b/>
        </w:rPr>
        <w:t xml:space="preserve">Simplicity made speed possible. </w:t>
      </w:r>
      <w:r>
        <w:t>A flat campaign structure allowed budget to follow performance within hours instead of getting trapped behind unnecessary complexity.</w:t>
      </w:r>
    </w:p>
    <w:p>
      <w:r>
        <w:rPr>
          <w:b/>
        </w:rPr>
        <w:t xml:space="preserve">Creative replaced the asset we couldn’t use. </w:t>
      </w:r>
      <w:r>
        <w:t>Without access to the original footage, production quality became even more important. The product had to earn attention on its own.</w:t>
      </w:r>
    </w:p>
    <w:p>
      <w:r>
        <w:rPr>
          <w:b/>
        </w:rPr>
        <w:t xml:space="preserve">Reaction time became the advantage. </w:t>
      </w:r>
      <w:r>
        <w:t>The opportunity itself was organic. The advantage came from minimizing the time between the cultural moment and the first paid impression.</w:t>
      </w:r>
    </w:p>
    <w:p>
      <w:pPr>
        <w:spacing w:after="80"/>
      </w:pPr>
      <w:r>
        <w:rPr>
          <w:b/>
          <w:color w:val="5A5A5A"/>
          <w:sz w:val="17"/>
        </w:rPr>
        <w:t>THE TAKEAWAY</w:t>
      </w:r>
    </w:p>
    <w:p>
      <w:pPr>
        <w:pStyle w:val="Heading1"/>
      </w:pPr>
      <w:r>
        <w:t>Trends don’t reward the biggest budget. They reward the fastest team.</w:t>
      </w:r>
    </w:p>
    <w:p>
      <w:r>
        <w:t>The Onyx campaign showed that reactive performance marketing is less about chasing every cultural moment and more about having the systems to recognize the right one and act before its commercial value disappears.</w:t>
      </w:r>
    </w:p>
    <w:p>
      <w:r>
        <w:t>Monitoring, media, creative and decision-making had to operate as one system.</w:t>
      </w:r>
    </w:p>
    <w:p>
      <w:r>
        <w:t>Because when attention moves in hours, marketing has to move with it.</w:t>
      </w:r>
    </w:p>
    <w:p>
      <w:pPr>
        <w:spacing w:after="80"/>
      </w:pPr>
      <w:r>
        <w:rPr>
          <w:b/>
          <w:color w:val="5A5A5A"/>
          <w:sz w:val="17"/>
        </w:rPr>
        <w:t>RELATED WORK</w:t>
      </w:r>
    </w:p>
    <w:p>
      <w:pPr>
        <w:pStyle w:val="Heading1"/>
      </w:pPr>
      <w:r>
        <w:t>More of the same discipline.</w:t>
      </w:r>
    </w:p>
    <w:p>
      <w:pPr>
        <w:spacing w:after="80"/>
      </w:pPr>
      <w:r>
        <w:rPr>
          <w:b/>
          <w:color w:val="5A5A5A"/>
          <w:sz w:val="17"/>
        </w:rPr>
        <w:t>CTA</w:t>
      </w:r>
    </w:p>
    <w:p>
      <w:pPr>
        <w:pStyle w:val="Heading1"/>
      </w:pPr>
      <w:r>
        <w:t>Start Your Growth Story</w:t>
      </w:r>
    </w:p>
    <w:p>
      <w:r>
        <w:rPr>
          <w:b/>
          <w:sz w:val="23"/>
        </w:rPr>
        <w:t>Book a Strategy Call →</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Onyx Performance Case Study · Website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