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5A5A5A"/>
          <w:sz w:val="22"/>
        </w:rPr>
        <w:t>JOVIALITY × ARQQA</w:t>
      </w:r>
    </w:p>
    <w:p>
      <w:pPr>
        <w:pStyle w:val="Title"/>
        <w:spacing w:after="140"/>
        <w:jc w:val="center"/>
      </w:pPr>
      <w:r>
        <w:t>Scaling Paid Media 2× — Without Giving Up ROAS.</w:t>
      </w:r>
    </w:p>
    <w:p>
      <w:pPr>
        <w:spacing w:after="100"/>
        <w:jc w:val="center"/>
      </w:pPr>
      <w:r>
        <w:rPr>
          <w:b/>
          <w:sz w:val="21"/>
        </w:rPr>
        <w:t>Beauty &amp; Personal Care E-Commerce  |  Egypt</w:t>
      </w:r>
    </w:p>
    <w:p>
      <w:pPr>
        <w:spacing w:after="260"/>
        <w:jc w:val="center"/>
      </w:pPr>
      <w:r>
        <w:rPr>
          <w:color w:val="5F5F5F"/>
          <w:sz w:val="20"/>
        </w:rPr>
        <w:t>E-Commerce Growth — Meta · Google · TikTok</w:t>
      </w:r>
    </w:p>
    <w:p>
      <w:pPr>
        <w:spacing w:after="280"/>
        <w:jc w:val="center"/>
      </w:pPr>
      <w:r>
        <w:rPr>
          <w:sz w:val="24"/>
        </w:rPr>
        <w:t>Joviality doubled down on growth across Meta, Google and TikTok — scaling media investment by more than 100% while improving sales efficiency and protecting return on ad spend.</w:t>
      </w:r>
    </w:p>
    <w:p>
      <w:pPr>
        <w:spacing w:before="80" w:after="160"/>
        <w:pBdr>
          <w:bottom w:val="single" w:sz="6" w:space="1" w:color="D9D9D9"/>
        </w:pBdr>
      </w:pPr>
    </w:p>
    <w:p>
      <w:pPr>
        <w:spacing w:before="240" w:after="40"/>
      </w:pPr>
      <w:r>
        <w:rPr>
          <w:rFonts w:ascii="Arial" w:hAnsi="Arial"/>
          <w:b/>
          <w:color w:val="6E6E6E"/>
          <w:sz w:val="18"/>
        </w:rPr>
        <w:t>THE CHALLENGE</w:t>
      </w:r>
    </w:p>
    <w:p>
      <w:pPr>
        <w:pStyle w:val="Heading1"/>
      </w:pPr>
      <w:r>
        <w:t>Scaling was starting to cost more.</w:t>
      </w:r>
    </w:p>
    <w:p>
      <w:pPr>
        <w:spacing w:after="140" w:line="269" w:lineRule="auto"/>
      </w:pPr>
      <w:r>
        <w:t>Joviality had reached a point familiar to growing e-commerce brands: as acquisition expanded, blended ROAS began to soften.</w:t>
      </w:r>
    </w:p>
    <w:p>
      <w:pPr>
        <w:spacing w:after="140" w:line="269" w:lineRule="auto"/>
      </w:pPr>
      <w:r>
        <w:t>From January 2023, a growing share of new-visitor and new-customer traffic began putting pressure on efficiency. At the same time, Google cost-per-conversion was highly volatile, making it harder to scale spend with confidence.</w:t>
      </w:r>
    </w:p>
    <w:p>
      <w:pPr>
        <w:spacing w:after="140" w:line="269" w:lineRule="auto"/>
      </w:pPr>
      <w:r>
        <w:t>The challenge wasn’t simply to spend more. It was to build an acquisition structure capable of absorbing significantly more budget without sacrificing performance.</w:t>
      </w:r>
    </w:p>
    <w:p>
      <w:pPr>
        <w:spacing w:before="240" w:after="40"/>
      </w:pPr>
      <w:r>
        <w:rPr>
          <w:rFonts w:ascii="Arial" w:hAnsi="Arial"/>
          <w:b/>
          <w:color w:val="6E6E6E"/>
          <w:sz w:val="18"/>
        </w:rPr>
        <w:t>THE APPROACH</w:t>
      </w:r>
    </w:p>
    <w:p>
      <w:pPr>
        <w:pStyle w:val="Heading1"/>
      </w:pPr>
      <w:r>
        <w:t>What we did about it.</w:t>
      </w:r>
    </w:p>
    <w:p>
      <w:pPr>
        <w:spacing w:before="160" w:after="20"/>
      </w:pPr>
      <w:r>
        <w:rPr>
          <w:b/>
          <w:color w:val="787878"/>
          <w:sz w:val="20"/>
        </w:rPr>
        <w:t xml:space="preserve">01  </w:t>
      </w:r>
      <w:r>
        <w:rPr>
          <w:b/>
          <w:sz w:val="24"/>
        </w:rPr>
        <w:t>Rebuilt the Google Architecture</w:t>
      </w:r>
    </w:p>
    <w:p>
      <w:pPr>
        <w:spacing w:after="140" w:line="269" w:lineRule="auto"/>
      </w:pPr>
      <w:r>
        <w:t>Instead of relying on a single campaign structure, Google was rebuilt around a staged mix of Performance Max, Search, Shopping, Display and Video. Campaigns were separated by objective — including discovery, product focus, bundles, new acquisition and brand protection — giving the team more control over where budget scaled and why.</w:t>
      </w:r>
    </w:p>
    <w:p>
      <w:pPr>
        <w:spacing w:before="160" w:after="20"/>
      </w:pPr>
      <w:r>
        <w:rPr>
          <w:b/>
          <w:color w:val="787878"/>
          <w:sz w:val="20"/>
        </w:rPr>
        <w:t xml:space="preserve">02  </w:t>
      </w:r>
      <w:r>
        <w:rPr>
          <w:b/>
          <w:sz w:val="24"/>
        </w:rPr>
        <w:t>Turned TikTok Into a Real Acquisition Channel</w:t>
      </w:r>
    </w:p>
    <w:p>
      <w:pPr>
        <w:spacing w:after="140" w:line="269" w:lineRule="auto"/>
      </w:pPr>
      <w:r>
        <w:t>TikTok moved beyond experimental spend and became a consistent third demand channel. Investment scaled from a small test allocation into a meaningful part of the media mix, reducing dependency on Meta and Google alone.</w:t>
      </w:r>
    </w:p>
    <w:p>
      <w:pPr>
        <w:spacing w:before="160" w:after="20"/>
      </w:pPr>
      <w:r>
        <w:rPr>
          <w:b/>
          <w:color w:val="787878"/>
          <w:sz w:val="20"/>
        </w:rPr>
        <w:t xml:space="preserve">03  </w:t>
      </w:r>
      <w:r>
        <w:rPr>
          <w:b/>
          <w:sz w:val="24"/>
        </w:rPr>
        <w:t>Shifted Meta to Always-On Performance</w:t>
      </w:r>
    </w:p>
    <w:p>
      <w:pPr>
        <w:spacing w:after="140" w:line="269" w:lineRule="auto"/>
      </w:pPr>
      <w:r>
        <w:t>Rather than relying on isolated campaign bursts, Meta moved toward an always-on structure ahead of the peak Black Friday period. That created a more stable acquisition engine and gave the team room to scale budget based on performance rather than campaign timing.</w:t>
      </w:r>
    </w:p>
    <w:p>
      <w:pPr>
        <w:spacing w:before="160" w:after="20"/>
      </w:pPr>
      <w:r>
        <w:rPr>
          <w:b/>
          <w:color w:val="787878"/>
          <w:sz w:val="20"/>
        </w:rPr>
        <w:t xml:space="preserve">04  </w:t>
      </w:r>
      <w:r>
        <w:rPr>
          <w:b/>
          <w:sz w:val="24"/>
        </w:rPr>
        <w:t>Built the Budget Around the Funnel</w:t>
      </w:r>
    </w:p>
    <w:p>
      <w:pPr>
        <w:spacing w:after="140" w:line="269" w:lineRule="auto"/>
      </w:pPr>
      <w:r>
        <w:t>Budget allocation was structured around customer intent instead of platform habit. 55% TOFU focused on new-customer acquisition and discovery, 25% MOFU focused on engaged visitors and consideration, and the remaining budget supported checkout recovery and past-purchaser reactivation — creating a more deliberate path from first interaction to conversion.</w:t>
      </w:r>
    </w:p>
    <w:p>
      <w:pPr>
        <w:spacing w:before="160" w:after="20"/>
      </w:pPr>
      <w:r>
        <w:rPr>
          <w:b/>
          <w:color w:val="787878"/>
          <w:sz w:val="20"/>
        </w:rPr>
        <w:t xml:space="preserve">05  </w:t>
      </w:r>
      <w:r>
        <w:rPr>
          <w:b/>
          <w:sz w:val="24"/>
        </w:rPr>
        <w:t>Let ROAS Decide the Creative Mix</w:t>
      </w:r>
    </w:p>
    <w:p>
      <w:pPr>
        <w:spacing w:after="140" w:line="269" w:lineRule="auto"/>
      </w:pPr>
      <w:r>
        <w:t>Creative planning was driven by performance data rather than assumptions. Product-focused creative featuring a human element consistently produced stronger ROAS, so it received the largest share of the content mix. Pure lifestyle content, which underperformed comparatively, was deliberately capped. The result was a creative plan designed around what actually converted — not simply what looked good.</w:t>
      </w:r>
    </w:p>
    <w:p>
      <w:pPr>
        <w:spacing w:before="160" w:after="20"/>
      </w:pPr>
      <w:r>
        <w:rPr>
          <w:b/>
          <w:color w:val="787878"/>
          <w:sz w:val="20"/>
        </w:rPr>
        <w:t xml:space="preserve">06  </w:t>
      </w:r>
      <w:r>
        <w:rPr>
          <w:b/>
          <w:sz w:val="24"/>
        </w:rPr>
        <w:t>Scaled in Stages, Not All at Once</w:t>
      </w:r>
    </w:p>
    <w:p>
      <w:pPr>
        <w:spacing w:after="140" w:line="269" w:lineRule="auto"/>
      </w:pPr>
      <w:r>
        <w:t>The Google restructure was rolled out progressively across multiple campaign stages. Each new layer — from Performance Max and Brand Search to Shopping, Search, Video, Display and Dynamic Remarketing — was introduced and evaluated before the next was added. That made scaling measurable, controlled and easier to optimize.</w:t>
      </w:r>
    </w:p>
    <w:p>
      <w:pPr>
        <w:spacing w:before="240" w:after="40"/>
      </w:pPr>
      <w:r>
        <w:rPr>
          <w:rFonts w:ascii="Arial" w:hAnsi="Arial"/>
          <w:b/>
          <w:color w:val="6E6E6E"/>
          <w:sz w:val="18"/>
        </w:rPr>
        <w:t>THE RESULTS</w:t>
      </w:r>
    </w:p>
    <w:p>
      <w:pPr>
        <w:pStyle w:val="Heading1"/>
      </w:pPr>
      <w:r>
        <w:t>What it produced.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7F7F7"/>
          </w:tcPr>
          <w:p>
            <w:pPr>
              <w:spacing w:after="20"/>
              <w:jc w:val="center"/>
            </w:pPr>
            <w:r>
              <w:rPr>
                <w:b/>
                <w:sz w:val="40"/>
              </w:rPr>
              <w:t>+103%</w:t>
            </w:r>
          </w:p>
          <w:p>
            <w:pPr>
              <w:spacing w:after="20"/>
              <w:jc w:val="center"/>
            </w:pPr>
            <w:r>
              <w:rPr>
                <w:b/>
                <w:sz w:val="19"/>
              </w:rPr>
              <w:t>Paid media spend scaled</w:t>
            </w:r>
          </w:p>
          <w:p>
            <w:pPr>
              <w:jc w:val="center"/>
            </w:pPr>
            <w:r>
              <w:rPr>
                <w:color w:val="646464"/>
                <w:sz w:val="17"/>
              </w:rPr>
              <w:t>EGP 685.7K → EGP 1.39M</w:t>
            </w:r>
          </w:p>
        </w:tc>
        <w:tc>
          <w:tcPr>
            <w:tcW w:type="dxa" w:w="4968"/>
            <w:vAlign w:val="center"/>
            <w:shd w:fill="F7F7F7"/>
          </w:tcPr>
          <w:p>
            <w:pPr>
              <w:spacing w:after="20"/>
              <w:jc w:val="center"/>
            </w:pPr>
            <w:r>
              <w:rPr>
                <w:b/>
                <w:sz w:val="40"/>
              </w:rPr>
              <w:t>+114%</w:t>
            </w:r>
          </w:p>
          <w:p>
            <w:pPr>
              <w:spacing w:after="20"/>
              <w:jc w:val="center"/>
            </w:pPr>
            <w:r>
              <w:rPr>
                <w:b/>
                <w:sz w:val="19"/>
              </w:rPr>
              <w:t>Gross sales growth</w:t>
            </w:r>
          </w:p>
          <w:p>
            <w:pPr>
              <w:jc w:val="center"/>
            </w:pPr>
            <w:r>
              <w:rPr>
                <w:color w:val="646464"/>
                <w:sz w:val="17"/>
              </w:rPr>
              <w:t>EGP 2.84M → EGP 6.09M</w:t>
            </w:r>
          </w:p>
        </w:tc>
      </w:tr>
      <w:tr>
        <w:tc>
          <w:tcPr>
            <w:tcW w:type="dxa" w:w="4968"/>
            <w:vAlign w:val="center"/>
            <w:shd w:fill="F7F7F7"/>
          </w:tcPr>
          <w:p>
            <w:pPr>
              <w:spacing w:after="20"/>
              <w:jc w:val="center"/>
            </w:pPr>
            <w:r>
              <w:rPr>
                <w:b/>
                <w:sz w:val="40"/>
              </w:rPr>
              <w:t>4.38x</w:t>
            </w:r>
          </w:p>
          <w:p>
            <w:pPr>
              <w:spacing w:after="20"/>
              <w:jc w:val="center"/>
            </w:pPr>
            <w:r>
              <w:rPr>
                <w:b/>
                <w:sz w:val="19"/>
              </w:rPr>
              <w:t>Optimized blended ROAS</w:t>
            </w:r>
          </w:p>
          <w:p>
            <w:pPr>
              <w:jc w:val="center"/>
            </w:pPr>
            <w:r>
              <w:rPr>
                <w:color w:val="646464"/>
                <w:sz w:val="17"/>
              </w:rPr>
              <w:t>vs. 4.14x baseline</w:t>
            </w:r>
          </w:p>
        </w:tc>
        <w:tc>
          <w:tcPr>
            <w:tcW w:type="dxa" w:w="4968"/>
            <w:vAlign w:val="center"/>
            <w:shd w:fill="F7F7F7"/>
          </w:tcPr>
          <w:p>
            <w:pPr>
              <w:spacing w:after="20"/>
              <w:jc w:val="center"/>
            </w:pPr>
            <w:r>
              <w:rPr>
                <w:b/>
                <w:sz w:val="40"/>
              </w:rPr>
              <w:t>5.94x</w:t>
            </w:r>
          </w:p>
          <w:p>
            <w:pPr>
              <w:spacing w:after="20"/>
              <w:jc w:val="center"/>
            </w:pPr>
            <w:r>
              <w:rPr>
                <w:b/>
                <w:sz w:val="19"/>
              </w:rPr>
              <w:t>Peak single-month blended ROAS</w:t>
            </w:r>
          </w:p>
          <w:p>
            <w:pPr>
              <w:jc w:val="center"/>
            </w:pPr>
            <w:r>
              <w:rPr>
                <w:color w:val="646464"/>
                <w:sz w:val="17"/>
              </w:rPr>
              <w:t>August 2023</w:t>
            </w:r>
          </w:p>
        </w:tc>
      </w:tr>
      <w:tr>
        <w:tc>
          <w:tcPr>
            <w:tcW w:type="dxa" w:w="4968"/>
            <w:vAlign w:val="center"/>
            <w:shd w:fill="F7F7F7"/>
          </w:tcPr>
          <w:p>
            <w:pPr>
              <w:spacing w:after="20"/>
              <w:jc w:val="center"/>
            </w:pPr>
            <w:r>
              <w:rPr>
                <w:b/>
                <w:sz w:val="40"/>
              </w:rPr>
              <w:t>4.7×</w:t>
            </w:r>
          </w:p>
          <w:p>
            <w:pPr>
              <w:spacing w:after="20"/>
              <w:jc w:val="center"/>
            </w:pPr>
            <w:r>
              <w:rPr>
                <w:b/>
                <w:sz w:val="19"/>
              </w:rPr>
              <w:t>Google conversion volume growth</w:t>
            </w:r>
          </w:p>
          <w:p>
            <w:pPr>
              <w:jc w:val="center"/>
            </w:pPr>
            <w:r>
              <w:rPr>
                <w:color w:val="646464"/>
                <w:sz w:val="17"/>
              </w:rPr>
              <w:t>153 → 726 conversions</w:t>
            </w:r>
          </w:p>
        </w:tc>
        <w:tc>
          <w:tcPr>
            <w:tcW w:type="dxa" w:w="4968"/>
            <w:vAlign w:val="center"/>
            <w:shd w:fill="F7F7F7"/>
          </w:tcPr>
          <w:p>
            <w:pPr>
              <w:spacing w:after="20"/>
              <w:jc w:val="center"/>
            </w:pPr>
            <w:r>
              <w:rPr>
                <w:b/>
                <w:sz w:val="40"/>
              </w:rPr>
              <w:t>−3.6%</w:t>
            </w:r>
          </w:p>
          <w:p>
            <w:pPr>
              <w:spacing w:after="20"/>
              <w:jc w:val="center"/>
            </w:pPr>
            <w:r>
              <w:rPr>
                <w:b/>
                <w:sz w:val="19"/>
              </w:rPr>
              <w:t>Blended Google cost-per-conversion</w:t>
            </w:r>
          </w:p>
          <w:p>
            <w:pPr>
              <w:jc w:val="center"/>
            </w:pPr>
            <w:r>
              <w:rPr>
                <w:color w:val="646464"/>
                <w:sz w:val="17"/>
              </w:rPr>
              <w:t>Efficiency held while volume scaled</w:t>
            </w:r>
          </w:p>
        </w:tc>
      </w:tr>
    </w:tbl>
    <w:p>
      <w:pPr>
        <w:spacing w:before="200" w:after="140"/>
      </w:pPr>
      <w:r>
        <w:rPr>
          <w:b/>
        </w:rPr>
        <w:t xml:space="preserve">The key result wasn’t simply that Joviality spent more. </w:t>
      </w:r>
      <w:r>
        <w:t>The account absorbed more than twice the media investment while sales grew even faster — with ROAS improving rather than collapsing under scale.</w:t>
      </w:r>
    </w:p>
    <w:p>
      <w:pPr>
        <w:spacing w:before="240" w:after="40"/>
      </w:pPr>
      <w:r>
        <w:rPr>
          <w:rFonts w:ascii="Arial" w:hAnsi="Arial"/>
          <w:b/>
          <w:color w:val="6E6E6E"/>
          <w:sz w:val="18"/>
        </w:rPr>
        <w:t>WHY IT WORKED</w:t>
      </w:r>
    </w:p>
    <w:p>
      <w:pPr>
        <w:pStyle w:val="Heading1"/>
      </w:pPr>
      <w:r>
        <w:t>More budget. More structure. Same discipline.</w:t>
      </w:r>
    </w:p>
    <w:p>
      <w:pPr>
        <w:spacing w:after="140" w:line="269" w:lineRule="auto"/>
      </w:pPr>
      <w:r>
        <w:t>Google’s rebuilt architecture created room for significantly more conversion volume without sacrificing efficiency.</w:t>
      </w:r>
    </w:p>
    <w:p>
      <w:pPr>
        <w:spacing w:after="140" w:line="269" w:lineRule="auto"/>
      </w:pPr>
      <w:r>
        <w:t>TikTok became a genuine acquisition channel instead of a test. Creative decisions followed actual ROAS-by-format performance. And budget allocation followed the customer funnel instead of being dictated by historical platform habits.</w:t>
      </w:r>
    </w:p>
    <w:p>
      <w:pPr>
        <w:spacing w:before="240" w:after="40"/>
      </w:pPr>
      <w:r>
        <w:rPr>
          <w:rFonts w:ascii="Arial" w:hAnsi="Arial"/>
          <w:b/>
          <w:color w:val="6E6E6E"/>
          <w:sz w:val="18"/>
        </w:rPr>
        <w:t>WHAT'S NEXT</w:t>
      </w:r>
    </w:p>
    <w:p>
      <w:pPr>
        <w:pStyle w:val="Heading1"/>
      </w:pPr>
      <w:r>
        <w:t>Turning the new structure into sustained growth.</w:t>
      </w:r>
    </w:p>
    <w:p>
      <w:pPr>
        <w:spacing w:after="140" w:line="269" w:lineRule="auto"/>
      </w:pPr>
      <w:r>
        <w:t>With the new performance structure established, the next objective was carrying that momentum into peak season.</w:t>
      </w:r>
    </w:p>
    <w:p>
      <w:pPr>
        <w:spacing w:after="140" w:line="269" w:lineRule="auto"/>
      </w:pPr>
      <w:r>
        <w:t>Q4 planning targeted higher sales volume while maintaining disciplined ROAS ranges — including an October target of EGP 860K gross sales at 3.8–4.2x ROAS and a November target of EGP 1.2M at approximately 5.0x ROAS.</w:t>
      </w:r>
    </w:p>
    <w:p>
      <w:pPr>
        <w:spacing w:after="140" w:line="269" w:lineRule="auto"/>
      </w:pPr>
      <w:r>
        <w:t>The larger goal: turn a successful restructuring phase into a repeatable framework for sustained e-commerce growth.</w:t>
      </w:r>
    </w:p>
    <w:p>
      <w:pPr>
        <w:spacing w:before="80" w:after="160"/>
        <w:pBdr>
          <w:bottom w:val="single" w:sz="6" w:space="1" w:color="D9D9D9"/>
        </w:pBdr>
      </w:pPr>
    </w:p>
    <w:p>
      <w:pPr>
        <w:jc w:val="center"/>
      </w:pPr>
      <w:r>
        <w:rPr>
          <w:color w:val="787878"/>
          <w:sz w:val="17"/>
        </w:rPr>
        <w:t>Source: Joviality × ARQQA Performance Case Study presentation (Sep 2022 – Aug 2023)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>Joviality × ARQQA — Website Case Study Content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