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926B5" w14:textId="77777777" w:rsidR="00D61BE7" w:rsidRPr="00D61BE7" w:rsidRDefault="00C649FB" w:rsidP="00D61BE7">
      <w:pPr>
        <w:spacing w:after="0" w:line="240" w:lineRule="auto"/>
        <w:ind w:firstLine="0"/>
        <w:jc w:val="center"/>
        <w:rPr>
          <w:rFonts w:cs="Times New Roman"/>
          <w:sz w:val="26"/>
          <w:szCs w:val="26"/>
        </w:rPr>
      </w:pPr>
      <w:r w:rsidRPr="00D61BE7">
        <w:rPr>
          <w:rFonts w:cs="Times New Roman"/>
          <w:sz w:val="26"/>
          <w:szCs w:val="26"/>
        </w:rPr>
        <w:t>UNIVERSIDAD MESOAMERICANA</w:t>
      </w:r>
    </w:p>
    <w:p w14:paraId="271E9BE9" w14:textId="77777777" w:rsidR="00C649FB" w:rsidRPr="00D61BE7" w:rsidRDefault="00C649FB" w:rsidP="00D61BE7">
      <w:pPr>
        <w:spacing w:after="0" w:line="240" w:lineRule="auto"/>
        <w:ind w:firstLine="0"/>
        <w:jc w:val="center"/>
        <w:rPr>
          <w:rFonts w:cs="Times New Roman"/>
          <w:sz w:val="26"/>
          <w:szCs w:val="26"/>
        </w:rPr>
      </w:pPr>
      <w:r w:rsidRPr="00D61BE7">
        <w:rPr>
          <w:rFonts w:cs="Times New Roman"/>
          <w:sz w:val="26"/>
          <w:szCs w:val="26"/>
        </w:rPr>
        <w:t>QUETZALTENANGO</w:t>
      </w:r>
    </w:p>
    <w:p w14:paraId="5C500F49" w14:textId="77777777" w:rsidR="00C649FB" w:rsidRPr="00D61BE7" w:rsidRDefault="00C649FB" w:rsidP="00D61BE7">
      <w:pPr>
        <w:spacing w:after="0" w:line="240" w:lineRule="auto"/>
        <w:ind w:firstLine="0"/>
        <w:jc w:val="center"/>
        <w:rPr>
          <w:rFonts w:cs="Times New Roman"/>
          <w:sz w:val="26"/>
          <w:szCs w:val="26"/>
        </w:rPr>
      </w:pPr>
      <w:r w:rsidRPr="00D61BE7">
        <w:rPr>
          <w:rFonts w:cs="Times New Roman"/>
          <w:sz w:val="26"/>
          <w:szCs w:val="26"/>
        </w:rPr>
        <w:t>FACULTAD DE INGENIERÍA</w:t>
      </w:r>
    </w:p>
    <w:p w14:paraId="066754F7" w14:textId="77777777" w:rsidR="00C649FB" w:rsidRDefault="00C649FB" w:rsidP="00D61BE7">
      <w:pPr>
        <w:spacing w:after="0" w:line="240" w:lineRule="auto"/>
        <w:ind w:firstLine="0"/>
        <w:jc w:val="center"/>
        <w:rPr>
          <w:rFonts w:cs="Times New Roman"/>
          <w:sz w:val="26"/>
          <w:szCs w:val="26"/>
        </w:rPr>
      </w:pPr>
      <w:r w:rsidRPr="00D61BE7">
        <w:rPr>
          <w:rFonts w:cs="Times New Roman"/>
          <w:sz w:val="26"/>
          <w:szCs w:val="26"/>
        </w:rPr>
        <w:t>INGENIERÍA EN SISTEMAS, INFORMÁTICA Y CIENCIAS DE LA COMPUTACIÓN</w:t>
      </w:r>
    </w:p>
    <w:p w14:paraId="45333B5B" w14:textId="77777777" w:rsidR="00D61BE7" w:rsidRPr="00D61BE7" w:rsidRDefault="00D61BE7" w:rsidP="00D61BE7">
      <w:pPr>
        <w:spacing w:after="0" w:line="240" w:lineRule="auto"/>
        <w:ind w:firstLine="0"/>
        <w:rPr>
          <w:rFonts w:cs="Times New Roman"/>
          <w:sz w:val="26"/>
          <w:szCs w:val="26"/>
        </w:rPr>
      </w:pPr>
    </w:p>
    <w:p w14:paraId="5978F1AA" w14:textId="77777777" w:rsidR="00C649FB" w:rsidRPr="00C649FB" w:rsidRDefault="008B2A58" w:rsidP="00C649FB">
      <w:pPr>
        <w:jc w:val="center"/>
        <w:rPr>
          <w:rFonts w:cs="Times New Roman"/>
          <w:sz w:val="22"/>
          <w:szCs w:val="22"/>
        </w:rPr>
      </w:pPr>
      <w:r w:rsidRPr="00A361D0">
        <w:rPr>
          <w:rFonts w:cs="Times New Roman"/>
          <w:noProof/>
          <w:sz w:val="32"/>
          <w:szCs w:val="32"/>
        </w:rPr>
        <w:drawing>
          <wp:anchor distT="0" distB="0" distL="114300" distR="114300" simplePos="0" relativeHeight="251659264" behindDoc="0" locked="0" layoutInCell="1" allowOverlap="1" wp14:anchorId="3606E14C" wp14:editId="1AAD49FF">
            <wp:simplePos x="0" y="0"/>
            <wp:positionH relativeFrom="margin">
              <wp:posOffset>1851025</wp:posOffset>
            </wp:positionH>
            <wp:positionV relativeFrom="paragraph">
              <wp:posOffset>32457</wp:posOffset>
            </wp:positionV>
            <wp:extent cx="2241596" cy="2520000"/>
            <wp:effectExtent l="0" t="0" r="0" b="0"/>
            <wp:wrapNone/>
            <wp:docPr id="13041239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7076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41596" cy="2520000"/>
                    </a:xfrm>
                    <a:prstGeom prst="rect">
                      <a:avLst/>
                    </a:prstGeom>
                  </pic:spPr>
                </pic:pic>
              </a:graphicData>
            </a:graphic>
            <wp14:sizeRelH relativeFrom="margin">
              <wp14:pctWidth>0</wp14:pctWidth>
            </wp14:sizeRelH>
            <wp14:sizeRelV relativeFrom="margin">
              <wp14:pctHeight>0</wp14:pctHeight>
            </wp14:sizeRelV>
          </wp:anchor>
        </w:drawing>
      </w:r>
    </w:p>
    <w:p w14:paraId="0FDBFE46" w14:textId="77777777" w:rsidR="00C649FB" w:rsidRPr="00A361D0" w:rsidRDefault="00C649FB" w:rsidP="00C649FB"/>
    <w:p w14:paraId="05B66C0B" w14:textId="77777777" w:rsidR="00C649FB" w:rsidRDefault="00C649FB" w:rsidP="00C649FB"/>
    <w:p w14:paraId="425BA6B5" w14:textId="77777777" w:rsidR="00054692" w:rsidRPr="00A361D0" w:rsidRDefault="00054692" w:rsidP="00C649FB"/>
    <w:p w14:paraId="511736E2" w14:textId="77777777" w:rsidR="00C649FB" w:rsidRDefault="00C649FB" w:rsidP="008B2A58">
      <w:pPr>
        <w:ind w:firstLine="0"/>
      </w:pPr>
    </w:p>
    <w:p w14:paraId="02A160BC" w14:textId="77777777" w:rsidR="008B2A58" w:rsidRDefault="008B2A58" w:rsidP="008B2A58">
      <w:pPr>
        <w:ind w:firstLine="0"/>
      </w:pPr>
    </w:p>
    <w:p w14:paraId="0408BD9B" w14:textId="77777777" w:rsidR="008B2A58" w:rsidRDefault="008B2A58" w:rsidP="00D61BE7">
      <w:pPr>
        <w:spacing w:line="240" w:lineRule="auto"/>
        <w:ind w:firstLine="0"/>
        <w:jc w:val="center"/>
        <w:rPr>
          <w:rFonts w:cs="Times New Roman"/>
          <w:b/>
          <w:bCs/>
          <w:sz w:val="26"/>
          <w:szCs w:val="26"/>
        </w:rPr>
      </w:pPr>
    </w:p>
    <w:p w14:paraId="5E5E845A" w14:textId="77777777" w:rsidR="00D61BE7" w:rsidRDefault="00D61BE7" w:rsidP="00D61BE7">
      <w:pPr>
        <w:spacing w:line="240" w:lineRule="auto"/>
        <w:ind w:firstLine="0"/>
        <w:jc w:val="center"/>
        <w:rPr>
          <w:rFonts w:cs="Times New Roman"/>
          <w:sz w:val="26"/>
          <w:szCs w:val="26"/>
        </w:rPr>
      </w:pPr>
    </w:p>
    <w:p w14:paraId="6B08657F" w14:textId="77777777" w:rsidR="00D61BE7" w:rsidRDefault="00D61BE7" w:rsidP="00D61BE7">
      <w:pPr>
        <w:spacing w:line="240" w:lineRule="auto"/>
        <w:ind w:firstLine="0"/>
        <w:jc w:val="center"/>
        <w:rPr>
          <w:rFonts w:cs="Times New Roman"/>
          <w:sz w:val="26"/>
          <w:szCs w:val="26"/>
        </w:rPr>
      </w:pPr>
    </w:p>
    <w:p w14:paraId="3C2AB0DF" w14:textId="5F6E5266" w:rsidR="00C649FB" w:rsidRPr="00D61BE7" w:rsidRDefault="00625003" w:rsidP="00D61BE7">
      <w:pPr>
        <w:spacing w:line="240" w:lineRule="auto"/>
        <w:ind w:firstLine="0"/>
        <w:jc w:val="center"/>
        <w:rPr>
          <w:rFonts w:cs="Times New Roman"/>
          <w:sz w:val="26"/>
          <w:szCs w:val="26"/>
        </w:rPr>
      </w:pPr>
      <w:r>
        <w:rPr>
          <w:rFonts w:cs="Times New Roman"/>
          <w:sz w:val="26"/>
          <w:szCs w:val="26"/>
        </w:rPr>
        <w:t>ÉTICA PROFESIONAL</w:t>
      </w:r>
    </w:p>
    <w:p w14:paraId="4CD03F0A" w14:textId="3B95D2C1" w:rsidR="00C649FB" w:rsidRPr="00D61BE7" w:rsidRDefault="00625003" w:rsidP="00D61BE7">
      <w:pPr>
        <w:spacing w:line="240" w:lineRule="auto"/>
        <w:ind w:firstLine="0"/>
        <w:jc w:val="center"/>
        <w:rPr>
          <w:rFonts w:cs="Times New Roman"/>
          <w:b/>
          <w:bCs/>
          <w:sz w:val="26"/>
          <w:szCs w:val="26"/>
        </w:rPr>
      </w:pPr>
      <w:r>
        <w:rPr>
          <w:rFonts w:cs="Times New Roman"/>
          <w:b/>
          <w:bCs/>
          <w:sz w:val="26"/>
          <w:szCs w:val="26"/>
        </w:rPr>
        <w:t>RESUMEN CAPÍTULO 4 LIBRO “ÉTICA PARA INGENIEROS”</w:t>
      </w:r>
    </w:p>
    <w:p w14:paraId="6C0F4F47" w14:textId="77777777" w:rsidR="008B2A58" w:rsidRPr="00552199" w:rsidRDefault="008B2A58" w:rsidP="008B2A58">
      <w:pPr>
        <w:ind w:firstLine="0"/>
        <w:jc w:val="center"/>
        <w:rPr>
          <w:rFonts w:cs="Times New Roman"/>
          <w:sz w:val="26"/>
          <w:szCs w:val="26"/>
        </w:rPr>
      </w:pPr>
    </w:p>
    <w:p w14:paraId="22613F2C" w14:textId="77777777" w:rsidR="00C649FB" w:rsidRPr="00552199" w:rsidRDefault="00D61BE7" w:rsidP="00D61BE7">
      <w:pPr>
        <w:spacing w:line="240" w:lineRule="auto"/>
        <w:ind w:firstLine="0"/>
        <w:jc w:val="center"/>
        <w:rPr>
          <w:rFonts w:cs="Times New Roman"/>
          <w:sz w:val="26"/>
          <w:szCs w:val="26"/>
        </w:rPr>
      </w:pPr>
      <w:r w:rsidRPr="00552199">
        <w:rPr>
          <w:rFonts w:cs="Times New Roman"/>
          <w:sz w:val="26"/>
          <w:szCs w:val="26"/>
        </w:rPr>
        <w:t>WESLEY RANGELI CARDONA CASTILLO</w:t>
      </w:r>
    </w:p>
    <w:p w14:paraId="07C12F83" w14:textId="77777777" w:rsidR="00C649FB" w:rsidRDefault="00C649FB" w:rsidP="00D61BE7">
      <w:pPr>
        <w:spacing w:line="240" w:lineRule="auto"/>
        <w:ind w:firstLine="0"/>
        <w:jc w:val="center"/>
        <w:rPr>
          <w:rFonts w:cs="Times New Roman"/>
          <w:sz w:val="26"/>
          <w:szCs w:val="26"/>
        </w:rPr>
      </w:pPr>
      <w:r w:rsidRPr="00552199">
        <w:rPr>
          <w:rFonts w:cs="Times New Roman"/>
          <w:sz w:val="26"/>
          <w:szCs w:val="26"/>
        </w:rPr>
        <w:t>2023080</w:t>
      </w:r>
      <w:r w:rsidR="008B2A58">
        <w:rPr>
          <w:rFonts w:cs="Times New Roman"/>
          <w:sz w:val="26"/>
          <w:szCs w:val="26"/>
        </w:rPr>
        <w:t>89</w:t>
      </w:r>
    </w:p>
    <w:p w14:paraId="3052BC22" w14:textId="567CFB29" w:rsidR="00625003" w:rsidRDefault="00625003" w:rsidP="00D61BE7">
      <w:pPr>
        <w:spacing w:line="240" w:lineRule="auto"/>
        <w:ind w:firstLine="0"/>
        <w:jc w:val="center"/>
        <w:rPr>
          <w:rFonts w:cs="Times New Roman"/>
          <w:sz w:val="26"/>
          <w:szCs w:val="26"/>
        </w:rPr>
      </w:pPr>
      <w:r>
        <w:rPr>
          <w:rFonts w:cs="Times New Roman"/>
          <w:sz w:val="26"/>
          <w:szCs w:val="26"/>
        </w:rPr>
        <w:t>ALEX ANTONY DE LEÓN GRAMAJO</w:t>
      </w:r>
    </w:p>
    <w:p w14:paraId="3988E50D" w14:textId="3B47B551" w:rsidR="00625003" w:rsidRDefault="00625003" w:rsidP="00D61BE7">
      <w:pPr>
        <w:spacing w:line="240" w:lineRule="auto"/>
        <w:ind w:firstLine="0"/>
        <w:jc w:val="center"/>
        <w:rPr>
          <w:rFonts w:cs="Times New Roman"/>
          <w:sz w:val="26"/>
          <w:szCs w:val="26"/>
        </w:rPr>
      </w:pPr>
      <w:r>
        <w:rPr>
          <w:rFonts w:cs="Times New Roman"/>
          <w:sz w:val="26"/>
          <w:szCs w:val="26"/>
        </w:rPr>
        <w:t>202308091</w:t>
      </w:r>
    </w:p>
    <w:p w14:paraId="2FE92567" w14:textId="028D0DE1" w:rsidR="00625003" w:rsidRDefault="00625003" w:rsidP="00D61BE7">
      <w:pPr>
        <w:spacing w:line="240" w:lineRule="auto"/>
        <w:ind w:firstLine="0"/>
        <w:jc w:val="center"/>
        <w:rPr>
          <w:rFonts w:cs="Times New Roman"/>
          <w:sz w:val="26"/>
          <w:szCs w:val="26"/>
        </w:rPr>
      </w:pPr>
      <w:r>
        <w:rPr>
          <w:rFonts w:cs="Times New Roman"/>
          <w:sz w:val="26"/>
          <w:szCs w:val="26"/>
        </w:rPr>
        <w:t>ALEJANDRO CARRILLO GARCÍA</w:t>
      </w:r>
    </w:p>
    <w:p w14:paraId="3437CEA6" w14:textId="63CA68A5" w:rsidR="00625003" w:rsidRDefault="00625003" w:rsidP="00D61BE7">
      <w:pPr>
        <w:spacing w:line="240" w:lineRule="auto"/>
        <w:ind w:firstLine="0"/>
        <w:jc w:val="center"/>
        <w:rPr>
          <w:rFonts w:cs="Times New Roman"/>
          <w:sz w:val="26"/>
          <w:szCs w:val="26"/>
        </w:rPr>
      </w:pPr>
      <w:r>
        <w:rPr>
          <w:rFonts w:cs="Times New Roman"/>
          <w:sz w:val="26"/>
          <w:szCs w:val="26"/>
        </w:rPr>
        <w:t>202308076</w:t>
      </w:r>
    </w:p>
    <w:p w14:paraId="6D792C44" w14:textId="1F66880C" w:rsidR="00625003" w:rsidRDefault="00625003" w:rsidP="00D61BE7">
      <w:pPr>
        <w:spacing w:line="240" w:lineRule="auto"/>
        <w:ind w:firstLine="0"/>
        <w:jc w:val="center"/>
        <w:rPr>
          <w:rFonts w:cs="Times New Roman"/>
          <w:sz w:val="26"/>
          <w:szCs w:val="26"/>
        </w:rPr>
      </w:pPr>
      <w:r>
        <w:rPr>
          <w:rFonts w:cs="Times New Roman"/>
          <w:sz w:val="26"/>
          <w:szCs w:val="26"/>
        </w:rPr>
        <w:t>JOSÉ ANDRÉS QUIJIVIX JUÁREZ</w:t>
      </w:r>
    </w:p>
    <w:p w14:paraId="6AAC31F6" w14:textId="3BA3012B" w:rsidR="00625003" w:rsidRPr="008B2A58" w:rsidRDefault="00625003" w:rsidP="00D61BE7">
      <w:pPr>
        <w:spacing w:line="240" w:lineRule="auto"/>
        <w:ind w:firstLine="0"/>
        <w:jc w:val="center"/>
        <w:rPr>
          <w:rFonts w:cs="Times New Roman"/>
          <w:sz w:val="26"/>
          <w:szCs w:val="26"/>
        </w:rPr>
      </w:pPr>
      <w:r>
        <w:rPr>
          <w:rFonts w:cs="Times New Roman"/>
          <w:sz w:val="26"/>
          <w:szCs w:val="26"/>
        </w:rPr>
        <w:t>202308069</w:t>
      </w:r>
    </w:p>
    <w:p w14:paraId="194874BB" w14:textId="77777777" w:rsidR="00552199" w:rsidRDefault="00552199" w:rsidP="00C649FB">
      <w:pPr>
        <w:rPr>
          <w:rFonts w:cs="Times New Roman"/>
          <w:sz w:val="22"/>
          <w:szCs w:val="22"/>
        </w:rPr>
      </w:pPr>
    </w:p>
    <w:p w14:paraId="0BB2EFFF" w14:textId="77777777" w:rsidR="00D61BE7" w:rsidRDefault="00D61BE7" w:rsidP="00C649FB">
      <w:pPr>
        <w:rPr>
          <w:rFonts w:cs="Times New Roman"/>
          <w:sz w:val="22"/>
          <w:szCs w:val="22"/>
        </w:rPr>
      </w:pPr>
    </w:p>
    <w:p w14:paraId="6AADB6BE" w14:textId="77777777" w:rsidR="00D61BE7" w:rsidRDefault="00D61BE7" w:rsidP="00C649FB">
      <w:pPr>
        <w:rPr>
          <w:rFonts w:cs="Times New Roman"/>
          <w:sz w:val="22"/>
          <w:szCs w:val="22"/>
        </w:rPr>
      </w:pPr>
    </w:p>
    <w:p w14:paraId="691E48EF" w14:textId="77777777" w:rsidR="00552199" w:rsidRDefault="00552199" w:rsidP="00625003">
      <w:pPr>
        <w:ind w:left="0" w:firstLine="0"/>
        <w:rPr>
          <w:rFonts w:cs="Times New Roman"/>
        </w:rPr>
      </w:pPr>
    </w:p>
    <w:p w14:paraId="49E0F3EE" w14:textId="2652BEFA" w:rsidR="001301B5" w:rsidRDefault="00D61BE7" w:rsidP="00D61BE7">
      <w:pPr>
        <w:spacing w:line="240" w:lineRule="auto"/>
        <w:ind w:firstLine="0"/>
        <w:jc w:val="center"/>
        <w:rPr>
          <w:rFonts w:cs="Times New Roman"/>
          <w:b/>
          <w:bCs/>
          <w:sz w:val="26"/>
          <w:szCs w:val="26"/>
        </w:rPr>
      </w:pPr>
      <w:r>
        <w:rPr>
          <w:rFonts w:cs="Times New Roman"/>
          <w:b/>
          <w:bCs/>
          <w:sz w:val="26"/>
          <w:szCs w:val="26"/>
        </w:rPr>
        <w:t>QUETZALTENANGO,</w:t>
      </w:r>
      <w:r w:rsidR="00625003">
        <w:rPr>
          <w:rFonts w:cs="Times New Roman"/>
          <w:b/>
          <w:bCs/>
          <w:sz w:val="26"/>
          <w:szCs w:val="26"/>
        </w:rPr>
        <w:t xml:space="preserve"> 23 DE MARZO</w:t>
      </w:r>
      <w:r w:rsidRPr="00552199">
        <w:rPr>
          <w:rFonts w:cs="Times New Roman"/>
          <w:b/>
          <w:bCs/>
          <w:sz w:val="26"/>
          <w:szCs w:val="26"/>
        </w:rPr>
        <w:t xml:space="preserve"> 2,02</w:t>
      </w:r>
      <w:r w:rsidR="00625003">
        <w:rPr>
          <w:rFonts w:cs="Times New Roman"/>
          <w:b/>
          <w:bCs/>
          <w:sz w:val="26"/>
          <w:szCs w:val="26"/>
        </w:rPr>
        <w:t>6</w:t>
      </w:r>
    </w:p>
    <w:p w14:paraId="261DD577" w14:textId="70A219D0" w:rsidR="00D724B0" w:rsidRPr="00822ABF" w:rsidRDefault="00D724B0" w:rsidP="00822ABF">
      <w:pPr>
        <w:ind w:left="0" w:firstLine="0"/>
        <w:jc w:val="center"/>
        <w:rPr>
          <w:b/>
          <w:bCs/>
        </w:rPr>
      </w:pPr>
      <w:r w:rsidRPr="00D724B0">
        <w:rPr>
          <w:b/>
          <w:bCs/>
        </w:rPr>
        <w:lastRenderedPageBreak/>
        <w:t>Introducción</w:t>
      </w:r>
    </w:p>
    <w:p w14:paraId="40622D44" w14:textId="74702A5C" w:rsidR="00822ABF" w:rsidRDefault="00822ABF" w:rsidP="00822ABF">
      <w:r>
        <w:t>El capítulo 4 parte de una idea fundamental: la relación entre ética y profesión no es reciente ni accidental. Desde muy antiguo, la actividad profesional ha estado vinculada con la exigencia de un comportamiento moralmente correcto, como lo muestra el juramento hipocrático. Sin embargo, el texto señala una paradoja actual: aunque hoy existen más códigos profesionales, debates éticos y declaraciones de compromiso moral, en la práctica continúan apareciendo corrupción, fraude, negligencia y competencia desleal. Por ello, el capítulo busca articular de manera clara la relación entre ética y profesión, mostrando que la actividad profesional no puede reducirse a lo técnico, sino que posee una dimensión moral propia.</w:t>
      </w:r>
    </w:p>
    <w:p w14:paraId="7792E7F4" w14:textId="0E15F214" w:rsidR="00822ABF" w:rsidRDefault="00822ABF" w:rsidP="00822ABF">
      <w:r>
        <w:t>A partir de esta base, la profesión es presentada como una actividad especializada, pero también como agente de cambio social y como compromiso moral. Esto significa que no debe entenderse únicamente como un medio de subsistencia, sino como una práctica con impacto público y responsabilidad frente a la sociedad. El texto también destaca que la ética profesional puede contribuir a regenerar la vida social y a elevar la moralidad de la vida cotidiana.</w:t>
      </w:r>
    </w:p>
    <w:p w14:paraId="0884D2CE" w14:textId="7AF4970B" w:rsidR="00822ABF" w:rsidRDefault="00822ABF" w:rsidP="00822ABF">
      <w:r>
        <w:t>El capítulo subraya, además, que la ética profesional es compleja porque en ella intervienen diversos sujetos y niveles: el profesional como individuo, como miembro de una disciplina, como parte de una institución y en relación con un usuario o cliente. Por eso, todos estos elementos deben articularse en una tensión permanente e inevitable, lo que impide reducir la ética profesional a reglas simples o respuestas automáticas.</w:t>
      </w:r>
    </w:p>
    <w:p w14:paraId="5E19E42C" w14:textId="14538087" w:rsidR="00822ABF" w:rsidRDefault="00822ABF" w:rsidP="00822ABF">
      <w:r>
        <w:t>Para comprender esta complejidad, el autor distingue dos grandes dimensiones del fenómeno moral: la dimensión del bien, vinculada con las éticas teleológicas, y la dimensión de la justicia, relacionada con las éticas deontológicas. Trasladada al ámbito profesional, esta distinción permite hablar tanto de una ética profesional, centrada en el bien propio de la profesión, como de una deontología profesional, enfocada en sus deberes y obligaciones. No obstante, el capítulo aclara que ambas dimensiones no se excluyen, sino que se complementan.</w:t>
      </w:r>
    </w:p>
    <w:p w14:paraId="17906184" w14:textId="62767483" w:rsidR="00D724B0" w:rsidRDefault="00822ABF" w:rsidP="00822ABF">
      <w:r>
        <w:t>Sobre esta base, el texto propone entender las éticas profesionales como una forma de ética aplicada, capaz de unir fundamentación moral y práctica concreta. También advierte que deben evitarse dos extremos: el moralismo, que absolutiza la moral ignorando la racionalidad propia de cada ámbito, y la tesis separatista, que exagera la autonomía profesional hasta desligarla de otras exigencias éticas. Frente a ello, el capítulo propone una visión integradora de la ética profesional, de la que surgen sus tres principios rectores: beneficencia, autonomía y justicia.</w:t>
      </w:r>
    </w:p>
    <w:p w14:paraId="1B34F764" w14:textId="4C7BBF5B" w:rsidR="00D724B0" w:rsidRDefault="00D724B0" w:rsidP="00D724B0">
      <w:pPr>
        <w:pStyle w:val="Ttulo1"/>
        <w:numPr>
          <w:ilvl w:val="0"/>
          <w:numId w:val="2"/>
        </w:numPr>
      </w:pPr>
      <w:r>
        <w:lastRenderedPageBreak/>
        <w:t>El principio de beneficencia</w:t>
      </w:r>
    </w:p>
    <w:p w14:paraId="545E01E1" w14:textId="57C6B56B" w:rsidR="00D724B0" w:rsidRDefault="00D724B0" w:rsidP="00D724B0">
      <w:r>
        <w:t>El primer principio rector de la ética profesional es la beneficencia. En términos generales, la beneficencia consiste en orientar la actividad profesional hacia el bien de otras personas. En una profesión, esto significa que el conocimiento técnico no debe usarse solo para cumplir una tarea, obtener beneficios económicos o demostrar capacidad, sino para prestar un servicio útil, correcto y verdaderamente valioso para quien lo recibe. El capítulo vincula esta idea con la tradición teleológica, según la cual toda acción humana se dirige a un bien; en el ámbito profesional, ese bien se expresa en la finalidad propia de la profesión y en su aportación al bien del usuario y al bien social.</w:t>
      </w:r>
    </w:p>
    <w:p w14:paraId="4B8F0DDD" w14:textId="7D2ABA8F" w:rsidR="00D724B0" w:rsidRDefault="00D724B0" w:rsidP="00D724B0">
      <w:r>
        <w:t>En Ingeniería en Sistemas, la beneficencia se manifiesta en el diseño e implementación de soluciones que sean útiles, seguras, confiables y responsables. Un ingeniero no cumple éticamente solo porque el sistema funcione o porque el programa ejecute correctamente sus tareas, sino porque lo entregado responde a una necesidad real y evita daños previsibles. Esto implica pensar no solo en el rendimiento técnico, sino también en las consecuencias prácticas de lo que se desarrolla. Un software puede funcionar de manera adecuada desde el punto de vista técnico y aun así resultar perjudicial si expone datos sensibles, favorece decisiones injustas o provoca errores que afecten a los usuarios. En este sentido, la beneficencia exige competencia, responsabilidad, claridad y compromiso con la calidad del servicio profesional.</w:t>
      </w:r>
    </w:p>
    <w:p w14:paraId="712B6289" w14:textId="6B440758" w:rsidR="00D724B0" w:rsidRDefault="00D724B0" w:rsidP="00D724B0">
      <w:r>
        <w:t>Sin embargo, el capítulo advierte que la beneficencia puede deformarse cuando el profesional cree saber por sí solo qué es lo mejor para el usuario. De esta dificultad surge el paternalismo, que aparece cuando el profesional sustituye la capacidad de decisión de la otra persona y actúa por ella sin darle información suficiente ni participación real. El problema del paternalismo no está en la intención de ayudar, sino en hacerlo imponiendo decisiones y tratando al usuario como si no pudiera comprender o decidir por sí mismo. Por eso, el texto distingue entre una beneficencia bien entendida y una beneficencia mal ejercida: la primera busca el bien del usuario respetando su dignidad y participación; la segunda, en cambio, pretende hacer el bien sin diálogo ni consentimiento suficiente.</w:t>
      </w:r>
    </w:p>
    <w:p w14:paraId="6E337D77" w14:textId="2BDA9D80" w:rsidR="00D724B0" w:rsidRDefault="00D724B0" w:rsidP="00D724B0">
      <w:r>
        <w:t xml:space="preserve">Esta diferencia se aprecia con claridad en Ingeniería en Sistemas. Debido a que el profesional domina conocimientos técnicos que el usuario común no posee, puede sentirse tentado a decidir por él en nombre de la eficiencia o la seguridad. No obstante, saber más desde el punto de vista técnico no da derecho a excluir a la persona afectada de las decisiones que influyen en su vida. Por ejemplo, al desarrollar una aplicación que recopila información personal, la beneficencia exige construir una solución útil y segura, explicar qué datos se solicitan, para qué se usarán y qué opciones tiene el </w:t>
      </w:r>
      <w:r>
        <w:lastRenderedPageBreak/>
        <w:t>usuario. En cambio, existe paternalismo cuando se activan permisos invasivos por defecto, se ocultan configuraciones de privacidad o se limitan decisiones importantes bajo la idea de que “así es mejor”. En esos casos, el profesional deja de acompañar y pasa a controlar.</w:t>
      </w:r>
    </w:p>
    <w:p w14:paraId="486123D5" w14:textId="77777777" w:rsidR="00D724B0" w:rsidRDefault="00D724B0" w:rsidP="00D724B0">
      <w:r>
        <w:t>La beneficencia es esencial porque recuerda que la profesión no puede reducirse a una ejecución puramente técnica. El verdadero sentido del trabajo profesional está en poner el conocimiento al servicio de las personas de forma responsable. En Ingeniería en Sistemas esto resulta especialmente importante porque los sistemas informáticos influyen directamente en la privacidad, la seguridad, el acceso a oportunidades y la toma de decisiones de muchas personas. Por ello, la beneficencia ayuda a que el profesional no piense solo en lo funcional, sino también en lo humano, lo social y lo ético. No obstante, para que esta búsqueda del bien sea verdaderamente legítima, debe complementarse con el segundo principio rector: la autonomía.</w:t>
      </w:r>
    </w:p>
    <w:p w14:paraId="5F9F4A44" w14:textId="77777777" w:rsidR="00D724B0" w:rsidRDefault="00D724B0" w:rsidP="00D724B0"/>
    <w:p w14:paraId="4F83F3C9" w14:textId="21F9C75C" w:rsidR="00D724B0" w:rsidRDefault="00D724B0" w:rsidP="00D724B0">
      <w:pPr>
        <w:pStyle w:val="Ttulo1"/>
        <w:numPr>
          <w:ilvl w:val="0"/>
          <w:numId w:val="2"/>
        </w:numPr>
      </w:pPr>
      <w:r>
        <w:t>El principio de autonomía</w:t>
      </w:r>
    </w:p>
    <w:p w14:paraId="01DF7DFC" w14:textId="0661D4F0" w:rsidR="00D724B0" w:rsidRDefault="00D724B0" w:rsidP="00D724B0">
      <w:r>
        <w:t>La autonomía es el segundo principio fundamental de la ética profesional. En sentido general, la autonomía puede entenderse como la capacidad de una persona para dirigir su propia vida, tomar decisiones libres y actuar sin coacciones externas, aunque siempre con responsabilidad. En el ámbito profesional, esto implica que el profesional no debe comportarse como un simple ejecutor de órdenes, sino como un sujeto moral capaz de pensar, valorar, decidir y responder por lo que hace. El capítulo insiste en que la autonomía no equivale a hacer lo que uno quiera, sino a ejercer la libertad de manera reflexiva y responsable.</w:t>
      </w:r>
    </w:p>
    <w:p w14:paraId="33F1C1D0" w14:textId="3F8FB91E" w:rsidR="00D724B0" w:rsidRDefault="00D724B0" w:rsidP="00D724B0">
      <w:r>
        <w:t xml:space="preserve">El texto desarrolla la autonomía en varios sentidos. En primer lugar, la presenta como </w:t>
      </w:r>
      <w:r>
        <w:t>auto elección</w:t>
      </w:r>
      <w:r>
        <w:t xml:space="preserve">, es decir, como la forma en que el profesional asume su actividad como parte de su propio proyecto de vida. En este sentido, la profesión no se vive únicamente como una obligación externa, sino como una tarea elegida que otorga sentido a la vida personal y profesional. En segundo lugar, la entiende como </w:t>
      </w:r>
      <w:r>
        <w:t>auto legislación</w:t>
      </w:r>
      <w:r>
        <w:t>, inspirada en la tradición kantiana, según la cual la persona actúa conforme a principios racionales y universalizables, no simplemente por interés o conveniencia. En tercer lugar, la autonomía aparece como autenticidad, es decir, como la capacidad de actuar de manera coherente con los propios valores y convicciones. Finalmente, se presenta como autodecisión, entendida como la facultad de tomar decisiones concretas con prudencia, deliberación y responsabilidad por las consecuencias.</w:t>
      </w:r>
    </w:p>
    <w:p w14:paraId="4556A467" w14:textId="6E693ADB" w:rsidR="00D724B0" w:rsidRDefault="00D724B0" w:rsidP="00D724B0">
      <w:r>
        <w:t xml:space="preserve">En Ingeniería en Sistemas, la autonomía se expresa en muchas situaciones cotidianas. El profesional no solo crea programas o administra </w:t>
      </w:r>
      <w:r>
        <w:lastRenderedPageBreak/>
        <w:t>sistemas, sino que toma decisiones que afectan directamente la privacidad, la seguridad, la claridad de la información y el bienestar de los usuarios. Por eso, la autonomía exige que el ingeniero piense críticamente qué datos son realmente necesarios, si los usuarios comprenden el funcionamiento del sistema, si las opciones presentadas son justas y si las decisiones técnicas pueden generar riesgos o daños. En este campo, la autonomía permite que el profesional no sea solo un ejecutor técnico, sino un sujeto moral que participa responsablemente en la definición y evaluación de lo que produce.</w:t>
      </w:r>
    </w:p>
    <w:p w14:paraId="69B5D103" w14:textId="75D43F09" w:rsidR="00D724B0" w:rsidRDefault="00D724B0" w:rsidP="00D724B0">
      <w:r>
        <w:t xml:space="preserve">Un ejemplo integrador de este principio puede verse en el desarrollo de un sistema para asignar becas estudiantiles. Desde la </w:t>
      </w:r>
      <w:r>
        <w:t>auto elección</w:t>
      </w:r>
      <w:r>
        <w:t xml:space="preserve">, el ingeniero comprende que su labor no consiste solo en hacer funcionar el sistema, sino en contribuir a una herramienta que influirá en oportunidades reales para otras personas. Desde la </w:t>
      </w:r>
      <w:r>
        <w:t>auto legislación</w:t>
      </w:r>
      <w:r>
        <w:t>, el equipo procura que el sistema opere con criterios claros, justos y comprensibles, evitando arbitrariedades. Desde la autenticidad, quien detecta un posible perjuicio injusto lo expresa con honestidad, aunque resulte incómodo. Y desde la autodecisión, el equipo analiza el problema, toma una decisión razonada y asume la responsabilidad de corregir aquello que puede causar daño. Este ejemplo muestra que la autonomía no es una idea abstracta, sino una manera concreta de ejercer la profesión con libertad, criterio y responsabilidad.</w:t>
      </w:r>
    </w:p>
    <w:p w14:paraId="13BFA119" w14:textId="7CF1020B" w:rsidR="00D724B0" w:rsidRDefault="00D724B0" w:rsidP="00D724B0">
      <w:r>
        <w:t>La autonomía resulta esencial porque evita que la profesión se convierta en una práctica mecánica, basada solo en obedecer órdenes o cumplir tareas sin reflexión moral. En Ingeniería en Sistemas esto es especialmente relevante, ya que muchos sistemas afectan directamente a estudiantes, trabajadores, pacientes, clientes y usuarios en general. Un profesional autónomo no se limita a cumplir técnicamente con su función: también se pregunta por qué hace lo que hace, cómo debe hacerlo y qué consecuencias puede tener su trabajo. Aun así, la relación entre beneficencia y autonomía no agota toda la dimensión ética de la profesión. El ejercicio profesional se desarrolla en un contexto social e institucional más amplio, y por ello el capítulo introduce el tercer principio rector: la justicia.</w:t>
      </w:r>
    </w:p>
    <w:p w14:paraId="21469BB5" w14:textId="77777777" w:rsidR="00D724B0" w:rsidRDefault="00D724B0" w:rsidP="00D724B0"/>
    <w:p w14:paraId="7F36E621" w14:textId="4CAE94F2" w:rsidR="00D724B0" w:rsidRDefault="00D724B0" w:rsidP="00D724B0">
      <w:pPr>
        <w:pStyle w:val="Ttulo1"/>
        <w:numPr>
          <w:ilvl w:val="0"/>
          <w:numId w:val="2"/>
        </w:numPr>
      </w:pPr>
      <w:r>
        <w:t>El principio de justicia</w:t>
      </w:r>
    </w:p>
    <w:p w14:paraId="1EA16739" w14:textId="6094DD6F" w:rsidR="00D724B0" w:rsidRDefault="00D724B0" w:rsidP="00D724B0">
      <w:r>
        <w:t xml:space="preserve">El principio de justicia aparece en el capítulo como el criterio que permite equilibrar la beneficencia y la autonomía dentro del contexto social más amplio de la práctica profesional. El texto muestra que beneficencia y autonomía, tomadas por separado, pueden derivar en paternalismo o en anarquía; por ello, la justicia cumple una función mediadora. La actividad profesional se desarrolla en un medio social donde existen distintas demandas, recursos limitados y </w:t>
      </w:r>
      <w:r>
        <w:lastRenderedPageBreak/>
        <w:t>decisiones que afectan no solo al profesional y al cliente, sino también a otros actores e instituciones. En este marco, la justicia exige una distribución racional y equitativa, y añade a la relación profesional un tercer sujeto: el responsable político o institucional, encargado de armonizar necesidades y recursos.</w:t>
      </w:r>
    </w:p>
    <w:p w14:paraId="61315259" w14:textId="2CD03C62" w:rsidR="00D724B0" w:rsidRDefault="00D724B0" w:rsidP="00D724B0">
      <w:r>
        <w:t>Para profundizar en este principio, el capítulo recoge varias tradiciones interpretativas de la justicia. La tradición clásica destaca el carácter social del ser humano y subraya que toda actuación profesional tiene repercusiones en un contexto determinado. La tradición liberal utilitarista toma como referencia la utilidad social y sostiene que el beneficio colectivo puede, en ciertos casos, prevalecer sobre intereses particulares. La tradición liberal contractualista, vinculada a Rawls, insiste en la equidad y la imparcialidad, rechazando privilegios injustificados y defendiendo distribuciones que beneficien especialmente a los menos favorecidos. Finalmente, la tradición socialista subraya la igualdad y la necesidad de evitar monopolios y privilegios que transformen el bien específico de un ámbito profesional en una forma de poder injusto. Estas perspectivas permiten comprender que la justicia no se reduce a una sola fórmula, sino que exige considerar la distribución de cargas, beneficios y responsabilidades de manera razonable.</w:t>
      </w:r>
    </w:p>
    <w:p w14:paraId="3588580A" w14:textId="77777777" w:rsidR="00D724B0" w:rsidRDefault="00D724B0" w:rsidP="00D724B0"/>
    <w:p w14:paraId="4F7D7A41" w14:textId="6C4A8051" w:rsidR="00D724B0" w:rsidRDefault="00D724B0" w:rsidP="00D724B0">
      <w:pPr>
        <w:pStyle w:val="Ttulo1"/>
        <w:numPr>
          <w:ilvl w:val="0"/>
          <w:numId w:val="2"/>
        </w:numPr>
      </w:pPr>
      <w:r>
        <w:t>Los errores del diálogo profesional</w:t>
      </w:r>
    </w:p>
    <w:p w14:paraId="61D1FC1A" w14:textId="3D0C5086" w:rsidR="00D724B0" w:rsidRDefault="00D724B0" w:rsidP="00D724B0">
      <w:r>
        <w:t>A partir de estos principios, el capítulo explica que el ejercicio adecuado de la profesión requiere el diálogo entre tres protagonistas: el experto, vinculado a la beneficencia; el cliente o usuario, relacionado con la autonomía; y el responsable de la globalidad, asociado a la justicia. Cuando uno de estos interlocutores es excluido, la práctica profesional se deforma y aparecen errores en el diálogo ético. El texto identifica especialmente tres: el paternalismo, la anarquía y la demagogia.</w:t>
      </w:r>
    </w:p>
    <w:p w14:paraId="4FC150AE" w14:textId="77777777" w:rsidR="00D724B0" w:rsidRDefault="00D724B0" w:rsidP="00D724B0">
      <w:r>
        <w:t xml:space="preserve">El paternalismo se produce cuando el profesional impone su criterio técnico “por el bien” del usuario y anula su capacidad de decisión. En este caso, la beneficencia se ejerce sin autonomía. La anarquía aparece cuando el acuerdo se da solo entre experto y cliente, sin tener en cuenta a los responsables institucionales o políticos ni el bien común. Aquí beneficencia y autonomía dialogan, pero la justicia queda ausente, lo que puede favorecer intereses particulares mientras se perjudica a la organización o a la sociedad. La demagogia, por su parte, ocurre cuando las decisiones se toman atendiendo únicamente a la presión de clientes y responsables institucionales, sin valorar suficientemente el criterio técnico del profesional. En este caso, la autonomía y la justicia se imponen sin beneficencia, lo que puede originar soluciones </w:t>
      </w:r>
      <w:r>
        <w:lastRenderedPageBreak/>
        <w:t>deficientes o peligrosas. Estos errores muestran que una práctica profesional ética no puede prescindir de ninguno de los tres principios.</w:t>
      </w:r>
    </w:p>
    <w:p w14:paraId="4640F7E1" w14:textId="77777777" w:rsidR="00D724B0" w:rsidRDefault="00D724B0" w:rsidP="00D724B0"/>
    <w:p w14:paraId="4E664AA0" w14:textId="5D90EA36" w:rsidR="00D724B0" w:rsidRDefault="00D724B0" w:rsidP="00D724B0">
      <w:pPr>
        <w:pStyle w:val="Ttulo1"/>
        <w:numPr>
          <w:ilvl w:val="0"/>
          <w:numId w:val="2"/>
        </w:numPr>
      </w:pPr>
      <w:r>
        <w:t>Algunos peligros de la actividad profesional</w:t>
      </w:r>
    </w:p>
    <w:p w14:paraId="37F914DA" w14:textId="1B75F269" w:rsidR="00D724B0" w:rsidRDefault="00D724B0" w:rsidP="00D724B0">
      <w:r>
        <w:t>Finalmente, el capítulo advierte que la actividad profesional también puede verse amenazada por ciertas desviaciones estructurales. Entre ellas destacan la corrupción, el corporativismo y las tendencias tecnocráticas. La corrupción aparece cuando el profesional sustituye los bienes internos de su actividad —servicio, responsabilidad, bien del usuario y de la sociedad— por bienes externos, como dinero, poder o prestigio. En ese momento, la profesión pierde su orientación moral y se debilita su legitimidad social. El texto muestra que la corrupción no solo afecta a individuos concretos, sino que daña la confianza pública en toda la profesión.</w:t>
      </w:r>
    </w:p>
    <w:p w14:paraId="3FC8FE43" w14:textId="69A1BD7E" w:rsidR="00D724B0" w:rsidRDefault="00D724B0" w:rsidP="00D724B0">
      <w:r>
        <w:t>El corporativismo consiste en la tendencia abusiva de un grupo profesional a defender sus propios intereses por encima del bien social. Esto puede manifestarse cuando el colectivo antepone privilegios, encubre comportamientos incorrectos o dificulta la sanción de prácticas inmorales para proteger su imagen. Por su parte, las tendencias tecnocráticas se presentan cuando el experto pretende imponer su criterio exclusivamente en nombre de la eficacia técnica, ignorando dimensiones sociales, políticas o morales. En ese caso, la beneficencia técnica se absolutiza y termina desplazando tanto la autonomía de las personas como las exigencias de la justicia. Estos peligros muestran que la excelencia profesional no puede definirse solo por la competencia técnica, sino también por la capacidad de mantener vivo el sentido ético de la profesión.</w:t>
      </w:r>
    </w:p>
    <w:p w14:paraId="49154FDF" w14:textId="77777777" w:rsidR="00D724B0" w:rsidRDefault="00D724B0" w:rsidP="00D724B0"/>
    <w:p w14:paraId="67EE4EAF" w14:textId="77777777" w:rsidR="00D724B0" w:rsidRDefault="00D724B0" w:rsidP="00D724B0"/>
    <w:p w14:paraId="02E5A142" w14:textId="77777777" w:rsidR="00D724B0" w:rsidRDefault="00D724B0" w:rsidP="00D724B0"/>
    <w:p w14:paraId="3A8F102F" w14:textId="77777777" w:rsidR="00D724B0" w:rsidRDefault="00D724B0" w:rsidP="00D724B0"/>
    <w:p w14:paraId="6FD53620" w14:textId="77777777" w:rsidR="00D724B0" w:rsidRDefault="00D724B0" w:rsidP="00D724B0"/>
    <w:p w14:paraId="11A9AE34" w14:textId="77777777" w:rsidR="00D724B0" w:rsidRDefault="00D724B0" w:rsidP="00D724B0"/>
    <w:p w14:paraId="724F278D" w14:textId="77777777" w:rsidR="00D724B0" w:rsidRDefault="00D724B0" w:rsidP="00D724B0"/>
    <w:p w14:paraId="4D268847" w14:textId="77777777" w:rsidR="00D724B0" w:rsidRDefault="00D724B0" w:rsidP="00D724B0"/>
    <w:p w14:paraId="6CB36BB8" w14:textId="77777777" w:rsidR="00D724B0" w:rsidRDefault="00D724B0" w:rsidP="00D724B0"/>
    <w:p w14:paraId="216AF452" w14:textId="77777777" w:rsidR="00D724B0" w:rsidRDefault="00D724B0" w:rsidP="00D724B0"/>
    <w:p w14:paraId="6CCD6ABF" w14:textId="7439B9F5" w:rsidR="00D724B0" w:rsidRDefault="00D724B0" w:rsidP="00D724B0">
      <w:pPr>
        <w:pStyle w:val="Ttulo1"/>
      </w:pPr>
      <w:r>
        <w:lastRenderedPageBreak/>
        <w:t>Conclusión</w:t>
      </w:r>
    </w:p>
    <w:p w14:paraId="68F31292" w14:textId="19A4FCB9" w:rsidR="00D724B0" w:rsidRPr="00552199" w:rsidRDefault="00D724B0" w:rsidP="00D724B0">
      <w:r w:rsidRPr="00D724B0">
        <w:t>En conjunto, el capítulo 4 muestra que la ética profesional no es un añadido opcional al ejercicio técnico, sino una dimensión esencial de toda profesión. Primero, explica que la profesión posee un sentido social y moral que obliga a comprenderla como una ética aplicada. Luego, desarrolla los principios de beneficencia, autonomía y justicia como criterios fundamentales para orientar la práctica profesional. Finalmente, advierte que cuando estos principios no se articulan de manera adecuada, aparecen errores y desviaciones que deterioran tanto la legitimidad social de la profesión como la calidad moral de su ejercicio. De este modo, el capítulo propone una visión integradora de la ética profesional, en la que el conocimiento técnico debe ponerse al servicio del bien, del respeto a las personas y de la justicia social.</w:t>
      </w:r>
    </w:p>
    <w:sectPr w:rsidR="00D724B0" w:rsidRPr="00552199" w:rsidSect="00DD476D">
      <w:footerReference w:type="default" r:id="rId9"/>
      <w:pgSz w:w="12240" w:h="15840"/>
      <w:pgMar w:top="1134" w:right="144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F5171" w14:textId="77777777" w:rsidR="003A1C87" w:rsidRDefault="003A1C87">
      <w:pPr>
        <w:spacing w:after="0" w:line="240" w:lineRule="auto"/>
      </w:pPr>
      <w:r>
        <w:separator/>
      </w:r>
    </w:p>
  </w:endnote>
  <w:endnote w:type="continuationSeparator" w:id="0">
    <w:p w14:paraId="5141F0B6" w14:textId="77777777" w:rsidR="003A1C87" w:rsidRDefault="003A1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F1D0" w14:textId="77777777" w:rsidR="001B7405" w:rsidRDefault="00000000">
    <w:pPr>
      <w:pStyle w:val="Piedepgina"/>
    </w:pPr>
    <w:r>
      <w:rPr>
        <w:noProof/>
      </w:rPr>
      <w:drawing>
        <wp:anchor distT="0" distB="0" distL="114300" distR="114300" simplePos="0" relativeHeight="251659264" behindDoc="0" locked="0" layoutInCell="1" allowOverlap="1" wp14:anchorId="64A594B9" wp14:editId="3F477CE3">
          <wp:simplePos x="0" y="0"/>
          <wp:positionH relativeFrom="column">
            <wp:posOffset>5676523</wp:posOffset>
          </wp:positionH>
          <wp:positionV relativeFrom="paragraph">
            <wp:posOffset>158945</wp:posOffset>
          </wp:positionV>
          <wp:extent cx="925394" cy="242916"/>
          <wp:effectExtent l="0" t="0" r="8255" b="5080"/>
          <wp:wrapThrough wrapText="bothSides">
            <wp:wrapPolygon edited="0">
              <wp:start x="0" y="0"/>
              <wp:lineTo x="0" y="20356"/>
              <wp:lineTo x="21348" y="20356"/>
              <wp:lineTo x="21348" y="0"/>
              <wp:lineTo x="0" y="0"/>
            </wp:wrapPolygon>
          </wp:wrapThrough>
          <wp:docPr id="7836854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85489" name="Imagen 783685489"/>
                  <pic:cNvPicPr/>
                </pic:nvPicPr>
                <pic:blipFill>
                  <a:blip r:embed="rId1">
                    <a:extLst>
                      <a:ext uri="{28A0092B-C50C-407E-A947-70E740481C1C}">
                        <a14:useLocalDpi xmlns:a14="http://schemas.microsoft.com/office/drawing/2010/main" val="0"/>
                      </a:ext>
                    </a:extLst>
                  </a:blip>
                  <a:stretch>
                    <a:fillRect/>
                  </a:stretch>
                </pic:blipFill>
                <pic:spPr>
                  <a:xfrm>
                    <a:off x="0" y="0"/>
                    <a:ext cx="925394" cy="242916"/>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7C317" w14:textId="77777777" w:rsidR="003A1C87" w:rsidRDefault="003A1C87">
      <w:pPr>
        <w:spacing w:after="0" w:line="240" w:lineRule="auto"/>
      </w:pPr>
      <w:r>
        <w:separator/>
      </w:r>
    </w:p>
  </w:footnote>
  <w:footnote w:type="continuationSeparator" w:id="0">
    <w:p w14:paraId="1E674D4E" w14:textId="77777777" w:rsidR="003A1C87" w:rsidRDefault="003A1C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7747A"/>
    <w:multiLevelType w:val="hybridMultilevel"/>
    <w:tmpl w:val="02B2CCEC"/>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60973A42"/>
    <w:multiLevelType w:val="hybridMultilevel"/>
    <w:tmpl w:val="5C48B9A8"/>
    <w:lvl w:ilvl="0" w:tplc="321E1FCC">
      <w:start w:val="1"/>
      <w:numFmt w:val="decimal"/>
      <w:lvlText w:val="%1."/>
      <w:lvlJc w:val="left"/>
      <w:pPr>
        <w:ind w:left="1069" w:hanging="360"/>
      </w:pPr>
      <w:rPr>
        <w:rFonts w:hint="default"/>
      </w:rPr>
    </w:lvl>
    <w:lvl w:ilvl="1" w:tplc="100A0019" w:tentative="1">
      <w:start w:val="1"/>
      <w:numFmt w:val="lowerLetter"/>
      <w:lvlText w:val="%2."/>
      <w:lvlJc w:val="left"/>
      <w:pPr>
        <w:ind w:left="1789" w:hanging="360"/>
      </w:pPr>
    </w:lvl>
    <w:lvl w:ilvl="2" w:tplc="100A001B" w:tentative="1">
      <w:start w:val="1"/>
      <w:numFmt w:val="lowerRoman"/>
      <w:lvlText w:val="%3."/>
      <w:lvlJc w:val="right"/>
      <w:pPr>
        <w:ind w:left="2509" w:hanging="180"/>
      </w:pPr>
    </w:lvl>
    <w:lvl w:ilvl="3" w:tplc="100A000F" w:tentative="1">
      <w:start w:val="1"/>
      <w:numFmt w:val="decimal"/>
      <w:lvlText w:val="%4."/>
      <w:lvlJc w:val="left"/>
      <w:pPr>
        <w:ind w:left="3229" w:hanging="360"/>
      </w:pPr>
    </w:lvl>
    <w:lvl w:ilvl="4" w:tplc="100A0019" w:tentative="1">
      <w:start w:val="1"/>
      <w:numFmt w:val="lowerLetter"/>
      <w:lvlText w:val="%5."/>
      <w:lvlJc w:val="left"/>
      <w:pPr>
        <w:ind w:left="3949" w:hanging="360"/>
      </w:pPr>
    </w:lvl>
    <w:lvl w:ilvl="5" w:tplc="100A001B" w:tentative="1">
      <w:start w:val="1"/>
      <w:numFmt w:val="lowerRoman"/>
      <w:lvlText w:val="%6."/>
      <w:lvlJc w:val="right"/>
      <w:pPr>
        <w:ind w:left="4669" w:hanging="180"/>
      </w:pPr>
    </w:lvl>
    <w:lvl w:ilvl="6" w:tplc="100A000F" w:tentative="1">
      <w:start w:val="1"/>
      <w:numFmt w:val="decimal"/>
      <w:lvlText w:val="%7."/>
      <w:lvlJc w:val="left"/>
      <w:pPr>
        <w:ind w:left="5389" w:hanging="360"/>
      </w:pPr>
    </w:lvl>
    <w:lvl w:ilvl="7" w:tplc="100A0019" w:tentative="1">
      <w:start w:val="1"/>
      <w:numFmt w:val="lowerLetter"/>
      <w:lvlText w:val="%8."/>
      <w:lvlJc w:val="left"/>
      <w:pPr>
        <w:ind w:left="6109" w:hanging="360"/>
      </w:pPr>
    </w:lvl>
    <w:lvl w:ilvl="8" w:tplc="100A001B" w:tentative="1">
      <w:start w:val="1"/>
      <w:numFmt w:val="lowerRoman"/>
      <w:lvlText w:val="%9."/>
      <w:lvlJc w:val="right"/>
      <w:pPr>
        <w:ind w:left="6829" w:hanging="180"/>
      </w:pPr>
    </w:lvl>
  </w:abstractNum>
  <w:num w:numId="1" w16cid:durableId="1293441756">
    <w:abstractNumId w:val="0"/>
  </w:num>
  <w:num w:numId="2" w16cid:durableId="1929650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003"/>
    <w:rsid w:val="00054692"/>
    <w:rsid w:val="000D0E4D"/>
    <w:rsid w:val="000D429A"/>
    <w:rsid w:val="000F574B"/>
    <w:rsid w:val="001301B5"/>
    <w:rsid w:val="001715F5"/>
    <w:rsid w:val="001B7405"/>
    <w:rsid w:val="002628E0"/>
    <w:rsid w:val="00284360"/>
    <w:rsid w:val="00292CF3"/>
    <w:rsid w:val="00311EC7"/>
    <w:rsid w:val="00383875"/>
    <w:rsid w:val="003A1C87"/>
    <w:rsid w:val="00501515"/>
    <w:rsid w:val="00552199"/>
    <w:rsid w:val="00625003"/>
    <w:rsid w:val="006D5F3F"/>
    <w:rsid w:val="00726C08"/>
    <w:rsid w:val="00822ABF"/>
    <w:rsid w:val="008B2A58"/>
    <w:rsid w:val="009172C1"/>
    <w:rsid w:val="00982CB3"/>
    <w:rsid w:val="009A56E7"/>
    <w:rsid w:val="00BA5C19"/>
    <w:rsid w:val="00C20A2C"/>
    <w:rsid w:val="00C501D3"/>
    <w:rsid w:val="00C63E38"/>
    <w:rsid w:val="00C649FB"/>
    <w:rsid w:val="00C673B5"/>
    <w:rsid w:val="00D0119F"/>
    <w:rsid w:val="00D61BE7"/>
    <w:rsid w:val="00D724B0"/>
    <w:rsid w:val="00DD476D"/>
    <w:rsid w:val="00E36952"/>
    <w:rsid w:val="00F8188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84AA7"/>
  <w15:chartTrackingRefBased/>
  <w15:docId w15:val="{6435408F-1477-4514-A0EB-74AD88D05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es-GT" w:eastAsia="en-US" w:bidi="ar-SA"/>
        <w14:ligatures w14:val="standardContextual"/>
      </w:rPr>
    </w:rPrDefault>
    <w:pPrDefault>
      <w:pPr>
        <w:spacing w:after="160" w:line="276" w:lineRule="auto"/>
        <w:ind w:left="709"/>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74B"/>
    <w:pPr>
      <w:ind w:firstLine="709"/>
      <w:jc w:val="both"/>
    </w:pPr>
    <w:rPr>
      <w:rFonts w:ascii="Arial" w:eastAsiaTheme="minorHAnsi" w:hAnsi="Arial"/>
    </w:rPr>
  </w:style>
  <w:style w:type="paragraph" w:styleId="Ttulo1">
    <w:name w:val="heading 1"/>
    <w:basedOn w:val="Normal"/>
    <w:next w:val="Normal"/>
    <w:link w:val="Ttulo1Car"/>
    <w:uiPriority w:val="9"/>
    <w:qFormat/>
    <w:rsid w:val="000F574B"/>
    <w:pPr>
      <w:keepNext/>
      <w:keepLines/>
      <w:spacing w:before="360" w:after="80"/>
      <w:ind w:firstLine="0"/>
      <w:jc w:val="center"/>
      <w:outlineLvl w:val="0"/>
    </w:pPr>
    <w:rPr>
      <w:rFonts w:eastAsiaTheme="majorEastAsia" w:cstheme="majorBidi"/>
      <w:b/>
      <w:color w:val="000000" w:themeColor="text1"/>
      <w:kern w:val="0"/>
      <w:szCs w:val="40"/>
      <w:lang w:eastAsia="es-GT"/>
      <w14:ligatures w14:val="none"/>
    </w:rPr>
  </w:style>
  <w:style w:type="paragraph" w:styleId="Ttulo2">
    <w:name w:val="heading 2"/>
    <w:basedOn w:val="Normal"/>
    <w:next w:val="Normal"/>
    <w:link w:val="Ttulo2Car"/>
    <w:uiPriority w:val="9"/>
    <w:unhideWhenUsed/>
    <w:qFormat/>
    <w:rsid w:val="000F574B"/>
    <w:pPr>
      <w:keepNext/>
      <w:keepLines/>
      <w:spacing w:before="160" w:after="80"/>
      <w:ind w:firstLine="0"/>
      <w:outlineLvl w:val="1"/>
    </w:pPr>
    <w:rPr>
      <w:rFonts w:eastAsiaTheme="majorEastAsia" w:cstheme="majorBidi"/>
      <w:b/>
      <w:color w:val="000000" w:themeColor="text1"/>
      <w:kern w:val="0"/>
      <w:szCs w:val="32"/>
      <w:lang w:eastAsia="es-GT"/>
      <w14:ligatures w14:val="none"/>
    </w:rPr>
  </w:style>
  <w:style w:type="paragraph" w:styleId="Ttulo3">
    <w:name w:val="heading 3"/>
    <w:basedOn w:val="Normal"/>
    <w:next w:val="Normal"/>
    <w:link w:val="Ttulo3Car"/>
    <w:uiPriority w:val="9"/>
    <w:semiHidden/>
    <w:unhideWhenUsed/>
    <w:qFormat/>
    <w:rsid w:val="00C649FB"/>
    <w:pPr>
      <w:keepNext/>
      <w:keepLines/>
      <w:spacing w:before="160" w:after="80"/>
      <w:outlineLvl w:val="2"/>
    </w:pPr>
    <w:rPr>
      <w:rFonts w:eastAsiaTheme="majorEastAsia" w:cstheme="majorBidi"/>
      <w:color w:val="2F5496" w:themeColor="accent1" w:themeShade="BF"/>
      <w:kern w:val="0"/>
      <w:sz w:val="28"/>
      <w:szCs w:val="28"/>
      <w:lang w:eastAsia="es-GT"/>
      <w14:ligatures w14:val="none"/>
    </w:rPr>
  </w:style>
  <w:style w:type="paragraph" w:styleId="Ttulo4">
    <w:name w:val="heading 4"/>
    <w:basedOn w:val="Normal"/>
    <w:next w:val="Normal"/>
    <w:link w:val="Ttulo4Car"/>
    <w:uiPriority w:val="9"/>
    <w:semiHidden/>
    <w:unhideWhenUsed/>
    <w:qFormat/>
    <w:rsid w:val="00C649FB"/>
    <w:pPr>
      <w:keepNext/>
      <w:keepLines/>
      <w:spacing w:before="80" w:after="40"/>
      <w:outlineLvl w:val="3"/>
    </w:pPr>
    <w:rPr>
      <w:rFonts w:eastAsiaTheme="majorEastAsia" w:cstheme="majorBidi"/>
      <w:i/>
      <w:iCs/>
      <w:color w:val="2F5496" w:themeColor="accent1" w:themeShade="BF"/>
      <w:kern w:val="0"/>
      <w:lang w:eastAsia="es-GT"/>
      <w14:ligatures w14:val="none"/>
    </w:rPr>
  </w:style>
  <w:style w:type="paragraph" w:styleId="Ttulo5">
    <w:name w:val="heading 5"/>
    <w:basedOn w:val="Normal"/>
    <w:next w:val="Normal"/>
    <w:link w:val="Ttulo5Car"/>
    <w:uiPriority w:val="9"/>
    <w:semiHidden/>
    <w:unhideWhenUsed/>
    <w:qFormat/>
    <w:rsid w:val="00C649FB"/>
    <w:pPr>
      <w:keepNext/>
      <w:keepLines/>
      <w:spacing w:before="80" w:after="40"/>
      <w:outlineLvl w:val="4"/>
    </w:pPr>
    <w:rPr>
      <w:rFonts w:eastAsiaTheme="majorEastAsia" w:cstheme="majorBidi"/>
      <w:color w:val="2F5496" w:themeColor="accent1" w:themeShade="BF"/>
      <w:kern w:val="0"/>
      <w:lang w:eastAsia="es-GT"/>
      <w14:ligatures w14:val="none"/>
    </w:rPr>
  </w:style>
  <w:style w:type="paragraph" w:styleId="Ttulo6">
    <w:name w:val="heading 6"/>
    <w:basedOn w:val="Normal"/>
    <w:next w:val="Normal"/>
    <w:link w:val="Ttulo6Car"/>
    <w:uiPriority w:val="9"/>
    <w:semiHidden/>
    <w:unhideWhenUsed/>
    <w:qFormat/>
    <w:rsid w:val="00C649FB"/>
    <w:pPr>
      <w:keepNext/>
      <w:keepLines/>
      <w:spacing w:before="40" w:after="0"/>
      <w:outlineLvl w:val="5"/>
    </w:pPr>
    <w:rPr>
      <w:rFonts w:eastAsiaTheme="majorEastAsia" w:cstheme="majorBidi"/>
      <w:i/>
      <w:iCs/>
      <w:color w:val="595959" w:themeColor="text1" w:themeTint="A6"/>
      <w:kern w:val="0"/>
      <w:lang w:eastAsia="es-GT"/>
      <w14:ligatures w14:val="none"/>
    </w:rPr>
  </w:style>
  <w:style w:type="paragraph" w:styleId="Ttulo7">
    <w:name w:val="heading 7"/>
    <w:basedOn w:val="Normal"/>
    <w:next w:val="Normal"/>
    <w:link w:val="Ttulo7Car"/>
    <w:uiPriority w:val="9"/>
    <w:semiHidden/>
    <w:unhideWhenUsed/>
    <w:qFormat/>
    <w:rsid w:val="00C649FB"/>
    <w:pPr>
      <w:keepNext/>
      <w:keepLines/>
      <w:spacing w:before="40" w:after="0"/>
      <w:outlineLvl w:val="6"/>
    </w:pPr>
    <w:rPr>
      <w:rFonts w:eastAsiaTheme="majorEastAsia" w:cstheme="majorBidi"/>
      <w:color w:val="595959" w:themeColor="text1" w:themeTint="A6"/>
      <w:kern w:val="0"/>
      <w:lang w:eastAsia="es-GT"/>
      <w14:ligatures w14:val="none"/>
    </w:rPr>
  </w:style>
  <w:style w:type="paragraph" w:styleId="Ttulo8">
    <w:name w:val="heading 8"/>
    <w:basedOn w:val="Normal"/>
    <w:next w:val="Normal"/>
    <w:link w:val="Ttulo8Car"/>
    <w:uiPriority w:val="9"/>
    <w:semiHidden/>
    <w:unhideWhenUsed/>
    <w:qFormat/>
    <w:rsid w:val="00C649FB"/>
    <w:pPr>
      <w:keepNext/>
      <w:keepLines/>
      <w:spacing w:after="0"/>
      <w:outlineLvl w:val="7"/>
    </w:pPr>
    <w:rPr>
      <w:rFonts w:eastAsiaTheme="majorEastAsia" w:cstheme="majorBidi"/>
      <w:i/>
      <w:iCs/>
      <w:color w:val="272727" w:themeColor="text1" w:themeTint="D8"/>
      <w:kern w:val="0"/>
      <w:lang w:eastAsia="es-GT"/>
      <w14:ligatures w14:val="none"/>
    </w:rPr>
  </w:style>
  <w:style w:type="paragraph" w:styleId="Ttulo9">
    <w:name w:val="heading 9"/>
    <w:basedOn w:val="Normal"/>
    <w:next w:val="Normal"/>
    <w:link w:val="Ttulo9Car"/>
    <w:uiPriority w:val="9"/>
    <w:semiHidden/>
    <w:unhideWhenUsed/>
    <w:qFormat/>
    <w:rsid w:val="00C649FB"/>
    <w:pPr>
      <w:keepNext/>
      <w:keepLines/>
      <w:spacing w:after="0"/>
      <w:outlineLvl w:val="8"/>
    </w:pPr>
    <w:rPr>
      <w:rFonts w:eastAsiaTheme="majorEastAsia" w:cstheme="majorBidi"/>
      <w:color w:val="272727" w:themeColor="text1" w:themeTint="D8"/>
      <w:kern w:val="0"/>
      <w:lang w:eastAsia="es-GT"/>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574B"/>
    <w:rPr>
      <w:rFonts w:ascii="Arial" w:eastAsiaTheme="majorEastAsia" w:hAnsi="Arial" w:cstheme="majorBidi"/>
      <w:b/>
      <w:color w:val="000000" w:themeColor="text1"/>
      <w:kern w:val="0"/>
      <w:szCs w:val="40"/>
      <w:lang w:eastAsia="es-GT"/>
      <w14:ligatures w14:val="none"/>
    </w:rPr>
  </w:style>
  <w:style w:type="character" w:customStyle="1" w:styleId="Ttulo2Car">
    <w:name w:val="Título 2 Car"/>
    <w:basedOn w:val="Fuentedeprrafopredeter"/>
    <w:link w:val="Ttulo2"/>
    <w:uiPriority w:val="9"/>
    <w:rsid w:val="000F574B"/>
    <w:rPr>
      <w:rFonts w:ascii="Arial" w:eastAsiaTheme="majorEastAsia" w:hAnsi="Arial" w:cstheme="majorBidi"/>
      <w:b/>
      <w:color w:val="000000" w:themeColor="text1"/>
      <w:kern w:val="0"/>
      <w:szCs w:val="32"/>
      <w:lang w:eastAsia="es-GT"/>
      <w14:ligatures w14:val="none"/>
    </w:rPr>
  </w:style>
  <w:style w:type="paragraph" w:customStyle="1" w:styleId="Ttulo30">
    <w:name w:val="Título3"/>
    <w:basedOn w:val="Normal"/>
    <w:link w:val="Ttulo3Car0"/>
    <w:qFormat/>
    <w:rsid w:val="000F574B"/>
    <w:pPr>
      <w:ind w:firstLine="0"/>
      <w:outlineLvl w:val="2"/>
    </w:pPr>
    <w:rPr>
      <w:rFonts w:eastAsia="Calibri" w:cs="Calibri"/>
      <w:b/>
      <w:i/>
      <w:color w:val="000000" w:themeColor="text1"/>
      <w:kern w:val="0"/>
      <w:lang w:eastAsia="es-GT"/>
      <w14:ligatures w14:val="none"/>
    </w:rPr>
  </w:style>
  <w:style w:type="character" w:customStyle="1" w:styleId="Ttulo3Car0">
    <w:name w:val="Título3 Car"/>
    <w:basedOn w:val="Fuentedeprrafopredeter"/>
    <w:link w:val="Ttulo30"/>
    <w:rsid w:val="000F574B"/>
    <w:rPr>
      <w:rFonts w:ascii="Arial" w:hAnsi="Arial" w:cs="Calibri"/>
      <w:b/>
      <w:i/>
      <w:color w:val="000000" w:themeColor="text1"/>
      <w:kern w:val="0"/>
      <w:lang w:eastAsia="es-GT"/>
      <w14:ligatures w14:val="none"/>
    </w:rPr>
  </w:style>
  <w:style w:type="character" w:customStyle="1" w:styleId="Ttulo3Car">
    <w:name w:val="Título 3 Car"/>
    <w:basedOn w:val="Fuentedeprrafopredeter"/>
    <w:link w:val="Ttulo3"/>
    <w:uiPriority w:val="9"/>
    <w:semiHidden/>
    <w:rsid w:val="00C649FB"/>
    <w:rPr>
      <w:rFonts w:eastAsiaTheme="majorEastAsia" w:cstheme="majorBidi"/>
      <w:color w:val="2F5496" w:themeColor="accent1" w:themeShade="BF"/>
      <w:kern w:val="0"/>
      <w:sz w:val="28"/>
      <w:szCs w:val="28"/>
      <w:lang w:eastAsia="es-GT"/>
      <w14:ligatures w14:val="none"/>
    </w:rPr>
  </w:style>
  <w:style w:type="character" w:customStyle="1" w:styleId="Ttulo4Car">
    <w:name w:val="Título 4 Car"/>
    <w:basedOn w:val="Fuentedeprrafopredeter"/>
    <w:link w:val="Ttulo4"/>
    <w:uiPriority w:val="9"/>
    <w:semiHidden/>
    <w:rsid w:val="00C649FB"/>
    <w:rPr>
      <w:rFonts w:eastAsiaTheme="majorEastAsia" w:cstheme="majorBidi"/>
      <w:i/>
      <w:iCs/>
      <w:color w:val="2F5496" w:themeColor="accent1" w:themeShade="BF"/>
      <w:kern w:val="0"/>
      <w:lang w:eastAsia="es-GT"/>
      <w14:ligatures w14:val="none"/>
    </w:rPr>
  </w:style>
  <w:style w:type="character" w:customStyle="1" w:styleId="Ttulo5Car">
    <w:name w:val="Título 5 Car"/>
    <w:basedOn w:val="Fuentedeprrafopredeter"/>
    <w:link w:val="Ttulo5"/>
    <w:uiPriority w:val="9"/>
    <w:semiHidden/>
    <w:rsid w:val="00C649FB"/>
    <w:rPr>
      <w:rFonts w:eastAsiaTheme="majorEastAsia" w:cstheme="majorBidi"/>
      <w:color w:val="2F5496" w:themeColor="accent1" w:themeShade="BF"/>
      <w:kern w:val="0"/>
      <w:lang w:eastAsia="es-GT"/>
      <w14:ligatures w14:val="none"/>
    </w:rPr>
  </w:style>
  <w:style w:type="character" w:customStyle="1" w:styleId="Ttulo6Car">
    <w:name w:val="Título 6 Car"/>
    <w:basedOn w:val="Fuentedeprrafopredeter"/>
    <w:link w:val="Ttulo6"/>
    <w:uiPriority w:val="9"/>
    <w:semiHidden/>
    <w:rsid w:val="00C649FB"/>
    <w:rPr>
      <w:rFonts w:eastAsiaTheme="majorEastAsia" w:cstheme="majorBidi"/>
      <w:i/>
      <w:iCs/>
      <w:color w:val="595959" w:themeColor="text1" w:themeTint="A6"/>
      <w:kern w:val="0"/>
      <w:lang w:eastAsia="es-GT"/>
      <w14:ligatures w14:val="none"/>
    </w:rPr>
  </w:style>
  <w:style w:type="character" w:customStyle="1" w:styleId="Ttulo7Car">
    <w:name w:val="Título 7 Car"/>
    <w:basedOn w:val="Fuentedeprrafopredeter"/>
    <w:link w:val="Ttulo7"/>
    <w:uiPriority w:val="9"/>
    <w:semiHidden/>
    <w:rsid w:val="00C649FB"/>
    <w:rPr>
      <w:rFonts w:eastAsiaTheme="majorEastAsia" w:cstheme="majorBidi"/>
      <w:color w:val="595959" w:themeColor="text1" w:themeTint="A6"/>
      <w:kern w:val="0"/>
      <w:lang w:eastAsia="es-GT"/>
      <w14:ligatures w14:val="none"/>
    </w:rPr>
  </w:style>
  <w:style w:type="character" w:customStyle="1" w:styleId="Ttulo8Car">
    <w:name w:val="Título 8 Car"/>
    <w:basedOn w:val="Fuentedeprrafopredeter"/>
    <w:link w:val="Ttulo8"/>
    <w:uiPriority w:val="9"/>
    <w:semiHidden/>
    <w:rsid w:val="00C649FB"/>
    <w:rPr>
      <w:rFonts w:eastAsiaTheme="majorEastAsia" w:cstheme="majorBidi"/>
      <w:i/>
      <w:iCs/>
      <w:color w:val="272727" w:themeColor="text1" w:themeTint="D8"/>
      <w:kern w:val="0"/>
      <w:lang w:eastAsia="es-GT"/>
      <w14:ligatures w14:val="none"/>
    </w:rPr>
  </w:style>
  <w:style w:type="character" w:customStyle="1" w:styleId="Ttulo9Car">
    <w:name w:val="Título 9 Car"/>
    <w:basedOn w:val="Fuentedeprrafopredeter"/>
    <w:link w:val="Ttulo9"/>
    <w:uiPriority w:val="9"/>
    <w:semiHidden/>
    <w:rsid w:val="00C649FB"/>
    <w:rPr>
      <w:rFonts w:eastAsiaTheme="majorEastAsia" w:cstheme="majorBidi"/>
      <w:color w:val="272727" w:themeColor="text1" w:themeTint="D8"/>
      <w:kern w:val="0"/>
      <w:lang w:eastAsia="es-GT"/>
      <w14:ligatures w14:val="none"/>
    </w:rPr>
  </w:style>
  <w:style w:type="paragraph" w:styleId="Ttulo">
    <w:name w:val="Title"/>
    <w:basedOn w:val="Normal"/>
    <w:next w:val="Normal"/>
    <w:link w:val="TtuloCar"/>
    <w:uiPriority w:val="10"/>
    <w:qFormat/>
    <w:rsid w:val="00C649FB"/>
    <w:pPr>
      <w:spacing w:after="80" w:line="240" w:lineRule="auto"/>
      <w:contextualSpacing/>
    </w:pPr>
    <w:rPr>
      <w:rFonts w:asciiTheme="majorHAnsi" w:eastAsiaTheme="majorEastAsia" w:hAnsiTheme="majorHAnsi" w:cstheme="majorBidi"/>
      <w:spacing w:val="-10"/>
      <w:kern w:val="28"/>
      <w:sz w:val="56"/>
      <w:szCs w:val="56"/>
      <w:lang w:eastAsia="es-GT"/>
      <w14:ligatures w14:val="none"/>
    </w:rPr>
  </w:style>
  <w:style w:type="character" w:customStyle="1" w:styleId="TtuloCar">
    <w:name w:val="Título Car"/>
    <w:basedOn w:val="Fuentedeprrafopredeter"/>
    <w:link w:val="Ttulo"/>
    <w:uiPriority w:val="10"/>
    <w:rsid w:val="00C649FB"/>
    <w:rPr>
      <w:rFonts w:asciiTheme="majorHAnsi" w:eastAsiaTheme="majorEastAsia" w:hAnsiTheme="majorHAnsi" w:cstheme="majorBidi"/>
      <w:spacing w:val="-10"/>
      <w:kern w:val="28"/>
      <w:sz w:val="56"/>
      <w:szCs w:val="56"/>
      <w:lang w:eastAsia="es-GT"/>
      <w14:ligatures w14:val="none"/>
    </w:rPr>
  </w:style>
  <w:style w:type="paragraph" w:styleId="Subttulo">
    <w:name w:val="Subtitle"/>
    <w:basedOn w:val="Normal"/>
    <w:next w:val="Normal"/>
    <w:link w:val="SubttuloCar"/>
    <w:uiPriority w:val="11"/>
    <w:qFormat/>
    <w:rsid w:val="00C649FB"/>
    <w:pPr>
      <w:numPr>
        <w:ilvl w:val="1"/>
      </w:numPr>
      <w:ind w:left="709" w:firstLine="709"/>
    </w:pPr>
    <w:rPr>
      <w:rFonts w:eastAsiaTheme="majorEastAsia" w:cstheme="majorBidi"/>
      <w:color w:val="595959" w:themeColor="text1" w:themeTint="A6"/>
      <w:spacing w:val="15"/>
      <w:kern w:val="0"/>
      <w:sz w:val="28"/>
      <w:szCs w:val="28"/>
      <w:lang w:eastAsia="es-GT"/>
      <w14:ligatures w14:val="none"/>
    </w:rPr>
  </w:style>
  <w:style w:type="character" w:customStyle="1" w:styleId="SubttuloCar">
    <w:name w:val="Subtítulo Car"/>
    <w:basedOn w:val="Fuentedeprrafopredeter"/>
    <w:link w:val="Subttulo"/>
    <w:uiPriority w:val="11"/>
    <w:rsid w:val="00C649FB"/>
    <w:rPr>
      <w:rFonts w:eastAsiaTheme="majorEastAsia" w:cstheme="majorBidi"/>
      <w:color w:val="595959" w:themeColor="text1" w:themeTint="A6"/>
      <w:spacing w:val="15"/>
      <w:kern w:val="0"/>
      <w:sz w:val="28"/>
      <w:szCs w:val="28"/>
      <w:lang w:eastAsia="es-GT"/>
      <w14:ligatures w14:val="none"/>
    </w:rPr>
  </w:style>
  <w:style w:type="paragraph" w:styleId="Cita">
    <w:name w:val="Quote"/>
    <w:basedOn w:val="Normal"/>
    <w:next w:val="Normal"/>
    <w:link w:val="CitaCar"/>
    <w:uiPriority w:val="29"/>
    <w:qFormat/>
    <w:rsid w:val="00C649FB"/>
    <w:pPr>
      <w:spacing w:before="160"/>
      <w:jc w:val="center"/>
    </w:pPr>
    <w:rPr>
      <w:rFonts w:eastAsia="Calibri" w:cs="Calibri"/>
      <w:i/>
      <w:iCs/>
      <w:color w:val="404040" w:themeColor="text1" w:themeTint="BF"/>
      <w:kern w:val="0"/>
      <w:lang w:eastAsia="es-GT"/>
      <w14:ligatures w14:val="none"/>
    </w:rPr>
  </w:style>
  <w:style w:type="character" w:customStyle="1" w:styleId="CitaCar">
    <w:name w:val="Cita Car"/>
    <w:basedOn w:val="Fuentedeprrafopredeter"/>
    <w:link w:val="Cita"/>
    <w:uiPriority w:val="29"/>
    <w:rsid w:val="00C649FB"/>
    <w:rPr>
      <w:rFonts w:ascii="Times New Roman" w:hAnsi="Times New Roman" w:cs="Calibri"/>
      <w:i/>
      <w:iCs/>
      <w:color w:val="404040" w:themeColor="text1" w:themeTint="BF"/>
      <w:kern w:val="0"/>
      <w:lang w:eastAsia="es-GT"/>
      <w14:ligatures w14:val="none"/>
    </w:rPr>
  </w:style>
  <w:style w:type="paragraph" w:styleId="Prrafodelista">
    <w:name w:val="List Paragraph"/>
    <w:basedOn w:val="Normal"/>
    <w:uiPriority w:val="34"/>
    <w:qFormat/>
    <w:rsid w:val="00C649FB"/>
    <w:pPr>
      <w:ind w:left="720"/>
      <w:contextualSpacing/>
    </w:pPr>
    <w:rPr>
      <w:rFonts w:eastAsia="Calibri" w:cs="Calibri"/>
      <w:color w:val="000000" w:themeColor="text1"/>
      <w:kern w:val="0"/>
      <w:lang w:eastAsia="es-GT"/>
      <w14:ligatures w14:val="none"/>
    </w:rPr>
  </w:style>
  <w:style w:type="character" w:styleId="nfasisintenso">
    <w:name w:val="Intense Emphasis"/>
    <w:basedOn w:val="Fuentedeprrafopredeter"/>
    <w:uiPriority w:val="21"/>
    <w:qFormat/>
    <w:rsid w:val="00C649FB"/>
    <w:rPr>
      <w:i/>
      <w:iCs/>
      <w:color w:val="2F5496" w:themeColor="accent1" w:themeShade="BF"/>
    </w:rPr>
  </w:style>
  <w:style w:type="paragraph" w:styleId="Citadestacada">
    <w:name w:val="Intense Quote"/>
    <w:basedOn w:val="Normal"/>
    <w:next w:val="Normal"/>
    <w:link w:val="CitadestacadaCar"/>
    <w:uiPriority w:val="30"/>
    <w:qFormat/>
    <w:rsid w:val="00C649FB"/>
    <w:pPr>
      <w:pBdr>
        <w:top w:val="single" w:sz="4" w:space="10" w:color="2F5496" w:themeColor="accent1" w:themeShade="BF"/>
        <w:bottom w:val="single" w:sz="4" w:space="10" w:color="2F5496" w:themeColor="accent1" w:themeShade="BF"/>
      </w:pBdr>
      <w:spacing w:before="360" w:after="360"/>
      <w:ind w:left="864" w:right="864"/>
      <w:jc w:val="center"/>
    </w:pPr>
    <w:rPr>
      <w:rFonts w:eastAsia="Calibri" w:cs="Calibri"/>
      <w:i/>
      <w:iCs/>
      <w:color w:val="2F5496" w:themeColor="accent1" w:themeShade="BF"/>
      <w:kern w:val="0"/>
      <w:lang w:eastAsia="es-GT"/>
      <w14:ligatures w14:val="none"/>
    </w:rPr>
  </w:style>
  <w:style w:type="character" w:customStyle="1" w:styleId="CitadestacadaCar">
    <w:name w:val="Cita destacada Car"/>
    <w:basedOn w:val="Fuentedeprrafopredeter"/>
    <w:link w:val="Citadestacada"/>
    <w:uiPriority w:val="30"/>
    <w:rsid w:val="00C649FB"/>
    <w:rPr>
      <w:rFonts w:ascii="Times New Roman" w:hAnsi="Times New Roman" w:cs="Calibri"/>
      <w:i/>
      <w:iCs/>
      <w:color w:val="2F5496" w:themeColor="accent1" w:themeShade="BF"/>
      <w:kern w:val="0"/>
      <w:lang w:eastAsia="es-GT"/>
      <w14:ligatures w14:val="none"/>
    </w:rPr>
  </w:style>
  <w:style w:type="character" w:styleId="Referenciaintensa">
    <w:name w:val="Intense Reference"/>
    <w:basedOn w:val="Fuentedeprrafopredeter"/>
    <w:uiPriority w:val="32"/>
    <w:qFormat/>
    <w:rsid w:val="00C649FB"/>
    <w:rPr>
      <w:b/>
      <w:bCs/>
      <w:smallCaps/>
      <w:color w:val="2F5496" w:themeColor="accent1" w:themeShade="BF"/>
      <w:spacing w:val="5"/>
    </w:rPr>
  </w:style>
  <w:style w:type="paragraph" w:styleId="Piedepgina">
    <w:name w:val="footer"/>
    <w:basedOn w:val="Normal"/>
    <w:link w:val="PiedepginaCar"/>
    <w:uiPriority w:val="99"/>
    <w:unhideWhenUsed/>
    <w:rsid w:val="00C649F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C649FB"/>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sle\OneDrive\Documents\Plantillas%20personalizadas%20de%20Office\UME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48FAB-A758-4571-95F5-61E95DCFC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UMES</Template>
  <TotalTime>19</TotalTime>
  <Pages>8</Pages>
  <Words>2586</Words>
  <Characters>14224</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Wesley Cardona Castillo</dc:creator>
  <cp:keywords/>
  <dc:description/>
  <cp:lastModifiedBy>Wesley Cardona</cp:lastModifiedBy>
  <cp:revision>1</cp:revision>
  <dcterms:created xsi:type="dcterms:W3CDTF">2026-03-23T03:15:00Z</dcterms:created>
  <dcterms:modified xsi:type="dcterms:W3CDTF">2026-03-23T04:36:00Z</dcterms:modified>
</cp:coreProperties>
</file>