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493" w:rsidRDefault="00C76F0C" w:rsidP="00C76F0C">
      <w:pPr>
        <w:pStyle w:val="Ttulo"/>
        <w:jc w:val="center"/>
      </w:pPr>
      <w:r>
        <w:t>Uso de Smartphones para acessibilidade de pessoas com deficiência visual: um mapeamento sistemático do estado da técnica.</w:t>
      </w:r>
    </w:p>
    <w:p w:rsidR="00C76F0C" w:rsidRDefault="00C76F0C" w:rsidP="00C76F0C">
      <w:pPr>
        <w:jc w:val="center"/>
      </w:pPr>
    </w:p>
    <w:p w:rsidR="00C76F0C" w:rsidRDefault="00C76F0C" w:rsidP="00C76F0C">
      <w:pPr>
        <w:jc w:val="center"/>
      </w:pPr>
      <w:r>
        <w:t>Thales F. S. S. A. dos Santos</w:t>
      </w:r>
      <w:r>
        <w:tab/>
      </w:r>
      <w:r>
        <w:tab/>
      </w:r>
      <w:r>
        <w:tab/>
      </w:r>
      <w:r>
        <w:tab/>
        <w:t>Maria A. S. N. Nunes</w:t>
      </w:r>
    </w:p>
    <w:p w:rsidR="00C76F0C" w:rsidRDefault="00955DA6" w:rsidP="00955DA6">
      <w:pPr>
        <w:ind w:left="708"/>
      </w:pPr>
      <w:r>
        <w:t xml:space="preserve">       </w:t>
      </w:r>
      <w:r w:rsidR="00C76F0C">
        <w:t>thalesfssas@dcomp.ufs.br</w:t>
      </w:r>
      <w:r w:rsidR="00C76F0C">
        <w:tab/>
      </w:r>
      <w:r w:rsidR="00C76F0C">
        <w:tab/>
      </w:r>
      <w:r>
        <w:tab/>
      </w:r>
      <w:r>
        <w:tab/>
      </w:r>
      <w:r w:rsidR="00C76F0C">
        <w:t>guttanunes@gmail.com</w:t>
      </w:r>
    </w:p>
    <w:p w:rsidR="00C76F0C" w:rsidRDefault="00C76F0C" w:rsidP="00C76F0C">
      <w:pPr>
        <w:jc w:val="center"/>
      </w:pPr>
      <w:r>
        <w:t>Universidade Federal de Sergipe – Departamento de Computação</w:t>
      </w:r>
    </w:p>
    <w:p w:rsidR="00C76F0C" w:rsidRPr="00C76F0C" w:rsidRDefault="00C76F0C" w:rsidP="00C76F0C">
      <w:pPr>
        <w:jc w:val="center"/>
      </w:pPr>
      <w:r>
        <w:t xml:space="preserve">Av. Marechal Rondon, S/n, Jardim Rosa </w:t>
      </w:r>
      <w:proofErr w:type="spellStart"/>
      <w:r>
        <w:t>Elze</w:t>
      </w:r>
      <w:proofErr w:type="spellEnd"/>
      <w:r>
        <w:t xml:space="preserve"> – CEP 49100-000 São Cristóvão/SE - Brasil</w:t>
      </w:r>
    </w:p>
    <w:p w:rsidR="00396493" w:rsidRDefault="00396493"/>
    <w:p w:rsidR="00955DA6" w:rsidRDefault="00955DA6" w:rsidP="00396493">
      <w:pPr>
        <w:pStyle w:val="Subttulo"/>
        <w:sectPr w:rsidR="00955DA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96493" w:rsidRPr="00396493" w:rsidRDefault="00396493" w:rsidP="00396493">
      <w:pPr>
        <w:pStyle w:val="Subttulo"/>
      </w:pPr>
      <w:r w:rsidRPr="00396493">
        <w:t>Resumo</w:t>
      </w:r>
    </w:p>
    <w:p w:rsidR="00396493" w:rsidRDefault="00C76F0C" w:rsidP="00C76F0C">
      <w:pPr>
        <w:ind w:firstLine="567"/>
        <w:jc w:val="both"/>
      </w:pPr>
      <w:r>
        <w:t xml:space="preserve">Smartphones são aparelhos que estão em amplo uso pela população e podem ser facilmente aproveitados para acessibilidade, graças a seus recursos já disponibilizados ou por novos aplicativos ou tecnologias que façam uso de sua integração com esses aparelhos, deficientes visuais são 3.6% da população brasileira e precisam de tecnologias </w:t>
      </w:r>
      <w:proofErr w:type="spellStart"/>
      <w:r>
        <w:t>asssistivas</w:t>
      </w:r>
      <w:proofErr w:type="spellEnd"/>
      <w:r>
        <w:t xml:space="preserve"> para melhoria na qualidade de vida. Este mapeamento tem como objetivo verificar e sistematizar o que há de patentes que se utilizem de smartphones para a acessibilidade de pessoas com deficiência visual.</w:t>
      </w:r>
    </w:p>
    <w:p w:rsidR="008B7F6E" w:rsidRPr="008B7F6E" w:rsidRDefault="008B7F6E" w:rsidP="008B7F6E">
      <w:pPr>
        <w:pStyle w:val="Subttulo"/>
      </w:pPr>
      <w:r>
        <w:t>1 – Introdução</w:t>
      </w:r>
    </w:p>
    <w:p w:rsidR="00396493" w:rsidRDefault="00396493" w:rsidP="00A762EF">
      <w:pPr>
        <w:ind w:firstLine="567"/>
        <w:jc w:val="both"/>
      </w:pPr>
      <w:r>
        <w:t>O lançamento do iPhone em 2007 modificou o mercado dos smartphones, levando eles dos usuários avançados e executivos para o consumo em massa</w:t>
      </w:r>
      <w:r w:rsidR="00A762EF">
        <w:t>,</w:t>
      </w:r>
      <w:r w:rsidR="00C76F0C">
        <w:t xml:space="preserve"> em 2016 existiam 168 milhões de smartphones em uso no Brasil (MEIRELLES, 2016),</w:t>
      </w:r>
      <w:r w:rsidR="00A762EF">
        <w:t xml:space="preserve"> agora em 2017 praticamente todos os aparelhos celulares à venda no mercado são smartphones, que estão integrados ao dia a dia das pessoas, com todas suas inovações </w:t>
      </w:r>
      <w:r w:rsidR="00A762EF">
        <w:t>tecnológicas, sensores, microfones, câmeras, e toda tecnologia embarcada neste equipamento.</w:t>
      </w:r>
    </w:p>
    <w:p w:rsidR="00A762EF" w:rsidRDefault="00A762EF" w:rsidP="00A762EF">
      <w:pPr>
        <w:ind w:firstLine="567"/>
        <w:jc w:val="both"/>
      </w:pPr>
      <w:r>
        <w:t xml:space="preserve">Segundo o censo de 2013 </w:t>
      </w:r>
      <w:r w:rsidR="001C4F9F">
        <w:t>(</w:t>
      </w:r>
      <w:r w:rsidR="00C76F0C">
        <w:t>IBGE,</w:t>
      </w:r>
      <w:r w:rsidR="001C4F9F">
        <w:t xml:space="preserve"> </w:t>
      </w:r>
      <w:r>
        <w:t>2015), 3,6% da população Brasileira possui alguma deficiência visual, desta parcela da população 16% possuem um grau intenso ou muito intenso desta limitação.</w:t>
      </w:r>
      <w:r w:rsidR="0093606F">
        <w:t xml:space="preserve"> E</w:t>
      </w:r>
      <w:r w:rsidR="008B7F6E">
        <w:t xml:space="preserve"> graças a tecnologias de acessibilidade como leitores de tela, os smartphones podem ser facilmente utilizados por essas pessoas de forma tão efetiva como são usadas por pessoas sem deficiência visual.</w:t>
      </w:r>
    </w:p>
    <w:p w:rsidR="008B7F6E" w:rsidRDefault="008B7F6E" w:rsidP="00A762EF">
      <w:pPr>
        <w:ind w:firstLine="567"/>
        <w:jc w:val="both"/>
      </w:pPr>
      <w:r>
        <w:t>Em vista disto, este mapeamento sistemático tem como objetivo verificar e sistematizar o que há de patentes depositadas que se utilizem de smartphones para aumentar a acessibilidade para pessoas com deficiências visuais.</w:t>
      </w:r>
    </w:p>
    <w:p w:rsidR="008B7F6E" w:rsidRDefault="008B7F6E" w:rsidP="00A762EF">
      <w:pPr>
        <w:ind w:firstLine="567"/>
        <w:jc w:val="both"/>
      </w:pPr>
    </w:p>
    <w:p w:rsidR="00A762EF" w:rsidRDefault="008B7F6E" w:rsidP="008B7F6E">
      <w:pPr>
        <w:pStyle w:val="Subttulo"/>
      </w:pPr>
      <w:r>
        <w:t>2 – Metodologia</w:t>
      </w:r>
    </w:p>
    <w:p w:rsidR="008B7F6E" w:rsidRDefault="008B7F6E" w:rsidP="00A762EF">
      <w:pPr>
        <w:ind w:firstLine="567"/>
        <w:jc w:val="both"/>
      </w:pPr>
      <w:r>
        <w:t xml:space="preserve">Tendo como objetivo estudar e mapear o estado da técnica acerca de patentes que auxiliem a acessibilidade de deficientes visuais utilizando smartphone </w:t>
      </w:r>
      <w:r>
        <w:lastRenderedPageBreak/>
        <w:t xml:space="preserve">como meio, foi utilizada a metodologia de mapeamento sistemático definida por </w:t>
      </w:r>
      <w:proofErr w:type="spellStart"/>
      <w:r>
        <w:t>Petersen</w:t>
      </w:r>
      <w:proofErr w:type="spellEnd"/>
      <w:r>
        <w:t xml:space="preserve"> </w:t>
      </w:r>
      <w:r>
        <w:rPr>
          <w:i/>
        </w:rPr>
        <w:t>et al.</w:t>
      </w:r>
      <w:r>
        <w:t xml:space="preserve"> 2008.</w:t>
      </w:r>
    </w:p>
    <w:p w:rsidR="008B7F6E" w:rsidRDefault="008B7F6E" w:rsidP="00A762EF">
      <w:pPr>
        <w:ind w:firstLine="567"/>
        <w:jc w:val="both"/>
      </w:pPr>
      <w:r>
        <w:t xml:space="preserve">Para este mapeamento foram utilizados os bancos de patentes da </w:t>
      </w:r>
      <w:proofErr w:type="spellStart"/>
      <w:r>
        <w:t>Derwent</w:t>
      </w:r>
      <w:proofErr w:type="spellEnd"/>
      <w:r>
        <w:t xml:space="preserve"> </w:t>
      </w:r>
      <w:proofErr w:type="spellStart"/>
      <w:r>
        <w:t>Innovations</w:t>
      </w:r>
      <w:proofErr w:type="spellEnd"/>
      <w:r>
        <w:t xml:space="preserve"> Index (DII 2017) e o Instituto Nacional de Propriedade Intelectual (INPI 2017). Estas bases foram acessadas através do portal de periódicos da CAPES (</w:t>
      </w:r>
      <w:r w:rsidRPr="008B7F6E">
        <w:t>http://www.periodicos.capes.gov.br</w:t>
      </w:r>
      <w:r>
        <w:t>) para que não houvessem restrições de download. As pesquisas nos bancos de patentes foram realizadas em Março de 2017.</w:t>
      </w:r>
    </w:p>
    <w:p w:rsidR="008B7F6E" w:rsidRDefault="008F3C69" w:rsidP="00A762EF">
      <w:pPr>
        <w:ind w:firstLine="567"/>
        <w:jc w:val="both"/>
      </w:pPr>
      <w:r>
        <w:t xml:space="preserve">Na base DII, em inglês foi pesquisado por: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Impaired</w:t>
      </w:r>
      <w:proofErr w:type="spellEnd"/>
      <w:r>
        <w:t xml:space="preserve"> Smartphone. Já na base da INPI, em português: Defici</w:t>
      </w:r>
      <w:r w:rsidR="001D1BD5">
        <w:t>e</w:t>
      </w:r>
      <w:r>
        <w:t>nte Visual Smartphone. Na base DII foram retornados 42 resultados e no INPI não houveram resultados.</w:t>
      </w:r>
    </w:p>
    <w:p w:rsidR="008F3C69" w:rsidRDefault="008F3C69" w:rsidP="00A762EF">
      <w:pPr>
        <w:ind w:firstLine="567"/>
        <w:jc w:val="both"/>
      </w:pPr>
    </w:p>
    <w:p w:rsidR="008F3C69" w:rsidRDefault="008F3C69" w:rsidP="008F3C69">
      <w:pPr>
        <w:pStyle w:val="Subttulo"/>
      </w:pPr>
      <w:r>
        <w:t>3 – Análise dos resultados</w:t>
      </w:r>
    </w:p>
    <w:p w:rsidR="008F3C69" w:rsidRDefault="00660574" w:rsidP="00A762EF">
      <w:pPr>
        <w:ind w:firstLine="567"/>
        <w:jc w:val="both"/>
      </w:pPr>
      <w:r>
        <w:t xml:space="preserve">Das 42 patentes obtidas na base DII </w:t>
      </w:r>
      <w:r w:rsidR="00594B23">
        <w:t>9 correspondiam a métodos utilizáveis em qualquer plataforma computacional e 33 eram especificamente para smartphones, que respondia a pergunta desta pesquisa, logo apenas as 33 foram consideradas.</w:t>
      </w:r>
    </w:p>
    <w:p w:rsidR="00594B23" w:rsidRDefault="00670D15" w:rsidP="00A762EF">
      <w:pPr>
        <w:ind w:firstLine="567"/>
        <w:jc w:val="both"/>
      </w:pPr>
      <w:r>
        <w:t>Como a popularização de Smartphones deu-se a partir de 2007 é de se esperar que as primeiras patentes venham após esse ano, como pode ser visto na figura 1, a primeira patente data de 2009 e trata-se de um método de representação tátil de informação, apesar de já existirem naquela época leitores de tela, imaginava-se outras formas de interação voltada especificamente voltada para o público com deficiência visual, havendo posterior crescimento, mas não constância neste crescimento.</w:t>
      </w:r>
    </w:p>
    <w:p w:rsidR="00670D15" w:rsidRPr="008F3C69" w:rsidRDefault="00670D15" w:rsidP="00955DA6">
      <w:pPr>
        <w:jc w:val="both"/>
      </w:pPr>
      <w:r>
        <w:rPr>
          <w:noProof/>
          <w:lang w:eastAsia="pt-BR"/>
        </w:rPr>
        <w:drawing>
          <wp:inline distT="0" distB="0" distL="0" distR="0" wp14:anchorId="1ECBAF99" wp14:editId="636A0E10">
            <wp:extent cx="2562225" cy="2152650"/>
            <wp:effectExtent l="0" t="0" r="9525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C70329F-E156-44F9-87FE-240DBE48D8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br/>
      </w:r>
      <w:bookmarkStart w:id="0" w:name="_GoBack"/>
      <w:bookmarkEnd w:id="0"/>
      <w:r>
        <w:t>Figura 1 – Distribuição de patentes por ano</w:t>
      </w:r>
    </w:p>
    <w:p w:rsidR="00A762EF" w:rsidRDefault="00670D15" w:rsidP="00A762EF">
      <w:pPr>
        <w:ind w:firstLine="567"/>
        <w:jc w:val="both"/>
      </w:pPr>
      <w:r>
        <w:t xml:space="preserve">Os Estados Unidos são reconhecidamente um polo de inovação e com grande concentração de patentes, o que pode ser observado na figura 2, que mostra o número de patentes por país encontradas na pesquisa, e pode-se observar neste gráfico uma patente Brasileira que é do ano de 2016 e trata de um sistema de informações em áudio transmitidas por </w:t>
      </w:r>
      <w:proofErr w:type="spellStart"/>
      <w:r>
        <w:t>wifi</w:t>
      </w:r>
      <w:proofErr w:type="spellEnd"/>
      <w:r>
        <w:t xml:space="preserve"> para sinalização de trânsito, embarcando sistemas em carros e semáforos e transmitindo aos smartphones próximos.</w:t>
      </w:r>
    </w:p>
    <w:p w:rsidR="00670D15" w:rsidRDefault="00C5542A" w:rsidP="00955DA6">
      <w:pPr>
        <w:jc w:val="both"/>
      </w:pPr>
      <w:r>
        <w:rPr>
          <w:noProof/>
          <w:lang w:eastAsia="pt-BR"/>
        </w:rPr>
        <w:drawing>
          <wp:inline distT="0" distB="0" distL="0" distR="0" wp14:anchorId="680D0690" wp14:editId="5FA11288">
            <wp:extent cx="2524125" cy="2447925"/>
            <wp:effectExtent l="0" t="0" r="9525" b="952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1CB1F075-EADE-4167-97F1-8B58EBF69E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br/>
      </w:r>
      <w:r>
        <w:tab/>
        <w:t>Figura 2 – Patentes por país</w:t>
      </w:r>
    </w:p>
    <w:p w:rsidR="00C5542A" w:rsidRDefault="002E3EB0" w:rsidP="00A762EF">
      <w:pPr>
        <w:ind w:firstLine="567"/>
        <w:jc w:val="both"/>
      </w:pPr>
      <w:r>
        <w:t xml:space="preserve">Analisando por depositante não existe um padrão pois foram encontrados 33 depositantes diferentes, mas pode-se destacar a existência de patentes de grandes empresas como Apple, </w:t>
      </w:r>
      <w:r>
        <w:t xml:space="preserve">Bank </w:t>
      </w:r>
      <w:proofErr w:type="spellStart"/>
      <w:r>
        <w:t>of</w:t>
      </w:r>
      <w:proofErr w:type="spellEnd"/>
      <w:r>
        <w:t xml:space="preserve"> </w:t>
      </w:r>
      <w:proofErr w:type="spellStart"/>
      <w:r>
        <w:t>America</w:t>
      </w:r>
      <w:proofErr w:type="spellEnd"/>
      <w:r>
        <w:t xml:space="preserve">, </w:t>
      </w:r>
      <w:r>
        <w:t xml:space="preserve">Nintendo, </w:t>
      </w:r>
      <w:r>
        <w:t xml:space="preserve">Nokia, </w:t>
      </w:r>
      <w:r>
        <w:t xml:space="preserve">Samsung, </w:t>
      </w:r>
      <w:r>
        <w:lastRenderedPageBreak/>
        <w:t>Siemens Medical e Sony, que por muitas vezes guardam patente apenas para garantia de mercado, mas que tem interesse em colocar sempre novas tecnologias no mercado.</w:t>
      </w:r>
    </w:p>
    <w:p w:rsidR="00C5542A" w:rsidRDefault="00FE1539" w:rsidP="00FE1539">
      <w:pPr>
        <w:pStyle w:val="Subttulo"/>
      </w:pPr>
      <w:r>
        <w:t>4 – Conclusão</w:t>
      </w:r>
    </w:p>
    <w:p w:rsidR="00FE1539" w:rsidRDefault="002E3EB0" w:rsidP="00A762EF">
      <w:pPr>
        <w:ind w:firstLine="567"/>
        <w:jc w:val="both"/>
      </w:pPr>
      <w:r>
        <w:t>Este mapeamento teve o objetivo de identificar e analisar as patentes depositadas que relacionavam o uso de smartphones e acessibilidade para deficientes visuais, o processo foi conduzido por busca e seleção de patentes nas bases DII e INPI, obtendo como resultado 33 patentes na base em inglês, sendo uma delas brasileira, e percebe-se que há uma busca, inclusive de grandes empresas neste nicho do mercado que está carente de inovações.</w:t>
      </w:r>
    </w:p>
    <w:p w:rsidR="00FE1539" w:rsidRDefault="00FE1539" w:rsidP="00A762EF">
      <w:pPr>
        <w:ind w:firstLine="567"/>
        <w:jc w:val="both"/>
      </w:pPr>
    </w:p>
    <w:p w:rsidR="00C5542A" w:rsidRDefault="00C5542A" w:rsidP="00A762EF">
      <w:pPr>
        <w:ind w:firstLine="567"/>
        <w:jc w:val="both"/>
      </w:pPr>
    </w:p>
    <w:p w:rsidR="00A762EF" w:rsidRDefault="00A762EF" w:rsidP="00A762EF">
      <w:pPr>
        <w:pStyle w:val="Subttulo"/>
      </w:pPr>
      <w:r>
        <w:t>Referências</w:t>
      </w:r>
    </w:p>
    <w:p w:rsidR="00A762EF" w:rsidRDefault="00C76F0C" w:rsidP="00DE53AE">
      <w:pPr>
        <w:jc w:val="both"/>
      </w:pPr>
      <w:r>
        <w:t xml:space="preserve">IBGE, </w:t>
      </w:r>
      <w:r w:rsidR="001C4F9F">
        <w:t>INSTITUTO BRASILEIRO DE GEOGRAFIA E ESTATÍSTICA</w:t>
      </w:r>
      <w:r w:rsidR="002E3EB0">
        <w:t>, Portal Brasil</w:t>
      </w:r>
      <w:r w:rsidR="001C4F9F">
        <w:t xml:space="preserve"> - </w:t>
      </w:r>
      <w:r w:rsidR="001C4F9F" w:rsidRPr="001C4F9F">
        <w:t>6,2% da população têm algum tipo de deficiência</w:t>
      </w:r>
      <w:r w:rsidR="001C4F9F">
        <w:t>, disponível em:</w:t>
      </w:r>
      <w:r w:rsidR="00A762EF">
        <w:t xml:space="preserve"> </w:t>
      </w:r>
      <w:r w:rsidR="00A762EF" w:rsidRPr="00A762EF">
        <w:t>http://www.brasil.gov.br/cidadania-e-justica/2015/08/6-2-da-populacao-tem-algum-tipo-de-deficiencia</w:t>
      </w:r>
      <w:r w:rsidR="002E3EB0">
        <w:t>, 2015</w:t>
      </w:r>
      <w:r w:rsidR="001C4F9F">
        <w:t>, acessado em 20 de março de 2017</w:t>
      </w:r>
    </w:p>
    <w:p w:rsidR="00C76F0C" w:rsidRDefault="00C76F0C" w:rsidP="00DE53AE">
      <w:pPr>
        <w:jc w:val="both"/>
      </w:pPr>
      <w:r>
        <w:t>MEIRELLES, F. S. (</w:t>
      </w:r>
      <w:proofErr w:type="spellStart"/>
      <w:r>
        <w:t>Org</w:t>
      </w:r>
      <w:proofErr w:type="spellEnd"/>
      <w:r>
        <w:t xml:space="preserve">) 27ª pesquisa anual do uso de TI, disponível em </w:t>
      </w:r>
      <w:r w:rsidRPr="00C76F0C">
        <w:t>http://eaesp.fgvsp.br/ensinoeconhecimento/centros/cia/pesquisa</w:t>
      </w:r>
      <w:r>
        <w:t>, 2015, acessado em 20 de março de 2017</w:t>
      </w:r>
    </w:p>
    <w:p w:rsidR="008B7F6E" w:rsidRPr="00A762EF" w:rsidRDefault="008B7F6E" w:rsidP="00DE53AE">
      <w:pPr>
        <w:autoSpaceDE w:val="0"/>
        <w:autoSpaceDN w:val="0"/>
        <w:adjustRightInd w:val="0"/>
        <w:spacing w:after="0" w:line="240" w:lineRule="auto"/>
        <w:jc w:val="both"/>
      </w:pPr>
      <w:r w:rsidRPr="008B7F6E">
        <w:t xml:space="preserve">PETERSEN, K., FELDT, R., MUJTABA, S., AND MATTSSON, M. </w:t>
      </w:r>
      <w:proofErr w:type="spellStart"/>
      <w:r w:rsidRPr="008B7F6E">
        <w:t>Systematic</w:t>
      </w:r>
      <w:proofErr w:type="spellEnd"/>
      <w:r w:rsidRPr="008B7F6E">
        <w:t xml:space="preserve"> </w:t>
      </w:r>
      <w:proofErr w:type="spellStart"/>
      <w:r w:rsidRPr="008B7F6E">
        <w:t>mapping</w:t>
      </w:r>
      <w:proofErr w:type="spellEnd"/>
      <w:r w:rsidRPr="008B7F6E">
        <w:t xml:space="preserve"> </w:t>
      </w:r>
      <w:proofErr w:type="spellStart"/>
      <w:r w:rsidRPr="008B7F6E">
        <w:t>studies</w:t>
      </w:r>
      <w:proofErr w:type="spellEnd"/>
      <w:r w:rsidRPr="008B7F6E">
        <w:t xml:space="preserve"> in software </w:t>
      </w:r>
      <w:proofErr w:type="spellStart"/>
      <w:r w:rsidRPr="008B7F6E">
        <w:t>engineering</w:t>
      </w:r>
      <w:proofErr w:type="spellEnd"/>
      <w:r w:rsidRPr="008B7F6E">
        <w:t xml:space="preserve">. In </w:t>
      </w:r>
      <w:proofErr w:type="spellStart"/>
      <w:r w:rsidRPr="008B7F6E">
        <w:t>Proceedings</w:t>
      </w:r>
      <w:proofErr w:type="spellEnd"/>
      <w:r w:rsidRPr="008B7F6E">
        <w:t xml:space="preserve"> </w:t>
      </w:r>
      <w:proofErr w:type="spellStart"/>
      <w:r w:rsidRPr="008B7F6E">
        <w:t>of</w:t>
      </w:r>
      <w:proofErr w:type="spellEnd"/>
      <w:r w:rsidRPr="008B7F6E">
        <w:t xml:space="preserve"> </w:t>
      </w:r>
      <w:proofErr w:type="spellStart"/>
      <w:r w:rsidRPr="008B7F6E">
        <w:t>the</w:t>
      </w:r>
      <w:proofErr w:type="spellEnd"/>
      <w:r w:rsidRPr="008B7F6E">
        <w:t xml:space="preserve"> 12th </w:t>
      </w:r>
      <w:proofErr w:type="spellStart"/>
      <w:r w:rsidRPr="008B7F6E">
        <w:t>International</w:t>
      </w:r>
      <w:proofErr w:type="spellEnd"/>
      <w:r w:rsidRPr="008B7F6E">
        <w:t xml:space="preserve"> </w:t>
      </w:r>
      <w:proofErr w:type="spellStart"/>
      <w:r w:rsidRPr="008B7F6E">
        <w:t>Conference</w:t>
      </w:r>
      <w:proofErr w:type="spellEnd"/>
      <w:r w:rsidRPr="008B7F6E">
        <w:t xml:space="preserve"> </w:t>
      </w:r>
      <w:proofErr w:type="spellStart"/>
      <w:r w:rsidRPr="008B7F6E">
        <w:t>on</w:t>
      </w:r>
      <w:proofErr w:type="spellEnd"/>
      <w:r w:rsidRPr="008B7F6E">
        <w:t xml:space="preserve"> </w:t>
      </w:r>
      <w:proofErr w:type="spellStart"/>
      <w:r w:rsidRPr="008B7F6E">
        <w:t>Evaluation</w:t>
      </w:r>
      <w:proofErr w:type="spellEnd"/>
      <w:r w:rsidRPr="008B7F6E">
        <w:t xml:space="preserve"> </w:t>
      </w:r>
      <w:proofErr w:type="spellStart"/>
      <w:r w:rsidRPr="008B7F6E">
        <w:t>and</w:t>
      </w:r>
      <w:proofErr w:type="spellEnd"/>
      <w:r w:rsidRPr="008B7F6E">
        <w:t xml:space="preserve"> Assessment in Software </w:t>
      </w:r>
      <w:proofErr w:type="spellStart"/>
      <w:r w:rsidRPr="008B7F6E">
        <w:t>Engineering</w:t>
      </w:r>
      <w:proofErr w:type="spellEnd"/>
      <w:r w:rsidRPr="008B7F6E">
        <w:t xml:space="preserve"> (</w:t>
      </w:r>
      <w:proofErr w:type="spellStart"/>
      <w:r w:rsidRPr="008B7F6E">
        <w:t>Swinton</w:t>
      </w:r>
      <w:proofErr w:type="spellEnd"/>
      <w:r w:rsidRPr="008B7F6E">
        <w:t>, UK, UK, 2008), EASE’08, British Co</w:t>
      </w:r>
      <w:r w:rsidR="00C76F0C">
        <w:t>mputer Society, pp. 68–77</w:t>
      </w:r>
    </w:p>
    <w:sectPr w:rsidR="008B7F6E" w:rsidRPr="00A762EF" w:rsidSect="00955DA6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93"/>
    <w:rsid w:val="001C4F9F"/>
    <w:rsid w:val="001D1BD5"/>
    <w:rsid w:val="00236FDD"/>
    <w:rsid w:val="002E3EB0"/>
    <w:rsid w:val="00396493"/>
    <w:rsid w:val="004933F4"/>
    <w:rsid w:val="004F572E"/>
    <w:rsid w:val="00587519"/>
    <w:rsid w:val="00594B23"/>
    <w:rsid w:val="00660574"/>
    <w:rsid w:val="00670D15"/>
    <w:rsid w:val="008B7F6E"/>
    <w:rsid w:val="008F3C69"/>
    <w:rsid w:val="0093606F"/>
    <w:rsid w:val="00955DA6"/>
    <w:rsid w:val="00A762EF"/>
    <w:rsid w:val="00C5542A"/>
    <w:rsid w:val="00C76F0C"/>
    <w:rsid w:val="00D61163"/>
    <w:rsid w:val="00DE53AE"/>
    <w:rsid w:val="00FE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F50B"/>
  <w15:chartTrackingRefBased/>
  <w15:docId w15:val="{08D92EEA-69AD-4DA1-A510-AF641A0A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96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6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64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9649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8B7F6E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8B7F6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aulas\IES\Tabela%20Patent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aulas\IES\Tabela%20Patent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Patentes por Ano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Planilha1!$E$43:$E$51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Planilha1!$E$43:$E$51</c:f>
              <c:numCache>
                <c:formatCode>@</c:formatCod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numCache>
            </c:numRef>
          </c:cat>
          <c:val>
            <c:numRef>
              <c:f>Planilha1!$F$43:$F$51</c:f>
              <c:numCache>
                <c:formatCode>General</c:formatCode>
                <c:ptCount val="9"/>
                <c:pt idx="0">
                  <c:v>1</c:v>
                </c:pt>
                <c:pt idx="1">
                  <c:v>0</c:v>
                </c:pt>
                <c:pt idx="2">
                  <c:v>2</c:v>
                </c:pt>
                <c:pt idx="3">
                  <c:v>2</c:v>
                </c:pt>
                <c:pt idx="4">
                  <c:v>9</c:v>
                </c:pt>
                <c:pt idx="5">
                  <c:v>4</c:v>
                </c:pt>
                <c:pt idx="6">
                  <c:v>6</c:v>
                </c:pt>
                <c:pt idx="7">
                  <c:v>8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AA-48D9-9B84-1143BF6EC8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3760296"/>
        <c:axId val="393759640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Planilha1!$E$43:$E$51</c15:sqref>
                        </c15:formulaRef>
                      </c:ext>
                    </c:extLst>
                    <c:numCache>
                      <c:formatCode>@</c:formatCode>
                      <c:ptCount val="9"/>
                      <c:pt idx="0">
                        <c:v>2009</c:v>
                      </c:pt>
                      <c:pt idx="1">
                        <c:v>2010</c:v>
                      </c:pt>
                      <c:pt idx="2">
                        <c:v>2011</c:v>
                      </c:pt>
                      <c:pt idx="3">
                        <c:v>2012</c:v>
                      </c:pt>
                      <c:pt idx="4">
                        <c:v>2013</c:v>
                      </c:pt>
                      <c:pt idx="5">
                        <c:v>2014</c:v>
                      </c:pt>
                      <c:pt idx="6">
                        <c:v>2015</c:v>
                      </c:pt>
                      <c:pt idx="7">
                        <c:v>2016</c:v>
                      </c:pt>
                      <c:pt idx="8">
                        <c:v>2017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Planilha1!$F$43:$F$51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0</c:v>
                      </c:pt>
                      <c:pt idx="2">
                        <c:v>2</c:v>
                      </c:pt>
                      <c:pt idx="3">
                        <c:v>2</c:v>
                      </c:pt>
                      <c:pt idx="4">
                        <c:v>9</c:v>
                      </c:pt>
                      <c:pt idx="5">
                        <c:v>4</c:v>
                      </c:pt>
                      <c:pt idx="6">
                        <c:v>6</c:v>
                      </c:pt>
                      <c:pt idx="7">
                        <c:v>8</c:v>
                      </c:pt>
                      <c:pt idx="8">
                        <c:v>1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F8AA-48D9-9B84-1143BF6EC874}"/>
                  </c:ext>
                </c:extLst>
              </c15:ser>
            </c15:filteredBarSeries>
          </c:ext>
        </c:extLst>
      </c:barChart>
      <c:catAx>
        <c:axId val="393760296"/>
        <c:scaling>
          <c:orientation val="minMax"/>
        </c:scaling>
        <c:delete val="0"/>
        <c:axPos val="b"/>
        <c:numFmt formatCode="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3759640"/>
        <c:crosses val="autoZero"/>
        <c:auto val="1"/>
        <c:lblAlgn val="ctr"/>
        <c:lblOffset val="100"/>
        <c:noMultiLvlLbl val="0"/>
      </c:catAx>
      <c:valAx>
        <c:axId val="393759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3760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Patentes por país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Planilha1!$B$43:$B$51</c:f>
              <c:strCache>
                <c:ptCount val="9"/>
                <c:pt idx="0">
                  <c:v>USA</c:v>
                </c:pt>
                <c:pt idx="1">
                  <c:v>Mundial</c:v>
                </c:pt>
                <c:pt idx="2">
                  <c:v>Brasil</c:v>
                </c:pt>
                <c:pt idx="3">
                  <c:v>Espanha</c:v>
                </c:pt>
                <c:pt idx="4">
                  <c:v>França</c:v>
                </c:pt>
                <c:pt idx="5">
                  <c:v>India</c:v>
                </c:pt>
                <c:pt idx="6">
                  <c:v>Korea</c:v>
                </c:pt>
                <c:pt idx="7">
                  <c:v>Alemanha</c:v>
                </c:pt>
                <c:pt idx="8">
                  <c:v>Austrália </c:v>
                </c:pt>
              </c:strCache>
            </c:strRef>
          </c:cat>
          <c:val>
            <c:numRef>
              <c:f>Planilha1!$C$43:$C$51</c:f>
              <c:numCache>
                <c:formatCode>General</c:formatCode>
                <c:ptCount val="9"/>
                <c:pt idx="0">
                  <c:v>20</c:v>
                </c:pt>
                <c:pt idx="1">
                  <c:v>3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3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3A-4ECB-B0BF-C9C7EE73F8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2227360"/>
        <c:axId val="262228016"/>
      </c:barChart>
      <c:catAx>
        <c:axId val="262227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62228016"/>
        <c:crosses val="autoZero"/>
        <c:auto val="1"/>
        <c:lblAlgn val="ctr"/>
        <c:lblOffset val="100"/>
        <c:noMultiLvlLbl val="0"/>
      </c:catAx>
      <c:valAx>
        <c:axId val="26222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62227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3</Pages>
  <Words>903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 .</dc:creator>
  <cp:keywords/>
  <dc:description/>
  <cp:lastModifiedBy>Th .</cp:lastModifiedBy>
  <cp:revision>8</cp:revision>
  <dcterms:created xsi:type="dcterms:W3CDTF">2017-04-10T21:10:00Z</dcterms:created>
  <dcterms:modified xsi:type="dcterms:W3CDTF">2017-04-12T02:07:00Z</dcterms:modified>
</cp:coreProperties>
</file>