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CU6_Asignación o rechazo de la queja por mal servicio o servicio no conforme </w:t>
      </w:r>
    </w:p>
    <w:p w:rsidR="00000000" w:rsidDel="00000000" w:rsidP="00000000" w:rsidRDefault="00000000" w:rsidRPr="00000000" w14:paraId="00000005">
      <w:pPr>
        <w:pStyle w:val="Heading1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Sistema para control de quejas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Ing. Edy Ramírez Colindres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Elaboración 18/02/2020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623"/>
        <w:gridCol w:w="3696"/>
        <w:gridCol w:w="1134"/>
        <w:tblGridChange w:id="0">
          <w:tblGrid>
            <w:gridCol w:w="2160"/>
            <w:gridCol w:w="1623"/>
            <w:gridCol w:w="3696"/>
            <w:gridCol w:w="1134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Ing. Edy Ramírez Colindres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18/02/2020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Inicial.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1"/>
        <w:widowControl w:val="0"/>
        <w:numPr>
          <w:ilvl w:val="0"/>
          <w:numId w:val="6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caso de uso explica el proceso que llevará a cabo la Unidad de Atención al Cuentahabiente, para la asignación o rechazo de una queja por mal servicio o servicio no conforme que haya sido ingresada por los diferentes medios disponibles (Aplicación Web, Aplicación Móvil, Chat, Correo, Correo , Teléfono o Presencial).</w:t>
      </w:r>
    </w:p>
    <w:p w:rsidR="00000000" w:rsidDel="00000000" w:rsidP="00000000" w:rsidRDefault="00000000" w:rsidRPr="00000000" w14:paraId="00000019">
      <w:pPr>
        <w:pStyle w:val="Heading1"/>
        <w:keepNext w:val="1"/>
        <w:widowControl w:val="0"/>
        <w:numPr>
          <w:ilvl w:val="0"/>
          <w:numId w:val="6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Describir el proceso que el usuario designado en la Unidad  de Atención al Cuentahabiente llevará a cabo para dar seguimiento a la asignación o rechazo de las quejas por mal servicio o servicio no conforme que ingresan a la Administración Tributaria.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C">
      <w:pPr>
        <w:pStyle w:val="Heading1"/>
        <w:keepNext w:val="1"/>
        <w:widowControl w:val="0"/>
        <w:numPr>
          <w:ilvl w:val="0"/>
          <w:numId w:val="6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(Centralizador de las quejas por mal servicio o servicio no conforme designado por la Unidad de Atención a Cuentahabientes).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1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 control de quejas, en este caso a las quejas por mal servicio o servicio no conforme en la aplicación web.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1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tenga acceso al sistema de control de quejas, en este caso para las quejas por mal servicio o servicio no conforme (con rol de Centralizador) de la Unidad de atención al Cuentahabiente.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224" w:right="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titular, suplente / encargado, jefe inmediato, Centralizador de quejas estén activos para que al momento de ser asignada una queja al punto de atención y regional a la que pertenece puedan recibir la notificación de la asignación de la queja por medio del correo electrónico.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2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 Normal Básico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a la opción Quejas ingresadas por mal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0" w:hanging="504.000000000000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todas las quejas que se encuentran en estado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“Presentada”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y etapa= “presentada” que han sido ingresadas por los medios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0" w:hanging="79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del banco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0" w:hanging="79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Web (ingresado por usuario interno)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la siguiente información de las quejas: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944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Correlativo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44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creación y hora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944" w:right="30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Columna Administrar (botón Ver ficha queja, botón Asignar, botón Rechazar, botón Ingresar detalle)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consulta la ficha de la queja para analizar y determinar si es procedente o no aplica su atención.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la información de la ficha.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determina que si procede atender la queja.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[FA02]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botón Asignar.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sistema muestra información general de la queja, el listado de Regiones y puntos de atención asociados a la Región que se selecciona.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 usuario asigna la queja por mal servicio o servicio no conforme al punto de atención que corresponde atender la queja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correo electrónico: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todos los usuarios activos asignados al punto de atención (titular, suplente, encargado), a quien corresponde atender la queja.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(Ver caso de uso Catálogo de usuarios de puntos de atención)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01" w:right="30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usuario asignado como jefe inmediato en el punto de atención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301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el siguiente mensaje: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301" w:hanging="4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301" w:hanging="425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“Estimado(a) Nombre del &lt;&lt; usuario activo en el Punto de Atención &gt;&gt;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301" w:hanging="425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301" w:firstLine="0.9999999999999432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para control de quejas por mal servicio o servicio no conforme le informa que se le asignó la queja No. [##########]”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301" w:firstLine="0.9999999999999432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su atención tiene un plazo máximo de 5 días hábiles, según normativa vigente.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301" w:firstLine="0.9999999999999432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40" w:right="30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datos al estado, etapa y resultado de la queja: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7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 =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análisis”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79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   = “Análisis”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791.9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 =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"Trasladada al Administrador del punto de atención correspondiente para su análisis.”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correo al Cuentahabiente, con el siguiente mensaje: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2232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“Señor(a) Cuentahabiente, su queja ha sido trasladada al administrador del punto de atención correspondiente para su análisis”.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24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Flujos Alternos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La queja ingresada analizada no aplica para ser atendida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determina que la queja por mal servicio o servicio no conforme ingresada no procede atender la queja.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botón Rechazar.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la pregunta “¿Está seguro de que quiere rechazar este registro?” y solicita una justificación.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registra la justificación del porqué no aplica la queja por mal servicio o servicio no conforme (será la misma justificación que verá el cuentahabiente y el usuario interno ). (acepta hasta 1,000 caracteres)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graba la justificación seleccionando el botón Si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asigna datos para estado, etapa y resultado de la queja: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 =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Finalizada”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   =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aplica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3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 =   Razón por la cual no procede, ingresada en paso 3 de este flujo.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correo al Cuentahabiente, con el siguiente mensaje: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2232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“Señor(a) Cuentahabiente, la atención a su queja no procede, agregando el texto de la razón ingresada en el paso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[FA02] El usuario sale de la opción quejas ingresadas por mal servicio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sale de la opción quejas ingresadas por mal servicio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512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[FA03] El Sistema no permite cambiar al estado finalizada y etapa no aplica sin ingresar una 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no permitirá cambiar el estado a “Finalizada” y etapa “No aplica”, si la justificación no ha sido ingresada.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“Debe ingresar la Justificación correspondiente”.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[FA04] Usuario selecciona Botón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no permitirá cambiar el estado a “Finalizada” y etapa “No aplica”, si la justificación no ha sido ingresada.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mensaje “Debe ingresar la Justificación correspondiente”.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3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2" w:right="3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301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Postcondiciones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queja fue asignada para su seguimiento o fue finalizada con la justificación correspondiente.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1"/>
        <w:widowControl w:val="0"/>
        <w:numPr>
          <w:ilvl w:val="0"/>
          <w:numId w:val="6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Anexos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20" w:right="3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ANEXO 1: Información contenida en la Ficha de la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queja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0" w:right="300" w:firstLine="1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0" w:right="300" w:firstLine="1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80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/>
      <w:pgMar w:bottom="1417" w:top="291" w:left="1701" w:right="1701" w:header="283" w:footer="28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y ramirez" w:id="0" w:date="2020-03-10T04:24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agrego el anexo 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9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trHeight w:val="386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trHeight w:val="184" w:hRule="atLeast"/>
      </w:trPr>
      <w:tc>
        <w:tcPr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0006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01/03/2014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360"/>
      </w:pPr>
      <w:rPr/>
    </w:lvl>
    <w:lvl w:ilvl="1">
      <w:start w:val="1"/>
      <w:numFmt w:val="lowerLetter"/>
      <w:lvlText w:val="%2."/>
      <w:lvlJc w:val="left"/>
      <w:pPr>
        <w:ind w:left="2232" w:hanging="360"/>
      </w:pPr>
      <w:rPr/>
    </w:lvl>
    <w:lvl w:ilvl="2">
      <w:start w:val="1"/>
      <w:numFmt w:val="lowerRoman"/>
      <w:lvlText w:val="%3."/>
      <w:lvlJc w:val="right"/>
      <w:pPr>
        <w:ind w:left="2952" w:hanging="180"/>
      </w:pPr>
      <w:rPr/>
    </w:lvl>
    <w:lvl w:ilvl="3">
      <w:start w:val="1"/>
      <w:numFmt w:val="decimal"/>
      <w:lvlText w:val="%4."/>
      <w:lvlJc w:val="left"/>
      <w:pPr>
        <w:ind w:left="3672" w:hanging="360"/>
      </w:pPr>
      <w:rPr/>
    </w:lvl>
    <w:lvl w:ilvl="4">
      <w:start w:val="1"/>
      <w:numFmt w:val="lowerLetter"/>
      <w:lvlText w:val="%5."/>
      <w:lvlJc w:val="left"/>
      <w:pPr>
        <w:ind w:left="4392" w:hanging="360"/>
      </w:pPr>
      <w:rPr/>
    </w:lvl>
    <w:lvl w:ilvl="5">
      <w:start w:val="1"/>
      <w:numFmt w:val="lowerRoman"/>
      <w:lvlText w:val="%6."/>
      <w:lvlJc w:val="right"/>
      <w:pPr>
        <w:ind w:left="5112" w:hanging="180"/>
      </w:pPr>
      <w:rPr/>
    </w:lvl>
    <w:lvl w:ilvl="6">
      <w:start w:val="1"/>
      <w:numFmt w:val="decimal"/>
      <w:lvlText w:val="%7."/>
      <w:lvlJc w:val="left"/>
      <w:pPr>
        <w:ind w:left="5832" w:hanging="360"/>
      </w:pPr>
      <w:rPr/>
    </w:lvl>
    <w:lvl w:ilvl="7">
      <w:start w:val="1"/>
      <w:numFmt w:val="lowerLetter"/>
      <w:lvlText w:val="%8."/>
      <w:lvlJc w:val="left"/>
      <w:pPr>
        <w:ind w:left="6552" w:hanging="360"/>
      </w:pPr>
      <w:rPr/>
    </w:lvl>
    <w:lvl w:ilvl="8">
      <w:start w:val="1"/>
      <w:numFmt w:val="lowerRoman"/>
      <w:lvlText w:val="%9."/>
      <w:lvlJc w:val="right"/>
      <w:pPr>
        <w:ind w:left="727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12" w:hanging="360"/>
      </w:pPr>
      <w:rPr/>
    </w:lvl>
    <w:lvl w:ilvl="1">
      <w:start w:val="1"/>
      <w:numFmt w:val="lowerLetter"/>
      <w:lvlText w:val="%2."/>
      <w:lvlJc w:val="left"/>
      <w:pPr>
        <w:ind w:left="2232" w:hanging="360"/>
      </w:pPr>
      <w:rPr/>
    </w:lvl>
    <w:lvl w:ilvl="2">
      <w:start w:val="1"/>
      <w:numFmt w:val="lowerRoman"/>
      <w:lvlText w:val="%3."/>
      <w:lvlJc w:val="right"/>
      <w:pPr>
        <w:ind w:left="2952" w:hanging="180"/>
      </w:pPr>
      <w:rPr/>
    </w:lvl>
    <w:lvl w:ilvl="3">
      <w:start w:val="1"/>
      <w:numFmt w:val="decimal"/>
      <w:lvlText w:val="%4."/>
      <w:lvlJc w:val="left"/>
      <w:pPr>
        <w:ind w:left="3672" w:hanging="360"/>
      </w:pPr>
      <w:rPr/>
    </w:lvl>
    <w:lvl w:ilvl="4">
      <w:start w:val="1"/>
      <w:numFmt w:val="lowerLetter"/>
      <w:lvlText w:val="%5."/>
      <w:lvlJc w:val="left"/>
      <w:pPr>
        <w:ind w:left="4392" w:hanging="360"/>
      </w:pPr>
      <w:rPr/>
    </w:lvl>
    <w:lvl w:ilvl="5">
      <w:start w:val="1"/>
      <w:numFmt w:val="lowerRoman"/>
      <w:lvlText w:val="%6."/>
      <w:lvlJc w:val="right"/>
      <w:pPr>
        <w:ind w:left="5112" w:hanging="180"/>
      </w:pPr>
      <w:rPr/>
    </w:lvl>
    <w:lvl w:ilvl="6">
      <w:start w:val="1"/>
      <w:numFmt w:val="decimal"/>
      <w:lvlText w:val="%7."/>
      <w:lvlJc w:val="left"/>
      <w:pPr>
        <w:ind w:left="5832" w:hanging="360"/>
      </w:pPr>
      <w:rPr/>
    </w:lvl>
    <w:lvl w:ilvl="7">
      <w:start w:val="1"/>
      <w:numFmt w:val="lowerLetter"/>
      <w:lvlText w:val="%8."/>
      <w:lvlJc w:val="left"/>
      <w:pPr>
        <w:ind w:left="6552" w:hanging="360"/>
      </w:pPr>
      <w:rPr/>
    </w:lvl>
    <w:lvl w:ilvl="8">
      <w:start w:val="1"/>
      <w:numFmt w:val="lowerRoman"/>
      <w:lvlText w:val="%9."/>
      <w:lvlJc w:val="right"/>
      <w:pPr>
        <w:ind w:left="7272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512" w:hanging="360"/>
      </w:pPr>
      <w:rPr/>
    </w:lvl>
    <w:lvl w:ilvl="1">
      <w:start w:val="1"/>
      <w:numFmt w:val="lowerLetter"/>
      <w:lvlText w:val="%2."/>
      <w:lvlJc w:val="left"/>
      <w:pPr>
        <w:ind w:left="2232" w:hanging="360"/>
      </w:pPr>
      <w:rPr/>
    </w:lvl>
    <w:lvl w:ilvl="2">
      <w:start w:val="1"/>
      <w:numFmt w:val="lowerRoman"/>
      <w:lvlText w:val="%3."/>
      <w:lvlJc w:val="right"/>
      <w:pPr>
        <w:ind w:left="2952" w:hanging="180"/>
      </w:pPr>
      <w:rPr/>
    </w:lvl>
    <w:lvl w:ilvl="3">
      <w:start w:val="1"/>
      <w:numFmt w:val="decimal"/>
      <w:lvlText w:val="%4."/>
      <w:lvlJc w:val="left"/>
      <w:pPr>
        <w:ind w:left="3672" w:hanging="360"/>
      </w:pPr>
      <w:rPr/>
    </w:lvl>
    <w:lvl w:ilvl="4">
      <w:start w:val="1"/>
      <w:numFmt w:val="lowerLetter"/>
      <w:lvlText w:val="%5."/>
      <w:lvlJc w:val="left"/>
      <w:pPr>
        <w:ind w:left="4392" w:hanging="360"/>
      </w:pPr>
      <w:rPr/>
    </w:lvl>
    <w:lvl w:ilvl="5">
      <w:start w:val="1"/>
      <w:numFmt w:val="lowerRoman"/>
      <w:lvlText w:val="%6."/>
      <w:lvlJc w:val="right"/>
      <w:pPr>
        <w:ind w:left="5112" w:hanging="180"/>
      </w:pPr>
      <w:rPr/>
    </w:lvl>
    <w:lvl w:ilvl="6">
      <w:start w:val="1"/>
      <w:numFmt w:val="decimal"/>
      <w:lvlText w:val="%7."/>
      <w:lvlJc w:val="left"/>
      <w:pPr>
        <w:ind w:left="5832" w:hanging="360"/>
      </w:pPr>
      <w:rPr/>
    </w:lvl>
    <w:lvl w:ilvl="7">
      <w:start w:val="1"/>
      <w:numFmt w:val="lowerLetter"/>
      <w:lvlText w:val="%8."/>
      <w:lvlJc w:val="left"/>
      <w:pPr>
        <w:ind w:left="6552" w:hanging="360"/>
      </w:pPr>
      <w:rPr/>
    </w:lvl>
    <w:lvl w:ilvl="8">
      <w:start w:val="1"/>
      <w:numFmt w:val="lowerRoman"/>
      <w:lvlText w:val="%9."/>
      <w:lvlJc w:val="right"/>
      <w:pPr>
        <w:ind w:left="7272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512" w:hanging="360"/>
      </w:pPr>
      <w:rPr/>
    </w:lvl>
    <w:lvl w:ilvl="1">
      <w:start w:val="1"/>
      <w:numFmt w:val="lowerLetter"/>
      <w:lvlText w:val="%2."/>
      <w:lvlJc w:val="left"/>
      <w:pPr>
        <w:ind w:left="2232" w:hanging="360"/>
      </w:pPr>
      <w:rPr/>
    </w:lvl>
    <w:lvl w:ilvl="2">
      <w:start w:val="1"/>
      <w:numFmt w:val="lowerRoman"/>
      <w:lvlText w:val="%3."/>
      <w:lvlJc w:val="right"/>
      <w:pPr>
        <w:ind w:left="2952" w:hanging="180"/>
      </w:pPr>
      <w:rPr/>
    </w:lvl>
    <w:lvl w:ilvl="3">
      <w:start w:val="1"/>
      <w:numFmt w:val="decimal"/>
      <w:lvlText w:val="%4."/>
      <w:lvlJc w:val="left"/>
      <w:pPr>
        <w:ind w:left="3672" w:hanging="360"/>
      </w:pPr>
      <w:rPr/>
    </w:lvl>
    <w:lvl w:ilvl="4">
      <w:start w:val="1"/>
      <w:numFmt w:val="lowerLetter"/>
      <w:lvlText w:val="%5."/>
      <w:lvlJc w:val="left"/>
      <w:pPr>
        <w:ind w:left="4392" w:hanging="360"/>
      </w:pPr>
      <w:rPr/>
    </w:lvl>
    <w:lvl w:ilvl="5">
      <w:start w:val="1"/>
      <w:numFmt w:val="lowerRoman"/>
      <w:lvlText w:val="%6."/>
      <w:lvlJc w:val="right"/>
      <w:pPr>
        <w:ind w:left="5112" w:hanging="180"/>
      </w:pPr>
      <w:rPr/>
    </w:lvl>
    <w:lvl w:ilvl="6">
      <w:start w:val="1"/>
      <w:numFmt w:val="decimal"/>
      <w:lvlText w:val="%7."/>
      <w:lvlJc w:val="left"/>
      <w:pPr>
        <w:ind w:left="5832" w:hanging="360"/>
      </w:pPr>
      <w:rPr/>
    </w:lvl>
    <w:lvl w:ilvl="7">
      <w:start w:val="1"/>
      <w:numFmt w:val="lowerLetter"/>
      <w:lvlText w:val="%8."/>
      <w:lvlJc w:val="left"/>
      <w:pPr>
        <w:ind w:left="6552" w:hanging="360"/>
      </w:pPr>
      <w:rPr/>
    </w:lvl>
    <w:lvl w:ilvl="8">
      <w:start w:val="1"/>
      <w:numFmt w:val="lowerRoman"/>
      <w:lvlText w:val="%9."/>
      <w:lvlJc w:val="right"/>
      <w:pPr>
        <w:ind w:left="7272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bullet"/>
      <w:lvlText w:val="●"/>
      <w:lvlJc w:val="left"/>
      <w:pPr>
        <w:ind w:left="1728" w:hanging="647.9999999999998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232" w:hanging="792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736" w:hanging="935.9999999999998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1.%2.%3.●.●.●.%7."/>
      <w:lvlJc w:val="left"/>
      <w:pPr>
        <w:ind w:left="3240" w:hanging="1080"/>
      </w:pPr>
      <w:rPr/>
    </w:lvl>
    <w:lvl w:ilvl="7">
      <w:start w:val="1"/>
      <w:numFmt w:val="decimal"/>
      <w:lvlText w:val="%1.%2.%3.●.●.●.%7.%8."/>
      <w:lvlJc w:val="left"/>
      <w:pPr>
        <w:ind w:left="3744" w:hanging="1224.0000000000005"/>
      </w:pPr>
      <w:rPr/>
    </w:lvl>
    <w:lvl w:ilvl="8">
      <w:start w:val="1"/>
      <w:numFmt w:val="decimal"/>
      <w:lvlText w:val="%1.%2.%3.●.●.●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190768"/>
    <w:rPr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0D097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qFormat w:val="1"/>
    <w:rsid w:val="000D097C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0D097C"/>
    <w:pPr>
      <w:spacing w:after="100" w:afterAutospacing="1" w:before="100" w:beforeAutospacing="1"/>
    </w:pPr>
  </w:style>
  <w:style w:type="paragraph" w:styleId="TDC1">
    <w:name w:val="toc 1"/>
    <w:basedOn w:val="Normal"/>
    <w:rsid w:val="000D097C"/>
    <w:pPr>
      <w:spacing w:after="100" w:afterAutospacing="1" w:before="100" w:before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after="100" w:afterAutospacing="1" w:before="100" w:beforeAutospacing="1"/>
    </w:pPr>
  </w:style>
  <w:style w:type="paragraph" w:styleId="Sangra3detindependiente">
    <w:name w:val="Body Text Indent 3"/>
    <w:basedOn w:val="Normal"/>
    <w:rsid w:val="000D097C"/>
    <w:pPr>
      <w:spacing w:after="100" w:afterAutospacing="1" w:before="100" w:beforeAutospacing="1"/>
    </w:pPr>
  </w:style>
  <w:style w:type="paragraph" w:styleId="Encabezado">
    <w:name w:val="header"/>
    <w:basedOn w:val="Normal"/>
    <w:link w:val="EncabezadoCar"/>
    <w:rsid w:val="000D097C"/>
    <w:pPr>
      <w:spacing w:after="100" w:afterAutospacing="1" w:before="100" w:beforeAutospacing="1"/>
    </w:pPr>
  </w:style>
  <w:style w:type="paragraph" w:styleId="celda" w:customStyle="1">
    <w:name w:val="celda"/>
    <w:basedOn w:val="Normal"/>
    <w:rsid w:val="000D097C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 w:val="1"/>
    <w:rsid w:val="00F6349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F6349F"/>
    <w:rPr>
      <w:rFonts w:ascii="Arial" w:hAnsi="Arial"/>
      <w:b w:val="1"/>
      <w:kern w:val="28"/>
      <w:sz w:val="64"/>
      <w:lang w:eastAsia="en-US" w:val="en-US"/>
    </w:rPr>
  </w:style>
  <w:style w:type="paragraph" w:styleId="ChangeHistoryTitle" w:customStyle="1">
    <w:name w:val="ChangeHistory Title"/>
    <w:basedOn w:val="Normal"/>
    <w:rsid w:val="00F6349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 w:val="1"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4F2B"/>
    <w:rPr>
      <w:sz w:val="24"/>
      <w:szCs w:val="24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344F2B"/>
    <w:rPr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rsid w:val="00344F2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344F2B"/>
    <w:rPr>
      <w:rFonts w:ascii="Tahoma" w:cs="Tahoma" w:hAnsi="Tahoma"/>
      <w:sz w:val="16"/>
      <w:szCs w:val="16"/>
      <w:lang w:eastAsia="es-ES" w:val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FF438A"/>
    <w:rPr>
      <w:sz w:val="24"/>
      <w:szCs w:val="24"/>
      <w:lang w:eastAsia="es-ES" w:val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A83ADC"/>
    <w:rPr>
      <w:lang w:eastAsia="es-ES" w:val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 w:val="1"/>
    <w:uiPriority w:val="99"/>
    <w:semiHidden w:val="1"/>
    <w:rsid w:val="00A83ADC"/>
    <w:rPr>
      <w:sz w:val="24"/>
      <w:szCs w:val="24"/>
      <w:lang w:eastAsia="es-ES" w:val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bidi="en-US" w:eastAsia="en-US"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InfoBlue" w:customStyle="1">
    <w:name w:val="InfoBlue"/>
    <w:basedOn w:val="Normal"/>
    <w:next w:val="Textoindependiente"/>
    <w:autoRedefine w:val="1"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cs="Arial" w:hAnsi="Arial"/>
      <w:i w:val="1"/>
      <w:iCs w:val="1"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eastAsia="es-EC" w:val="es-EC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pple-converted-space" w:customStyle="1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 w:val="1"/>
    <w:rsid w:val="00FA0A30"/>
    <w:rPr>
      <w:i w:val="1"/>
      <w:iCs w:val="1"/>
    </w:rPr>
  </w:style>
  <w:style w:type="paragraph" w:styleId="TextoplantillaCarCar" w:customStyle="1">
    <w:name w:val="Texto plantilla Car Car"/>
    <w:basedOn w:val="Normal"/>
    <w:link w:val="TextoplantillaCarCarCar"/>
    <w:rsid w:val="00717D97"/>
    <w:pPr>
      <w:keepLines w:val="1"/>
      <w:widowControl w:val="0"/>
      <w:suppressAutoHyphens w:val="1"/>
      <w:spacing w:after="120" w:before="120" w:line="220" w:lineRule="atLeast"/>
      <w:jc w:val="both"/>
    </w:pPr>
    <w:rPr>
      <w:rFonts w:ascii="Arial" w:cs="Arial" w:hAnsi="Arial"/>
      <w:sz w:val="18"/>
      <w:szCs w:val="18"/>
      <w:lang w:eastAsia="ar-SA"/>
    </w:rPr>
  </w:style>
  <w:style w:type="character" w:styleId="TextoplantillaCarCarCar" w:customStyle="1">
    <w:name w:val="Texto plantilla Car Car Car"/>
    <w:link w:val="TextoplantillaCarCar"/>
    <w:rsid w:val="00717D97"/>
    <w:rPr>
      <w:rFonts w:ascii="Arial" w:cs="Arial" w:hAnsi="Arial"/>
      <w:sz w:val="18"/>
      <w:szCs w:val="18"/>
      <w:lang w:eastAsia="ar-SA" w:val="es-ES"/>
    </w:rPr>
  </w:style>
  <w:style w:type="character" w:styleId="Hyperlink1" w:customStyle="1">
    <w:name w:val="Hyperlink.1"/>
    <w:basedOn w:val="Fuentedeprrafopredeter"/>
    <w:rsid w:val="00651303"/>
    <w:rPr>
      <w:color w:val="000000"/>
      <w:u w:color="000000"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F394E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semiHidden w:val="1"/>
    <w:unhideWhenUsed w:val="1"/>
    <w:rsid w:val="00775F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75F7A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75F7A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rsid w:val="00775F7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775F7A"/>
    <w:rPr>
      <w:b w:val="1"/>
      <w:bCs w:val="1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A52083"/>
    <w:rPr>
      <w:b w:val="1"/>
      <w:bCs w:val="1"/>
      <w:kern w:val="36"/>
      <w:sz w:val="48"/>
      <w:szCs w:val="48"/>
      <w:lang w:eastAsia="es-ES" w:val="es-ES"/>
    </w:rPr>
  </w:style>
  <w:style w:type="paragraph" w:styleId="FlujoAlterno" w:customStyle="1">
    <w:name w:val="Flujo Alterno"/>
    <w:basedOn w:val="Ttulo1"/>
    <w:qFormat w:val="1"/>
    <w:rsid w:val="002A70FE"/>
    <w:pPr>
      <w:jc w:val="both"/>
    </w:pPr>
    <w:rPr>
      <w:rFonts w:ascii="Arial" w:cs="Arial" w:hAnsi="Arial"/>
      <w:noProof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6YPcJ7r7hclhpozyY0XmbYd+Qw==">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2020-01-23T16:38:00Z</dcterms:created>
  <dc:creator>wamazari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