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algorithms-and-data-structures"/>
    <w:p>
      <w:pPr>
        <w:pStyle w:val="Heading2"/>
      </w:pPr>
      <w:r>
        <w:t xml:space="preserve">A. Algorithms and Data Structures</w:t>
      </w:r>
    </w:p>
    <w:p>
      <w:pPr>
        <w:numPr>
          <w:ilvl w:val="0"/>
          <w:numId w:val="1001"/>
        </w:numPr>
      </w:pPr>
      <w:r>
        <w:t xml:space="preserve">In your own words, complete the following sentences.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An algorithm is … .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“</w:t>
      </w:r>
      <w:r>
        <w:t xml:space="preserve">A data structure is …. .</w:t>
      </w:r>
      <w:r>
        <w:t xml:space="preserve">”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You should answer question 1 using your own words, so no model solution is provided.</w:t>
      </w:r>
      <w:r>
        <w:t xml:space="preserve"> </w:t>
      </w:r>
      <w:r>
        <w:t xml:space="preserve">However, you might wish to review the slides from the first lecture.</w:t>
      </w:r>
    </w:p>
    <w:bookmarkEnd w:id="20"/>
    <w:bookmarkStart w:id="23" w:name="b.-java-basics"/>
    <w:p>
      <w:pPr>
        <w:pStyle w:val="Heading2"/>
      </w:pPr>
      <w:r>
        <w:t xml:space="preserve">B. Java basics</w:t>
      </w:r>
    </w:p>
    <w:p>
      <w:pPr>
        <w:numPr>
          <w:ilvl w:val="0"/>
          <w:numId w:val="1003"/>
        </w:numPr>
      </w:pPr>
      <w:r>
        <w:t xml:space="preserve">Consider the following Java code: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Person bestFriend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 bestFriend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bestFriend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bestFriend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Answer the following questions about the code.</w:t>
      </w:r>
    </w:p>
    <w:p>
      <w:pPr>
        <w:numPr>
          <w:ilvl w:val="1"/>
          <w:numId w:val="1004"/>
        </w:numPr>
        <w:pStyle w:val="Compact"/>
      </w:pPr>
      <w:r>
        <w:t xml:space="preserve">What is the name of the class being defined here?</w:t>
      </w:r>
    </w:p>
    <w:p>
      <w:pPr>
        <w:numPr>
          <w:ilvl w:val="1"/>
          <w:numId w:val="1004"/>
        </w:numPr>
        <w:pStyle w:val="Compact"/>
      </w:pPr>
      <w:r>
        <w:t xml:space="preserve">Where is the constructor for the class? What does it do?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instance variables</w:t>
      </w:r>
      <w:r>
        <w:t xml:space="preserve"> </w:t>
      </w:r>
      <w:r>
        <w:t xml:space="preserve">of the class?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methods</w:t>
      </w:r>
      <w:r>
        <w:t xml:space="preserve"> </w:t>
      </w:r>
      <w:r>
        <w:t xml:space="preserve">of the class?</w:t>
      </w:r>
    </w:p>
    <w:p>
      <w:pPr>
        <w:numPr>
          <w:ilvl w:val="1"/>
          <w:numId w:val="1004"/>
        </w:numPr>
        <w:pStyle w:val="Compact"/>
      </w:pPr>
      <w:r>
        <w:t xml:space="preserve">What are the</w:t>
      </w:r>
      <w:r>
        <w:t xml:space="preserve"> </w:t>
      </w:r>
      <w:r>
        <w:rPr>
          <w:iCs/>
          <w:i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method? What are their</w:t>
      </w:r>
      <w:r>
        <w:t xml:space="preserve"> </w:t>
      </w:r>
      <w:r>
        <w:rPr>
          <w:iCs/>
          <w:i/>
        </w:rPr>
        <w:t xml:space="preserve">types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What is the type of 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variable? In</w:t>
      </w:r>
      <w:r>
        <w:t xml:space="preserve"> </w:t>
      </w:r>
      <w:r>
        <w:t xml:space="preserve">what ways is it different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instance variable?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1"/>
          <w:numId w:val="1005"/>
        </w:numPr>
        <w:pStyle w:val="SolutionStyle"/>
      </w:pPr>
      <w:r>
        <w:t xml:space="preserve">The name of the class is</w:t>
      </w:r>
      <w:r>
        <w:t xml:space="preserve"> </w:t>
      </w:r>
      <w:r>
        <w:t xml:space="preserve">“</w:t>
      </w:r>
      <w:r>
        <w:rPr>
          <w:rStyle w:val="VerbatimChar"/>
        </w:rPr>
        <w:t xml:space="preserve">Person</w:t>
      </w:r>
      <w:r>
        <w:t xml:space="preserve">”</w:t>
      </w:r>
      <w:r>
        <w:t xml:space="preserve">.</w:t>
      </w:r>
    </w:p>
    <w:p>
      <w:pPr>
        <w:numPr>
          <w:ilvl w:val="1"/>
          <w:numId w:val="1005"/>
        </w:numPr>
        <w:pStyle w:val="SolutionStyle"/>
      </w:pPr>
      <w:r>
        <w:t xml:space="preserve">The constructor of the class is the portion starting with the line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 bestFriend</w:t>
      </w:r>
      <w:r>
        <w:rPr>
          <w:rStyle w:val="OperatorTok"/>
        </w:rPr>
        <w:t xml:space="preserve">)</w:t>
      </w:r>
    </w:p>
    <w:p>
      <w:pPr>
        <w:numPr>
          <w:ilvl w:val="1"/>
          <w:numId w:val="1000"/>
        </w:numPr>
        <w:pStyle w:val="SolutionStyle"/>
      </w:pPr>
      <w:r>
        <w:t xml:space="preserve">It ensures that all the instance variables of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are initialized</w:t>
      </w:r>
      <w:r>
        <w:t xml:space="preserve"> </w:t>
      </w:r>
      <w:r>
        <w:t xml:space="preserve">and that the new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object is in a consistent state.</w:t>
      </w:r>
    </w:p>
    <w:p>
      <w:pPr>
        <w:numPr>
          <w:ilvl w:val="1"/>
          <w:numId w:val="1005"/>
        </w:numPr>
        <w:pStyle w:val="SolutionStyle"/>
      </w:pPr>
      <w:r>
        <w:t xml:space="preserve">The instance variables are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.</w:t>
      </w:r>
    </w:p>
    <w:p>
      <w:pPr>
        <w:numPr>
          <w:ilvl w:val="1"/>
          <w:numId w:val="1005"/>
        </w:numPr>
        <w:pStyle w:val="SolutionStyle"/>
      </w:pPr>
      <w:r>
        <w:t xml:space="preserve">The methods are</w:t>
      </w:r>
      <w:r>
        <w:t xml:space="preserve"> </w:t>
      </w:r>
      <w:r>
        <w:rPr>
          <w:rStyle w:val="VerbatimChar"/>
        </w:rPr>
        <w:t xml:space="preserve">getAge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setAge</w:t>
      </w:r>
    </w:p>
    <w:p>
      <w:pPr>
        <w:numPr>
          <w:ilvl w:val="1"/>
          <w:numId w:val="1005"/>
        </w:numPr>
        <w:pStyle w:val="SolutionStyle"/>
      </w:pPr>
      <w:r>
        <w:t xml:space="preserve">The only parameter 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 is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which has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p>
      <w:pPr>
        <w:numPr>
          <w:ilvl w:val="1"/>
          <w:numId w:val="1005"/>
        </w:numPr>
        <w:pStyle w:val="SolutionStyle"/>
      </w:pPr>
      <w:r>
        <w:t xml:space="preserve">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 is of type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. It is</w:t>
      </w:r>
      <w:r>
        <w:t xml:space="preserve"> </w:t>
      </w:r>
      <w:r>
        <w:t xml:space="preserve">different 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 that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type,</w:t>
      </w:r>
      <w:r>
        <w:t xml:space="preserve"> </w:t>
      </w:r>
      <w:r>
        <w:t xml:space="preserve">whereas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type.</w:t>
      </w:r>
    </w:p>
    <w:p>
      <w:pPr>
        <w:pStyle w:val="FirstParagraph"/>
      </w:pPr>
      <w:r>
        <w:t xml:space="preserve"> </w:t>
      </w:r>
    </w:p>
    <w:p>
      <w:pPr>
        <w:numPr>
          <w:ilvl w:val="0"/>
          <w:numId w:val="1006"/>
        </w:numPr>
      </w:pPr>
      <w:r>
        <w:t xml:space="preserve">What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is each part of the following Java statement?</w:t>
      </w:r>
      <w:r>
        <w:t xml:space="preserve"> </w:t>
      </w:r>
      <w:r>
        <w:t xml:space="preserve">How does it work?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myObject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rPr>
          <w:rStyle w:val="VerbatimChar"/>
        </w:rPr>
        <w:t xml:space="preserve">System</w:t>
      </w:r>
      <w:r>
        <w:t xml:space="preserve"> </w:t>
      </w:r>
      <w:r>
        <w:t xml:space="preserve">is a class (you can find the documentation for it</w:t>
      </w:r>
      <w:r>
        <w:t xml:space="preserve"> </w:t>
      </w:r>
      <w:r>
        <w:t xml:space="preserve">on the Oracle website, at</w:t>
      </w:r>
      <w:r>
        <w:t xml:space="preserve"> </w:t>
      </w:r>
      <w:hyperlink r:id="rId21">
        <w:r>
          <w:rPr>
            <w:rStyle w:val="Hyperlink"/>
          </w:rPr>
          <w:t xml:space="preserve">https://docs.oracle.com/javase/7/docs/api/java/lang/System.html</w:t>
        </w:r>
      </w:hyperlink>
      <w:r>
        <w:t xml:space="preserve">).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is a static field of the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class, and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is a method of</w:t>
      </w:r>
      <w:r>
        <w:t xml:space="preserve"> </w:t>
      </w:r>
      <w:r>
        <w:rPr>
          <w:rStyle w:val="VerbatimChar"/>
        </w:rPr>
        <w:t xml:space="preserve">out</w:t>
      </w:r>
      <w:r>
        <w:t xml:space="preserve">.</w:t>
      </w:r>
      <w:r>
        <w:t xml:space="preserve"> </w:t>
      </w:r>
      <w:r>
        <w:rPr>
          <w:rStyle w:val="VerbatimChar"/>
        </w:rPr>
        <w:t xml:space="preserve">myObject</w:t>
      </w:r>
      <w:r>
        <w:t xml:space="preserve"> </w:t>
      </w:r>
      <w:r>
        <w:t xml:space="preserve">is an argument being passed to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method; we are not told</w:t>
      </w:r>
      <w:r>
        <w:t xml:space="preserve"> </w:t>
      </w:r>
      <w:r>
        <w:t xml:space="preserve">its type.</w:t>
      </w:r>
    </w:p>
    <w:p>
      <w:pPr>
        <w:numPr>
          <w:ilvl w:val="0"/>
          <w:numId w:val="1006"/>
        </w:numPr>
      </w:pPr>
      <w:r>
        <w:t xml:space="preserve">What is meant by each part of the following Java code fragment: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- The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modifier means that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can be accessed by</w:t>
      </w:r>
      <w:r>
        <w:t xml:space="preserve"> </w:t>
      </w:r>
      <w:r>
        <w:t xml:space="preserve">code in any class, rather than being limited to code in methods of the</w:t>
      </w:r>
      <w:r>
        <w:t xml:space="preserve"> </w:t>
      </w:r>
      <w:r>
        <w:t xml:space="preserve">class that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contained in.</w:t>
      </w:r>
    </w:p>
    <w:p>
      <w:pPr>
        <w:numPr>
          <w:ilvl w:val="0"/>
          <w:numId w:val="1000"/>
        </w:numPr>
        <w:pStyle w:val="SolutionStyle"/>
      </w:pPr>
      <w:r>
        <w:t xml:space="preserve"> - The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modifier means the method can be called even without an</w:t>
      </w:r>
      <w:r>
        <w:t xml:space="preserve"> </w:t>
      </w:r>
      <w:r>
        <w:t xml:space="preserve">object to invoke it on.</w:t>
      </w:r>
    </w:p>
    <w:p>
      <w:pPr>
        <w:numPr>
          <w:ilvl w:val="0"/>
          <w:numId w:val="1000"/>
        </w:numPr>
        <w:pStyle w:val="SolutionStyle"/>
      </w:pPr>
      <w:r>
        <w:t xml:space="preserve"> - The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return type means the method does not return a value.</w:t>
      </w:r>
    </w:p>
    <w:p>
      <w:pPr>
        <w:numPr>
          <w:ilvl w:val="0"/>
          <w:numId w:val="1000"/>
        </w:numPr>
        <w:pStyle w:val="SolutionStyle"/>
      </w:pPr>
      <w:r>
        <w:t xml:space="preserve">- The portion within parentheses (</w:t>
      </w:r>
      <w:r>
        <w:t xml:space="preserve">“</w:t>
      </w:r>
      <w:r>
        <w:rPr>
          <w:rStyle w:val="VerbatimChar"/>
        </w:rPr>
        <w:t xml:space="preserve">String[] args</w:t>
      </w:r>
      <w:r>
        <w:t xml:space="preserve">”</w:t>
      </w:r>
      <w:r>
        <w:t xml:space="preserve">) means that this method</w:t>
      </w:r>
      <w:r>
        <w:t xml:space="preserve"> </w:t>
      </w:r>
      <w:r>
        <w:t xml:space="preserve">takes one argument called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which is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s.</w:t>
      </w:r>
    </w:p>
    <w:p>
      <w:pPr>
        <w:numPr>
          <w:ilvl w:val="0"/>
          <w:numId w:val="1006"/>
        </w:numPr>
      </w:pPr>
      <w:r>
        <w:t xml:space="preserve">What is meant by each part of the Java statement: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How does it differ from the following?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imports the</w:t>
      </w:r>
      <w:r>
        <w:t xml:space="preserve"> </w:t>
      </w:r>
      <w:r>
        <w:rPr>
          <w:rStyle w:val="VerbatimChar"/>
        </w:rPr>
        <w:t xml:space="preserve">java.util.ArrayList</w:t>
      </w:r>
      <w:r>
        <w:t xml:space="preserve"> </w:t>
      </w:r>
      <w:r>
        <w:t xml:space="preserve">class, meaning it</w:t>
      </w:r>
      <w:r>
        <w:t xml:space="preserve"> </w:t>
      </w:r>
      <w:r>
        <w:t xml:space="preserve">can be referred to without having to specify its pacage.</w:t>
      </w:r>
    </w:p>
    <w:p>
      <w:pPr>
        <w:numPr>
          <w:ilvl w:val="0"/>
          <w:numId w:val="1000"/>
        </w:numPr>
        <w:pStyle w:val="SolutionStyle"/>
      </w:pPr>
      <w:r>
        <w:t xml:space="preserve">The second one imports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class in the</w:t>
      </w:r>
      <w:r>
        <w:t xml:space="preserve"> </w:t>
      </w:r>
      <w:r>
        <w:rPr>
          <w:rStyle w:val="VerbatimChar"/>
        </w:rPr>
        <w:t xml:space="preserve">java.util</w:t>
      </w:r>
      <w:r>
        <w:t xml:space="preserve"> </w:t>
      </w:r>
      <w:r>
        <w:t xml:space="preserve">package.</w:t>
      </w:r>
    </w:p>
    <w:p>
      <w:pPr>
        <w:numPr>
          <w:ilvl w:val="0"/>
          <w:numId w:val="1006"/>
        </w:numPr>
      </w:pPr>
      <w:r>
        <w:t xml:space="preserve">Suppose we execute the following two Java statements: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value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Suppose we execute the following two Java statements: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xxx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red == xxx</w:t>
      </w:r>
      <w:r>
        <w:t xml:space="preserve">”</w:t>
      </w:r>
      <w:r>
        <w:t xml:space="preserve">, and why?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value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This is because</w:t>
      </w:r>
      <w:r>
        <w:t xml:space="preserve"> </w:t>
      </w:r>
      <w:r>
        <w:rPr>
          <w:rStyle w:val="VerbatimChar"/>
        </w:rPr>
        <w:t xml:space="preserve">java.awt.Color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type, not a value type (which we can tell, because it is</w:t>
      </w:r>
      <w:r>
        <w:t xml:space="preserve"> </w:t>
      </w:r>
      <w:r>
        <w:t xml:space="preserve">constructed using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new</w:t>
      </w:r>
      <w:r>
        <w:t xml:space="preserve">”</w:t>
      </w:r>
      <w:r>
        <w:t xml:space="preserve"> </w:t>
      </w:r>
      <w:r>
        <w:t xml:space="preserve">keyword).</w:t>
      </w:r>
    </w:p>
    <w:p>
      <w:pPr>
        <w:numPr>
          <w:ilvl w:val="0"/>
          <w:numId w:val="1000"/>
        </w:numPr>
        <w:pStyle w:val="SolutionStyle"/>
      </w:pPr>
      <w:r>
        <w:t xml:space="preserve">When applied to reference types,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(equality) operator compares the location</w:t>
      </w:r>
      <w:r>
        <w:t xml:space="preserve"> </w:t>
      </w:r>
      <w:r>
        <w:t xml:space="preserve">in memory of the objects being compared, which in this case will not be the same;</w:t>
      </w:r>
      <w:r>
        <w:t xml:space="preserve"> </w:t>
      </w:r>
      <w:r>
        <w:t xml:space="preserve">hence, the result is</w:t>
      </w:r>
      <w:r>
        <w:t xml:space="preserve"> </w:t>
      </w:r>
      <w:r>
        <w:t xml:space="preserve">“</w:t>
      </w:r>
      <w:r>
        <w:rPr>
          <w:rStyle w:val="VerbatimChar"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We have two monkeys, A and B, and the boolean variables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indicate if each is smiling. We are in trouble if they are</w:t>
      </w:r>
      <w:r>
        <w:t xml:space="preserve"> </w:t>
      </w:r>
      <w:r>
        <w:t xml:space="preserve">both smiling or if neither of them is smiling. Which of the</w:t>
      </w:r>
      <w:r>
        <w:t xml:space="preserve"> </w:t>
      </w:r>
      <w:r>
        <w:t xml:space="preserve">following expressions evaluates to true if and only if we are in trouble?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aSmile || bSmile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aSmile &amp;&amp; bSmile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aSmile == bSmile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correct answer is</w:t>
      </w:r>
      <w:r>
        <w:t xml:space="preserve"> </w:t>
      </w:r>
      <w:r>
        <w:rPr>
          <w:bCs/>
          <w:b/>
        </w:rPr>
        <w:t xml:space="preserve">c</w:t>
      </w:r>
      <w:r>
        <w:t xml:space="preserve">. This will evaluate to true if both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are false, and also if they are both true.</w:t>
      </w:r>
    </w:p>
    <w:p>
      <w:pPr>
        <w:pStyle w:val="FirstParagraph"/>
      </w:pPr>
      <w:r>
        <w:t xml:space="preserve">For more Java revision questions, see</w:t>
      </w:r>
    </w:p>
    <w:p>
      <w:pPr>
        <w:pStyle w:val="TextBody"/>
      </w:pPr>
      <w:hyperlink r:id="rId22">
        <w:r>
          <w:rPr>
            <w:rStyle w:val="Hyperlink"/>
            <w:bCs/>
            <w:b/>
          </w:rPr>
          <w:t xml:space="preserve">http://teaching.csse.uwa.edu.au/units/CITS2200/Tutorials/tutorial02.html</w:t>
        </w:r>
      </w:hyperlink>
    </w:p>
    <w:bookmarkEnd w:id="23"/>
    <w:bookmarkStart w:id="26" w:name="c.-linked-lists"/>
    <w:p>
      <w:pPr>
        <w:pStyle w:val="Heading2"/>
      </w:pPr>
      <w:r>
        <w:t xml:space="preserve">C. Linked Lists</w:t>
      </w:r>
    </w:p>
    <w:p>
      <w:pPr>
        <w:numPr>
          <w:ilvl w:val="0"/>
          <w:numId w:val="1008"/>
        </w:numPr>
      </w:pPr>
      <w:r>
        <w:t xml:space="preserve">Let Link be an object with two member variables: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Link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Assume that the variable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is a reference to a Link object containing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t xml:space="preserve">whose next is a link object containing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whose next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 </w:t>
      </w:r>
      <w:r>
        <w:t xml:space="preserve"> </w:t>
      </w:r>
      <w:r>
        <w:drawing>
          <wp:inline>
            <wp:extent cx="4762500" cy="539944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Which of the following code snippets successfully reverses this</w:t>
      </w:r>
      <w:r>
        <w:t xml:space="preserve"> </w:t>
      </w:r>
      <w:r>
        <w:t xml:space="preserve">structure, so as to give the following list?</w:t>
      </w:r>
    </w:p>
    <w:p>
      <w:pPr>
        <w:numPr>
          <w:ilvl w:val="0"/>
          <w:numId w:val="1000"/>
        </w:numPr>
      </w:pPr>
      <w:r>
        <w:t xml:space="preserve"> </w:t>
      </w:r>
      <w:r>
        <w:t xml:space="preserve"> </w:t>
      </w:r>
      <w:r>
        <w:drawing>
          <wp:inline>
            <wp:extent cx="4762500" cy="788394"/>
            <wp:effectExtent b="0" l="0" r="0" t="0"/>
            <wp:docPr descr="" title="a-b list reversed" id="1" name="Picture"/>
            <a:graphic>
              <a:graphicData uri="http://schemas.openxmlformats.org/drawingml/2006/picture">
                <pic:pic>
                  <pic:nvPicPr>
                    <pic:cNvPr descr="images/a-b-list-revers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Draw a picture of the result of each code snippet to explain your</w:t>
      </w:r>
      <w:r>
        <w:t xml:space="preserve"> </w:t>
      </w:r>
      <w:r>
        <w:t xml:space="preserve">answer.</w:t>
      </w:r>
    </w:p>
    <w:p>
      <w:pPr>
        <w:numPr>
          <w:ilvl w:val="1"/>
          <w:numId w:val="1009"/>
        </w:numPr>
        <w:pStyle w:val="SourceCode"/>
      </w:pP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  <w:pStyle w:val="SourceCode"/>
      </w:pP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  <w:pStyle w:val="SourceCode"/>
      </w:pPr>
      <w:r>
        <w:rPr>
          <w:rStyle w:val="NormalTok"/>
        </w:rPr>
        <w:t xml:space="preserve">Link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  <w:pStyle w:val="SourceCode"/>
      </w:pPr>
      <w:r>
        <w:rPr>
          <w:rStyle w:val="NormalTok"/>
        </w:rPr>
        <w:t xml:space="preserve">Link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correct answer is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bookmarkEnd w:id="26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fals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hyperlink" Id="rId22" Target="http://teaching.csse.uwa.edu.au/units/CITS2200/Tutorials/tutorial02.html" TargetMode="External" /><Relationship Type="http://schemas.openxmlformats.org/officeDocument/2006/relationships/hyperlink" Id="rId21" Target="https://docs.oracle.com/javase/7/docs/api/java/lang/Syste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teaching.csse.uwa.edu.au/units/CITS2200/Tutorials/tutorial02.html" TargetMode="External" /><Relationship Type="http://schemas.openxmlformats.org/officeDocument/2006/relationships/hyperlink" Id="rId21" Target="https://docs.oracle.com/javase/7/docs/api/java/lang/Syste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1 problem sheet</dc:title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