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</w:p>
    <w:p>
      <w:pPr>
        <w:jc w:val="center"/>
        <w:rPr>
          <w:rFonts w:ascii="微软雅黑" w:hAnsi="微软雅黑" w:eastAsia="微软雅黑" w:cs="微软雅黑"/>
          <w:sz w:val="44"/>
        </w:rPr>
      </w:pPr>
    </w:p>
    <w:p>
      <w:pPr>
        <w:jc w:val="center"/>
        <w:rPr>
          <w:rFonts w:ascii="微软雅黑" w:hAnsi="微软雅黑" w:eastAsia="微软雅黑" w:cs="微软雅黑"/>
          <w:sz w:val="44"/>
        </w:rPr>
      </w:pPr>
    </w:p>
    <w:p>
      <w:pPr>
        <w:jc w:val="center"/>
        <w:rPr>
          <w:rFonts w:ascii="微软雅黑" w:hAnsi="微软雅黑" w:eastAsia="微软雅黑" w:cs="微软雅黑"/>
          <w:sz w:val="44"/>
        </w:rPr>
      </w:pPr>
    </w:p>
    <w:p>
      <w:pPr>
        <w:jc w:val="center"/>
      </w:pPr>
      <w:r>
        <w:rPr>
          <w:rFonts w:ascii="微软雅黑" w:hAnsi="微软雅黑" w:eastAsia="微软雅黑" w:cs="微软雅黑"/>
          <w:sz w:val="44"/>
        </w:rPr>
        <w:t>详细设计说明书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微软雅黑" w:hAnsi="微软雅黑" w:eastAsia="微软雅黑" w:cs="微软雅黑"/>
          <w:sz w:val="20"/>
        </w:rPr>
        <w:t xml:space="preserve">                                   </w:t>
      </w:r>
      <w:r>
        <w:rPr>
          <w:rFonts w:ascii="微软雅黑" w:hAnsi="微软雅黑" w:eastAsia="微软雅黑" w:cs="微软雅黑"/>
          <w:sz w:val="24"/>
        </w:rPr>
        <w:t xml:space="preserve">  </w:t>
      </w:r>
      <w:r>
        <w:rPr>
          <w:rFonts w:ascii="微软雅黑" w:hAnsi="微软雅黑" w:eastAsia="微软雅黑" w:cs="微软雅黑"/>
          <w:sz w:val="32"/>
        </w:rPr>
        <w:t>——</w:t>
      </w:r>
      <w:r>
        <w:rPr>
          <w:rFonts w:hint="eastAsia" w:ascii="微软雅黑" w:hAnsi="微软雅黑" w:eastAsia="微软雅黑" w:cs="微软雅黑"/>
          <w:sz w:val="32"/>
        </w:rPr>
        <w:t>流式组件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微软雅黑" w:hAnsi="微软雅黑" w:eastAsia="微软雅黑" w:cs="微软雅黑"/>
          <w:sz w:val="28"/>
        </w:rPr>
        <w:t>研发中心</w:t>
      </w:r>
    </w:p>
    <w:p>
      <w:pPr>
        <w:pBdr>
          <w:bottom w:val="single" w:color="000000" w:sz="8" w:space="0"/>
        </w:pBdr>
      </w:pPr>
      <w:r>
        <w:rPr>
          <w:rFonts w:ascii="微软雅黑" w:hAnsi="微软雅黑" w:eastAsia="微软雅黑" w:cs="微软雅黑"/>
        </w:rPr>
        <w:br w:type="page"/>
      </w:r>
    </w:p>
    <w:p/>
    <w:p>
      <w:pPr>
        <w:pStyle w:val="2"/>
      </w:pPr>
    </w:p>
    <w:p>
      <w:pPr>
        <w:pStyle w:val="2"/>
        <w:numPr>
          <w:ilvl w:val="0"/>
          <w:numId w:val="1"/>
        </w:numPr>
      </w:pPr>
      <w:r>
        <w:t>功能描述</w:t>
      </w:r>
    </w:p>
    <w:p>
      <w:pPr>
        <w:spacing w:before="40" w:after="40"/>
        <w:ind w:left="336" w:hanging="336"/>
      </w:pPr>
      <w:r>
        <w:rPr>
          <w:rFonts w:ascii="Wingdings" w:hAnsi="Wingdings" w:eastAsia="Wingdings" w:cs="Wingdings"/>
        </w:rPr>
        <w:t>l </w:t>
      </w:r>
      <w:r>
        <w:rPr>
          <w:rFonts w:hint="eastAsia" w:ascii="等线" w:hAnsi="等线" w:eastAsia="等线" w:cs="等线"/>
        </w:rPr>
        <w:t>拖入默认间隔16px，子组件可单独修改与前一个子组件得间隔</w:t>
      </w:r>
    </w:p>
    <w:p>
      <w:pPr>
        <w:spacing w:before="40" w:after="40"/>
        <w:ind w:left="336" w:hanging="336"/>
      </w:pPr>
      <w:r>
        <w:rPr>
          <w:rFonts w:ascii="Wingdings" w:hAnsi="Wingdings" w:eastAsia="Wingdings" w:cs="Wingdings"/>
        </w:rPr>
        <w:t>l </w:t>
      </w:r>
      <w:r>
        <w:rPr>
          <w:rFonts w:ascii="等线" w:hAnsi="等线" w:eastAsia="等线" w:cs="等线"/>
        </w:rPr>
        <w:t>可横向、</w:t>
      </w:r>
      <w:r>
        <w:rPr>
          <w:rFonts w:hint="eastAsia" w:ascii="等线" w:hAnsi="等线" w:eastAsia="等线" w:cs="等线"/>
        </w:rPr>
        <w:t>分行展示</w:t>
      </w:r>
    </w:p>
    <w:p>
      <w:pPr>
        <w:spacing w:before="40" w:after="40"/>
        <w:ind w:left="336" w:hanging="336"/>
      </w:pPr>
      <w:r>
        <w:rPr>
          <w:rFonts w:ascii="Wingdings" w:hAnsi="Wingdings" w:eastAsia="Wingdings" w:cs="Wingdings"/>
        </w:rPr>
        <w:t>l </w:t>
      </w:r>
      <w:r>
        <w:rPr>
          <w:rFonts w:ascii="等线" w:hAnsi="等线" w:eastAsia="等线" w:cs="等线"/>
        </w:rPr>
        <w:t>内部组件拖拽调整位置的交互类似栅格内部拖拽</w:t>
      </w:r>
    </w:p>
    <w:p>
      <w:pPr>
        <w:spacing w:before="40" w:after="40"/>
        <w:ind w:left="336" w:hanging="336"/>
        <w:rPr>
          <w:rFonts w:ascii="等线" w:hAnsi="等线" w:eastAsia="等线" w:cs="等线"/>
        </w:rPr>
      </w:pPr>
      <w:r>
        <w:rPr>
          <w:rFonts w:ascii="Wingdings" w:hAnsi="Wingdings" w:eastAsia="Wingdings" w:cs="Wingdings"/>
        </w:rPr>
        <w:t>l </w:t>
      </w:r>
      <w:r>
        <w:rPr>
          <w:rFonts w:ascii="等线" w:hAnsi="等线" w:eastAsia="等线" w:cs="等线"/>
        </w:rPr>
        <w:t>内部组件支持隐藏后，自适应显示</w:t>
      </w:r>
      <w:r>
        <w:rPr>
          <w:rFonts w:hint="eastAsia" w:ascii="等线" w:hAnsi="等线" w:eastAsia="等线" w:cs="等线"/>
        </w:rPr>
        <w:t>，若第一行有空缺，第二行第一个组件所占位置小于第一行空缺，实现向上补位</w:t>
      </w:r>
    </w:p>
    <w:p>
      <w:pPr>
        <w:pStyle w:val="2"/>
        <w:numPr>
          <w:ilvl w:val="0"/>
          <w:numId w:val="1"/>
        </w:numPr>
      </w:pPr>
      <w:r>
        <w:t>组件样式</w:t>
      </w:r>
    </w:p>
    <w:p>
      <w:pPr>
        <w:pStyle w:val="3"/>
        <w:numPr>
          <w:ilvl w:val="1"/>
          <w:numId w:val="1"/>
        </w:numPr>
      </w:pPr>
      <w:r>
        <w:t>画布组件样式</w:t>
      </w:r>
    </w:p>
    <w:p>
      <w:pPr>
        <w:jc w:val="both"/>
      </w:pPr>
      <w:r>
        <w:t>组件内部可拖入子组件，子组件不可自适应变化。</w:t>
      </w:r>
    </w:p>
    <w:p>
      <w:r>
        <w:drawing>
          <wp:inline distT="0" distB="0" distL="0" distR="0">
            <wp:extent cx="5553075" cy="1524000"/>
            <wp:effectExtent l="0" t="0" r="0" b="0"/>
            <wp:docPr id="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默认拖入组件后按照配置间隔大小16px自动从左到右进行排列，且整体居</w:t>
      </w:r>
      <w:r>
        <w:rPr>
          <w:rFonts w:hint="eastAsia"/>
        </w:rPr>
        <w:t>左</w:t>
      </w:r>
      <w:r>
        <w:t>。</w:t>
      </w:r>
    </w:p>
    <w:p>
      <w:r>
        <w:drawing>
          <wp:inline distT="0" distB="0" distL="0" distR="0">
            <wp:extent cx="5760085" cy="1748790"/>
            <wp:effectExtent l="0" t="0" r="0" b="3810"/>
            <wp:docPr id="140357673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6734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8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>内部组件默认为上辅轴对齐方式，可改为居中或下对齐。</w:t>
      </w:r>
    </w:p>
    <w:p>
      <w:r>
        <w:drawing>
          <wp:inline distT="0" distB="0" distL="0" distR="0">
            <wp:extent cx="5760085" cy="199898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914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60085" cy="1816735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7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在放置过程中，如果超过第一行的放置宽度，则只可以放置在第行二</w:t>
      </w:r>
    </w:p>
    <w:p>
      <w:r>
        <w:rPr>
          <w:rFonts w:hint="eastAsia"/>
        </w:rPr>
        <w:t>若在一行中加入新的组件，则会将超出的画布的组件移到下一行</w:t>
      </w:r>
    </w:p>
    <w:p>
      <w:pPr>
        <w:pStyle w:val="3"/>
        <w:numPr>
          <w:ilvl w:val="1"/>
          <w:numId w:val="1"/>
        </w:numPr>
      </w:pPr>
      <w:r>
        <w:rPr>
          <w:highlight w:val="yellow"/>
        </w:rPr>
        <w:t>预览组件样式</w:t>
      </w:r>
    </w:p>
    <w:p>
      <w:pPr>
        <w:jc w:val="center"/>
      </w:pPr>
    </w:p>
    <w:p>
      <w:pPr>
        <w:jc w:val="both"/>
      </w:pPr>
      <w:r>
        <w:t>可根据天斧配置的间隔布局进行相应展示，并可根据内容的显隐自适应布局</w:t>
      </w:r>
      <w:r>
        <w:rPr>
          <w:rFonts w:hint="eastAsia"/>
        </w:rPr>
        <w:t>，若超出页面宽度或者区域固定宽度，则换行展示；隐藏某个组件后其余组件会依次向上向左移动</w:t>
      </w:r>
    </w:p>
    <w:p>
      <w:pPr>
        <w:jc w:val="both"/>
      </w:pPr>
      <w:r>
        <w:drawing>
          <wp:inline distT="0" distB="0" distL="0" distR="0">
            <wp:extent cx="4514850" cy="143827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0" distR="0">
            <wp:extent cx="5274310" cy="285686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both"/>
      </w:pPr>
      <w:r>
        <w:t>画布操作</w:t>
      </w:r>
    </w:p>
    <w:p>
      <w:pPr>
        <w:pStyle w:val="3"/>
      </w:pPr>
      <w:r>
        <w:t>3.1. 拖入到画布</w:t>
      </w:r>
    </w:p>
    <w:p>
      <w:r>
        <w:t>生成一个默认的区域，可拖入组件。</w:t>
      </w:r>
    </w:p>
    <w:p>
      <w:pPr>
        <w:pStyle w:val="3"/>
      </w:pPr>
      <w:r>
        <w:t>3.2. 拖入组件至</w:t>
      </w:r>
      <w:r>
        <w:rPr>
          <w:rFonts w:hint="eastAsia"/>
        </w:rPr>
        <w:t>流式</w:t>
      </w:r>
      <w:r>
        <w:t>组件</w:t>
      </w:r>
    </w:p>
    <w:p>
      <w:r>
        <w:t>新拖入的组件默认横向居中排列显示，默认间距16px，每拖入一个组件，则与上一个子组件相隔默认间距，居上轴对齐。</w:t>
      </w:r>
    </w:p>
    <w:p>
      <w:pPr>
        <w:pStyle w:val="3"/>
      </w:pPr>
      <w:r>
        <w:t>3.3. 组件间距</w:t>
      </w:r>
    </w:p>
    <w:p>
      <w:r>
        <w:t>显示为文本行，可手动填写间距数值，默认为16，画布间隔组件中子组件布局应随配置变化进行变化。</w:t>
      </w:r>
    </w:p>
    <w:p>
      <w:pPr>
        <w:pStyle w:val="3"/>
      </w:pPr>
      <w:r>
        <w:t>3.4. 轴对齐方式</w:t>
      </w:r>
    </w:p>
    <w:p>
      <w:r>
        <w:t>操作方式为对齐方式下拉选项，若排布方式为横向对齐，选项内容为</w:t>
      </w:r>
      <w:r>
        <w:rPr>
          <w:rFonts w:hint="eastAsia"/>
        </w:rPr>
        <w:t>上轴</w:t>
      </w:r>
      <w:r>
        <w:t>对齐、</w:t>
      </w:r>
      <w:r>
        <w:rPr>
          <w:rFonts w:hint="eastAsia"/>
        </w:rPr>
        <w:t>居中</w:t>
      </w:r>
      <w:r>
        <w:t>、</w:t>
      </w:r>
      <w:r>
        <w:rPr>
          <w:rFonts w:hint="eastAsia"/>
        </w:rPr>
        <w:t>下轴</w:t>
      </w:r>
      <w:r>
        <w:t>对齐，默认为</w:t>
      </w:r>
      <w:r>
        <w:rPr>
          <w:rFonts w:hint="eastAsia"/>
        </w:rPr>
        <w:t>上轴</w:t>
      </w:r>
      <w:r>
        <w:t>对齐。画布间隔组件中子组件布局应随配置变化进行变化。</w:t>
      </w:r>
    </w:p>
    <w:p>
      <w:pPr>
        <w:pStyle w:val="3"/>
      </w:pPr>
      <w:r>
        <w:t>3.5. 横向对齐方式</w:t>
      </w:r>
    </w:p>
    <w:p>
      <w:r>
        <w:t>默认为</w:t>
      </w:r>
      <w:r>
        <w:rPr>
          <w:rFonts w:hint="eastAsia"/>
        </w:rPr>
        <w:t>居左</w:t>
      </w:r>
      <w:r>
        <w:t>对齐，</w:t>
      </w:r>
      <w:r>
        <w:rPr>
          <w:rFonts w:hint="eastAsia"/>
        </w:rPr>
        <w:t>无需进行修改</w:t>
      </w:r>
      <w:r>
        <w:t>。</w:t>
      </w:r>
    </w:p>
    <w:p>
      <w:pPr>
        <w:pStyle w:val="3"/>
      </w:pPr>
      <w:r>
        <w:t>3.</w:t>
      </w:r>
      <w:r>
        <w:rPr>
          <w:rFonts w:hint="eastAsia"/>
        </w:rPr>
        <w:t>6</w:t>
      </w:r>
      <w:r>
        <w:t>. 大纲</w:t>
      </w:r>
    </w:p>
    <w:p>
      <w:r>
        <w:t>第一级为</w:t>
      </w:r>
      <w:r>
        <w:rPr>
          <w:rFonts w:hint="eastAsia"/>
        </w:rPr>
        <w:t>流式</w:t>
      </w:r>
      <w:r>
        <w:t>组件，第二级为</w:t>
      </w:r>
      <w:r>
        <w:rPr>
          <w:rFonts w:hint="eastAsia"/>
        </w:rPr>
        <w:t>流式</w:t>
      </w:r>
      <w:r>
        <w:t>组件子组件。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流式组件</w:t>
      </w:r>
    </w:p>
    <w:p>
      <w:r>
        <w:tab/>
      </w:r>
      <w:r>
        <w:tab/>
      </w:r>
      <w:r>
        <w:tab/>
      </w:r>
      <w:r>
        <w:rPr>
          <w:rFonts w:hint="eastAsia"/>
        </w:rPr>
        <w:t>按钮</w:t>
      </w:r>
    </w:p>
    <w:p>
      <w:r>
        <w:tab/>
      </w:r>
      <w:r>
        <w:tab/>
      </w:r>
      <w:r>
        <w:tab/>
      </w:r>
      <w:r>
        <w:rPr>
          <w:rFonts w:hint="eastAsia"/>
        </w:rPr>
        <w:t>按钮</w:t>
      </w:r>
    </w:p>
    <w:p>
      <w:r>
        <w:tab/>
      </w:r>
      <w:r>
        <w:tab/>
      </w:r>
      <w:r>
        <w:tab/>
      </w:r>
      <w:r>
        <w:rPr>
          <w:rFonts w:hint="eastAsia"/>
        </w:rPr>
        <w:t>单行文本</w:t>
      </w:r>
    </w:p>
    <w:p>
      <w:r>
        <w:tab/>
      </w:r>
      <w:r>
        <w:tab/>
      </w:r>
      <w:r>
        <w:tab/>
      </w:r>
      <w:r>
        <w:rPr>
          <w:rFonts w:hint="eastAsia"/>
        </w:rPr>
        <w:t>按钮</w:t>
      </w:r>
    </w:p>
    <w:p>
      <w:pPr>
        <w:pStyle w:val="2"/>
        <w:numPr>
          <w:ilvl w:val="0"/>
          <w:numId w:val="1"/>
        </w:numPr>
      </w:pPr>
      <w:r>
        <w:t>属性面板</w:t>
      </w:r>
    </w:p>
    <w:p>
      <w:pPr>
        <w:pStyle w:val="3"/>
        <w:numPr>
          <w:ilvl w:val="1"/>
          <w:numId w:val="1"/>
        </w:numPr>
      </w:pPr>
      <w:r>
        <w:t>公共样式</w:t>
      </w:r>
    </w:p>
    <w:p>
      <w:pPr>
        <w:ind w:firstLine="440" w:firstLineChars="200"/>
      </w:pPr>
      <w:r>
        <w:t>可切换组件公共样式、恢复组件公共样式默认值。</w:t>
      </w:r>
    </w:p>
    <w:p>
      <w:pPr>
        <w:pStyle w:val="3"/>
        <w:numPr>
          <w:ilvl w:val="1"/>
          <w:numId w:val="1"/>
        </w:numPr>
      </w:pPr>
      <w:r>
        <w:t>布局</w:t>
      </w:r>
    </w:p>
    <w:p>
      <w:pPr>
        <w:ind w:firstLine="44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设置组件的布局，可设置尺寸、定位、横向占满、纵向占满、水平居中、垂直居中、左浮动、右浮动、上浮动等布局。</w:t>
      </w:r>
    </w:p>
    <w:p>
      <w:pPr>
        <w:pStyle w:val="4"/>
        <w:numPr>
          <w:ilvl w:val="2"/>
          <w:numId w:val="1"/>
        </w:numPr>
      </w:pPr>
      <w:r>
        <w:t>组件尺寸</w:t>
      </w:r>
    </w:p>
    <w:p>
      <w:pPr>
        <w:ind w:firstLine="440" w:firstLineChars="200"/>
      </w:pPr>
      <w:r>
        <w:rPr>
          <w:rFonts w:ascii="微软雅黑" w:hAnsi="微软雅黑" w:eastAsia="微软雅黑" w:cs="微软雅黑"/>
        </w:rPr>
        <w:t>设置组件宽高。</w:t>
      </w:r>
    </w:p>
    <w:p>
      <w:pPr>
        <w:pStyle w:val="4"/>
        <w:numPr>
          <w:ilvl w:val="2"/>
          <w:numId w:val="1"/>
        </w:numPr>
      </w:pPr>
      <w:r>
        <w:t>组件定位</w:t>
      </w:r>
    </w:p>
    <w:p>
      <w:pPr>
        <w:numPr>
          <w:ilvl w:val="0"/>
          <w:numId w:val="3"/>
        </w:numPr>
      </w:pPr>
      <w:r>
        <w:rPr>
          <w:rFonts w:ascii="微软雅黑" w:hAnsi="微软雅黑" w:eastAsia="微软雅黑" w:cs="微软雅黑"/>
        </w:rPr>
        <w:t>横向占满：自动调节组件的宽度，根据浏览器窗口宽度变化而变化；</w:t>
      </w:r>
    </w:p>
    <w:p>
      <w:pPr>
        <w:numPr>
          <w:ilvl w:val="0"/>
          <w:numId w:val="3"/>
        </w:numPr>
      </w:pPr>
      <w:r>
        <w:rPr>
          <w:rFonts w:ascii="微软雅黑" w:hAnsi="微软雅黑" w:eastAsia="微软雅黑" w:cs="微软雅黑"/>
        </w:rPr>
        <w:t>纵向占满：自动调节组件的高度，根据浏览器窗口高度变化而变化；</w:t>
      </w:r>
    </w:p>
    <w:p>
      <w:pPr>
        <w:numPr>
          <w:ilvl w:val="0"/>
          <w:numId w:val="3"/>
        </w:numPr>
      </w:pPr>
      <w:r>
        <w:rPr>
          <w:rFonts w:ascii="微软雅黑" w:hAnsi="微软雅黑" w:eastAsia="微软雅黑" w:cs="微软雅黑"/>
        </w:rPr>
        <w:t>水平居中：设置组件在页面一直处于水平居中的位置，与横向占满互斥；</w:t>
      </w:r>
    </w:p>
    <w:p>
      <w:pPr>
        <w:numPr>
          <w:ilvl w:val="0"/>
          <w:numId w:val="3"/>
        </w:numPr>
      </w:pPr>
      <w:r>
        <w:t>垂直居中：设置组件在页面一直处于垂直居中的位置，与纵向占满互斥；</w:t>
      </w:r>
    </w:p>
    <w:p>
      <w:pPr>
        <w:numPr>
          <w:ilvl w:val="0"/>
          <w:numId w:val="3"/>
        </w:numPr>
      </w:pPr>
      <w:r>
        <w:rPr>
          <w:rFonts w:ascii="微软雅黑" w:hAnsi="微软雅黑" w:eastAsia="微软雅黑" w:cs="微软雅黑"/>
        </w:rPr>
        <w:t>定位：设置组件在页面上的定位方式，分为左上定位、右上定位、左下定位、右下定位、固定定位，默认左上定位。</w:t>
      </w:r>
    </w:p>
    <w:p>
      <w:pPr>
        <w:pStyle w:val="4"/>
        <w:numPr>
          <w:ilvl w:val="2"/>
          <w:numId w:val="1"/>
        </w:numPr>
      </w:pPr>
      <w:r>
        <w:t>组件浮动</w:t>
      </w:r>
    </w:p>
    <w:p>
      <w:pPr>
        <w:ind w:firstLine="44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可设置左浮动、右浮动、上浮动，配置后出现浮动间隔。</w:t>
      </w:r>
    </w:p>
    <w:p>
      <w:pPr>
        <w:pStyle w:val="4"/>
        <w:numPr>
          <w:ilvl w:val="2"/>
          <w:numId w:val="1"/>
        </w:numPr>
      </w:pPr>
      <w:r>
        <w:t>内边距</w:t>
      </w:r>
    </w:p>
    <w:p>
      <w:pPr>
        <w:ind w:firstLine="44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可设置顶部、右侧、底部、左侧内边距。</w:t>
      </w:r>
    </w:p>
    <w:p>
      <w:pPr>
        <w:pStyle w:val="3"/>
      </w:pPr>
      <w:r>
        <w:t>4.3. 填充</w:t>
      </w:r>
    </w:p>
    <w:p>
      <w:pPr>
        <w:ind w:firstLine="440" w:firstLineChars="200"/>
      </w:pPr>
      <w:r>
        <w:rPr>
          <w:rFonts w:ascii="等线" w:hAnsi="等线" w:eastAsia="等线" w:cs="等线"/>
        </w:rPr>
        <w:t>设置组件的背景颜色、背景图片，颜色关联主题配置-基础样式-颜色，图片默认没有。</w:t>
      </w:r>
    </w:p>
    <w:p>
      <w:pPr>
        <w:pStyle w:val="3"/>
      </w:pPr>
      <w:r>
        <w:t>4.</w:t>
      </w:r>
      <w:r>
        <w:rPr>
          <w:rFonts w:hint="eastAsia"/>
        </w:rPr>
        <w:t>4</w:t>
      </w:r>
      <w:r>
        <w:t>. 间距</w:t>
      </w:r>
    </w:p>
    <w:p>
      <w:pPr>
        <w:pStyle w:val="4"/>
        <w:ind w:firstLine="560" w:firstLineChars="200"/>
      </w:pPr>
      <w:r>
        <w:t>4.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.轴对齐方式</w:t>
      </w:r>
    </w:p>
    <w:p>
      <w:r>
        <w:t>操作方式为对齐方式下拉选项，若排布方式为横向对齐，选项内容为</w:t>
      </w:r>
      <w:r>
        <w:rPr>
          <w:rFonts w:hint="eastAsia"/>
        </w:rPr>
        <w:t>上轴</w:t>
      </w:r>
      <w:r>
        <w:t>对齐、</w:t>
      </w:r>
      <w:r>
        <w:rPr>
          <w:rFonts w:hint="eastAsia"/>
        </w:rPr>
        <w:t>居中</w:t>
      </w:r>
      <w:r>
        <w:t>、</w:t>
      </w:r>
      <w:r>
        <w:rPr>
          <w:rFonts w:hint="eastAsia"/>
        </w:rPr>
        <w:t>下轴</w:t>
      </w:r>
      <w:r>
        <w:t>对齐，默认为</w:t>
      </w:r>
      <w:r>
        <w:rPr>
          <w:rFonts w:hint="eastAsia"/>
        </w:rPr>
        <w:t>上轴</w:t>
      </w:r>
      <w:r>
        <w:t>对齐；画布间隔组件中子组件布局应随配置变化进行变化。</w:t>
      </w:r>
    </w:p>
    <w:p>
      <w:pPr>
        <w:pStyle w:val="4"/>
        <w:ind w:firstLine="560" w:firstLineChars="200"/>
      </w:pPr>
      <w:r>
        <w:t>4.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.子组件占满</w:t>
      </w:r>
    </w:p>
    <w:p>
      <w:r>
        <w:t>默认为不占满，子组件可选中占满。</w:t>
      </w:r>
    </w:p>
    <w:p/>
    <w:p>
      <w:pPr>
        <w:ind w:firstLine="440" w:firstLineChars="200"/>
      </w:pPr>
    </w:p>
    <w:p>
      <w:pPr>
        <w:pStyle w:val="2"/>
        <w:numPr>
          <w:ilvl w:val="0"/>
          <w:numId w:val="1"/>
        </w:numPr>
      </w:pPr>
      <w:r>
        <w:t>交互面板</w:t>
      </w:r>
    </w:p>
    <w:p>
      <w:r>
        <w:t xml:space="preserve">       交互面板只保留事件动作配置。</w:t>
      </w:r>
    </w:p>
    <w:p>
      <w:pPr>
        <w:pStyle w:val="2"/>
        <w:numPr>
          <w:ilvl w:val="0"/>
          <w:numId w:val="1"/>
        </w:numPr>
      </w:pPr>
      <w:r>
        <w:t>主题配置</w:t>
      </w:r>
    </w:p>
    <w:p>
      <w:pPr>
        <w:pStyle w:val="3"/>
        <w:numPr>
          <w:ilvl w:val="1"/>
          <w:numId w:val="1"/>
        </w:numPr>
      </w:pPr>
      <w:r>
        <w:t>样式面板</w:t>
      </w:r>
    </w:p>
    <w:p>
      <w:pPr>
        <w:pStyle w:val="4"/>
        <w:numPr>
          <w:ilvl w:val="2"/>
          <w:numId w:val="1"/>
        </w:numPr>
      </w:pPr>
      <w:r>
        <w:t>组件尺寸</w:t>
      </w:r>
    </w:p>
    <w:p>
      <w:pPr>
        <w:ind w:firstLine="440" w:firstLineChars="200"/>
      </w:pPr>
      <w:r>
        <w:rPr>
          <w:rFonts w:ascii="微软雅黑" w:hAnsi="微软雅黑" w:eastAsia="微软雅黑" w:cs="微软雅黑"/>
        </w:rPr>
        <w:t>设置组件宽高。</w:t>
      </w:r>
    </w:p>
    <w:p>
      <w:pPr>
        <w:pStyle w:val="4"/>
        <w:numPr>
          <w:ilvl w:val="2"/>
          <w:numId w:val="1"/>
        </w:numPr>
      </w:pPr>
      <w:r>
        <w:t>内边距</w:t>
      </w:r>
    </w:p>
    <w:p>
      <w:pPr>
        <w:ind w:firstLine="44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可设置顶部、右侧、底部、左侧内边距，默认全为0。</w:t>
      </w:r>
    </w:p>
    <w:p>
      <w:pPr>
        <w:pStyle w:val="3"/>
      </w:pPr>
      <w:r>
        <w:t>6.2. 填充</w:t>
      </w:r>
    </w:p>
    <w:p>
      <w:pPr>
        <w:ind w:firstLine="440" w:firstLineChars="200"/>
      </w:pPr>
      <w:r>
        <w:rPr>
          <w:rFonts w:ascii="等线" w:hAnsi="等线" w:eastAsia="等线" w:cs="等线"/>
        </w:rPr>
        <w:t>设置组件的背景颜色、背景图片，颜色关联主题配置-基础样式-颜色，图片默认没有。</w:t>
      </w:r>
    </w:p>
    <w:p/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</w:p>
  </w:footnote>
  <w:footnote w:type="continuationSeparator" w:id="1">
    <w:p>
      <w:pPr>
        <w:spacing w:before="0" w:after="0" w:line="312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777AC"/>
    <w:multiLevelType w:val="multilevel"/>
    <w:tmpl w:val="249777AC"/>
    <w:lvl w:ilvl="0" w:tentative="0">
      <w:start w:val="1"/>
      <w:numFmt w:val="decimal"/>
      <w:lvlText w:val="%1."/>
      <w:lvlJc w:val="left"/>
      <w:pPr>
        <w:ind w:left="776" w:hanging="336"/>
      </w:pPr>
    </w:lvl>
    <w:lvl w:ilvl="1" w:tentative="0">
      <w:start w:val="1"/>
      <w:numFmt w:val="lowerLetter"/>
      <w:lvlText w:val="%2."/>
      <w:lvlJc w:val="left"/>
      <w:pPr>
        <w:ind w:left="1216" w:hanging="336"/>
      </w:pPr>
    </w:lvl>
    <w:lvl w:ilvl="2" w:tentative="0">
      <w:start w:val="1"/>
      <w:numFmt w:val="lowerRoman"/>
      <w:lvlText w:val="%3."/>
      <w:lvlJc w:val="left"/>
      <w:pPr>
        <w:ind w:left="1656" w:hanging="336"/>
      </w:pPr>
    </w:lvl>
    <w:lvl w:ilvl="3" w:tentative="0">
      <w:start w:val="1"/>
      <w:numFmt w:val="decimal"/>
      <w:lvlText w:val="%4."/>
      <w:lvlJc w:val="left"/>
      <w:pPr>
        <w:ind w:left="2096" w:hanging="336"/>
      </w:pPr>
    </w:lvl>
    <w:lvl w:ilvl="4" w:tentative="0">
      <w:start w:val="1"/>
      <w:numFmt w:val="lowerLetter"/>
      <w:lvlText w:val="%5."/>
      <w:lvlJc w:val="left"/>
      <w:pPr>
        <w:ind w:left="2536" w:hanging="336"/>
      </w:pPr>
    </w:lvl>
    <w:lvl w:ilvl="5" w:tentative="0">
      <w:start w:val="1"/>
      <w:numFmt w:val="lowerRoman"/>
      <w:lvlText w:val="%6."/>
      <w:lvlJc w:val="left"/>
      <w:pPr>
        <w:ind w:left="2976" w:hanging="336"/>
      </w:pPr>
    </w:lvl>
    <w:lvl w:ilvl="6" w:tentative="0">
      <w:start w:val="1"/>
      <w:numFmt w:val="decimal"/>
      <w:lvlText w:val="%7."/>
      <w:lvlJc w:val="left"/>
      <w:pPr>
        <w:ind w:left="3416" w:hanging="336"/>
      </w:pPr>
    </w:lvl>
    <w:lvl w:ilvl="7" w:tentative="0">
      <w:start w:val="1"/>
      <w:numFmt w:val="lowerLetter"/>
      <w:lvlText w:val="%8."/>
      <w:lvlJc w:val="left"/>
      <w:pPr>
        <w:ind w:left="3856" w:hanging="336"/>
      </w:pPr>
    </w:lvl>
    <w:lvl w:ilvl="8" w:tentative="0">
      <w:start w:val="0"/>
      <w:numFmt w:val="decimal"/>
      <w:lvlText w:val=""/>
      <w:lvlJc w:val="left"/>
    </w:lvl>
  </w:abstractNum>
  <w:abstractNum w:abstractNumId="1">
    <w:nsid w:val="3819553F"/>
    <w:multiLevelType w:val="multilevel"/>
    <w:tmpl w:val="3819553F"/>
    <w:lvl w:ilvl="0" w:tentative="0">
      <w:start w:val="1"/>
      <w:numFmt w:val="bullet"/>
      <w:lvlText w:val=""/>
      <w:lvlJc w:val="left"/>
      <w:pPr>
        <w:ind w:left="859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99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39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79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19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59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9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39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79" w:hanging="440"/>
      </w:pPr>
      <w:rPr>
        <w:rFonts w:hint="default" w:ascii="Wingdings" w:hAnsi="Wingdings"/>
      </w:rPr>
    </w:lvl>
  </w:abstractNum>
  <w:abstractNum w:abstractNumId="2">
    <w:nsid w:val="3FE320A8"/>
    <w:multiLevelType w:val="multilevel"/>
    <w:tmpl w:val="3FE320A8"/>
    <w:lvl w:ilvl="0" w:tentative="0">
      <w:start w:val="1"/>
      <w:numFmt w:val="decimal"/>
      <w:lvlText w:val="%1."/>
      <w:lvlJc w:val="left"/>
      <w:pPr>
        <w:ind w:left="336" w:hanging="33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4" w:hanging="50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52" w:hanging="672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8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76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376" w:hanging="117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84" w:hanging="1344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592" w:hanging="1512"/>
      </w:pPr>
      <w:rPr>
        <w:rFonts w:hint="default"/>
      </w:rPr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wZWYwNGJlMjM4ZjY3NDIxMzIwYzFiMzkyZTFjNjEifQ=="/>
  </w:docVars>
  <w:rsids>
    <w:rsidRoot w:val="002E7575"/>
    <w:rsid w:val="000631D8"/>
    <w:rsid w:val="00080554"/>
    <w:rsid w:val="000E68D8"/>
    <w:rsid w:val="0010209C"/>
    <w:rsid w:val="00157ED5"/>
    <w:rsid w:val="001654F1"/>
    <w:rsid w:val="00190FD3"/>
    <w:rsid w:val="002B0E2D"/>
    <w:rsid w:val="002E7575"/>
    <w:rsid w:val="00374C48"/>
    <w:rsid w:val="003A3EAE"/>
    <w:rsid w:val="0040255A"/>
    <w:rsid w:val="004C76B9"/>
    <w:rsid w:val="004D7D1D"/>
    <w:rsid w:val="004F22B8"/>
    <w:rsid w:val="0052613E"/>
    <w:rsid w:val="0057131E"/>
    <w:rsid w:val="00592A84"/>
    <w:rsid w:val="006740E1"/>
    <w:rsid w:val="007474CE"/>
    <w:rsid w:val="00781841"/>
    <w:rsid w:val="00784161"/>
    <w:rsid w:val="00886F53"/>
    <w:rsid w:val="008D240C"/>
    <w:rsid w:val="009A65EA"/>
    <w:rsid w:val="009A7BAF"/>
    <w:rsid w:val="009B54E0"/>
    <w:rsid w:val="009B7E46"/>
    <w:rsid w:val="009E5513"/>
    <w:rsid w:val="00A242B8"/>
    <w:rsid w:val="00A57966"/>
    <w:rsid w:val="00B83F80"/>
    <w:rsid w:val="00BC0CC9"/>
    <w:rsid w:val="00C51015"/>
    <w:rsid w:val="00C92816"/>
    <w:rsid w:val="00CD36BD"/>
    <w:rsid w:val="00D74441"/>
    <w:rsid w:val="00DB1696"/>
    <w:rsid w:val="00DF1522"/>
    <w:rsid w:val="00DF555D"/>
    <w:rsid w:val="00E06EC1"/>
    <w:rsid w:val="00E1240E"/>
    <w:rsid w:val="00E46053"/>
    <w:rsid w:val="00E62584"/>
    <w:rsid w:val="00F14305"/>
    <w:rsid w:val="00F15D59"/>
    <w:rsid w:val="00FC6B62"/>
    <w:rsid w:val="0BC95965"/>
    <w:rsid w:val="1C55681E"/>
    <w:rsid w:val="46BB6E9F"/>
    <w:rsid w:val="708F6243"/>
    <w:rsid w:val="788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</w:pPr>
    <w:rPr>
      <w:rFonts w:ascii="等线" w:hAnsi="等线" w:eastAsia="等线" w:cs="Times New Roman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0">
    <w:name w:val="Table Grid"/>
    <w:basedOn w:val="9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paragraph" w:customStyle="1" w:styleId="13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4">
    <w:name w:val="标题 2 字符"/>
    <w:basedOn w:val="11"/>
    <w:link w:val="3"/>
    <w:uiPriority w:val="9"/>
    <w:rPr>
      <w:b/>
      <w:bCs/>
      <w:color w:val="1A1A1A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melo-codeblock-Base-theme-char"/>
    <w:uiPriority w:val="0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8897F-B5DA-4B55-BA03-0531740DC5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1215</Words>
  <Characters>1266</Characters>
  <Lines>10</Lines>
  <Paragraphs>2</Paragraphs>
  <TotalTime>311</TotalTime>
  <ScaleCrop>false</ScaleCrop>
  <LinksUpToDate>false</LinksUpToDate>
  <CharactersWithSpaces>1332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2023-04-20T10:08:00Z</dcterms:created>
  <dc:creator>56268</dc:creator>
  <cp:lastModifiedBy>丁保磊</cp:lastModifiedBy>
  <dcterms:modified xsi:type="dcterms:W3CDTF">2024-06-24T03:07:26Z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33CE31C756D5417C8F6DEDE90D728438_13</vt:lpwstr>
  </property>
</Properties>
</file>