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9" w:name="X641e32af982b725ade7d83ad1f9891965e0a489"/>
    <w:p>
      <w:pPr>
        <w:pStyle w:val="Heading1"/>
      </w:pPr>
      <w:r>
        <w:t xml:space="preserve">Instrucciones de construcción — PatrimonIA (para Claude Code)</w:t>
      </w:r>
    </w:p>
    <w:p>
      <w:pPr>
        <w:pStyle w:val="FirstParagraph"/>
      </w:pPr>
      <w:r>
        <w:rPr>
          <w:iCs/>
          <w:i/>
        </w:rPr>
        <w:t xml:space="preserve">Este documento es la capa operativa entre el diseño (5 documentos fuente) y la implementación. No repite decisiones de dominio, API o base de datos — las referencia. Su función es dar el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cómo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que los documentos de diseño no cubren: stack, estructura, orden de trabajo, y qué hacer ante ambigüedad.</w:t>
      </w:r>
    </w:p>
    <w:p>
      <w:r>
        <w:pict>
          <v:rect style="width:0;height:1.5pt" o:hralign="center" o:hrstd="t" o:hr="t"/>
        </w:pict>
      </w:r>
    </w:p>
    <w:bookmarkStart w:id="20" w:name="Xafe34ceacc118e91fa79c14c9487021f1aa9329"/>
    <w:p>
      <w:pPr>
        <w:pStyle w:val="Heading2"/>
      </w:pPr>
      <w:r>
        <w:t xml:space="preserve">1. Documentos fuente (leer en este orden antes de escribir código)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DDD.docx</w:t>
      </w:r>
      <w:r>
        <w:t xml:space="preserve"> </w:t>
      </w:r>
      <w:r>
        <w:t xml:space="preserve">— modelo de dominio, agregados, invariantes, comandos, auditoría. Fuente de verdad de reglas de negocio.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APPLICATION_SERVICES.docx</w:t>
      </w:r>
      <w:r>
        <w:t xml:space="preserve"> </w:t>
      </w:r>
      <w:r>
        <w:t xml:space="preserve">— 52 casos de uso, uno por comando. Cada uno define input, validaciones, orquestación, output.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DATABASE_DESIGN.docx</w:t>
      </w:r>
      <w:r>
        <w:t xml:space="preserve"> </w:t>
      </w:r>
      <w:r>
        <w:t xml:space="preserve">— modelo relacional lógico, con justificación de cada decisión de esquema.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schema.sql</w:t>
      </w:r>
      <w:r>
        <w:t xml:space="preserve"> </w:t>
      </w:r>
      <w:r>
        <w:t xml:space="preserve">— DDL PostgreSQL ejecutable, traducción directa del documento anterior.</w:t>
      </w:r>
      <w:r>
        <w:t xml:space="preserve"> </w:t>
      </w:r>
      <w:r>
        <w:rPr>
          <w:bCs/>
          <w:b/>
        </w:rPr>
        <w:t xml:space="preserve">No validado contra un motor real todavía — ejecutar y confirmar antes de asumir que corre limpio.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API_DESIGN.docx</w:t>
      </w:r>
      <w:r>
        <w:t xml:space="preserve"> </w:t>
      </w:r>
      <w:r>
        <w:t xml:space="preserve">— contrato de API:</w:t>
      </w:r>
      <w:r>
        <w:t xml:space="preserve"> </w:t>
      </w:r>
      <w:r>
        <w:rPr>
          <w:rStyle w:val="VerbatimChar"/>
        </w:rPr>
        <w:t xml:space="preserve">POST /comandos/{Nombre}</w:t>
      </w:r>
      <w:r>
        <w:t xml:space="preserve"> </w:t>
      </w:r>
      <w:r>
        <w:t xml:space="preserve">para mutaciones, REST para consultas.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UX_FLOWS.docx</w:t>
      </w:r>
      <w:r>
        <w:t xml:space="preserve"> </w:t>
      </w:r>
      <w:r>
        <w:t xml:space="preserve">— 6 flujos end-to-end + 2 desgloses de pantalla, cada paso mapeado a un endpoint de API.</w:t>
      </w:r>
    </w:p>
    <w:p>
      <w:pPr>
        <w:pStyle w:val="FirstParagraph"/>
      </w:pPr>
      <w:r>
        <w:rPr>
          <w:bCs/>
          <w:b/>
        </w:rPr>
        <w:t xml:space="preserve">Regla de precedencia:</w:t>
      </w:r>
      <w:r>
        <w:t xml:space="preserve"> </w:t>
      </w:r>
      <w:r>
        <w:t xml:space="preserve">si algo en este documento de instrucciones contradice cualquiera de los 6 documentos fuente, los documentos fuente mandan. Este documento es operativo, no de dominio.</w:t>
      </w:r>
    </w:p>
    <w:p>
      <w:r>
        <w:pict>
          <v:rect style="width:0;height:1.5pt" o:hralign="center" o:hrstd="t" o:hr="t"/>
        </w:pict>
      </w:r>
    </w:p>
    <w:bookmarkEnd w:id="20"/>
    <w:bookmarkStart w:id="21" w:name="X632f5938c6b274a3cda80653c6b5ab1f7a93d42"/>
    <w:p>
      <w:pPr>
        <w:pStyle w:val="Heading2"/>
      </w:pPr>
      <w:r>
        <w:t xml:space="preserve">2. Stack técnico (decisión ya tomada, no reabrir)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Backend:</w:t>
      </w:r>
      <w:r>
        <w:t xml:space="preserve"> </w:t>
      </w:r>
      <w:r>
        <w:t xml:space="preserve">Node.js + TypeScript + NestJS.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Base de datos:</w:t>
      </w:r>
      <w:r>
        <w:t xml:space="preserve"> </w:t>
      </w:r>
      <w:r>
        <w:t xml:space="preserve">PostgreSQL (usar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 </w:t>
      </w:r>
      <w:r>
        <w:t xml:space="preserve">como punto de partida).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Cliente:</w:t>
      </w:r>
      <w:r>
        <w:t xml:space="preserve"> </w:t>
      </w:r>
      <w:r>
        <w:t xml:space="preserve">React Native con Expo.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ORM sugerido:</w:t>
      </w:r>
      <w:r>
        <w:t xml:space="preserve"> </w:t>
      </w:r>
      <w:r>
        <w:t xml:space="preserve">Prisma (coherente con TS end-to-end, buen soporte de constraints/tipos generados desde el schema) — si Claude Code tiene una razón técnica de peso para preferir otro (TypeORM, Drizzle), debe exponerla antes de decidir, no decidir en silencio.</w:t>
      </w:r>
    </w:p>
    <w:p>
      <w:r>
        <w:pict>
          <v:rect style="width:0;height:1.5pt" o:hralign="center" o:hrstd="t" o:hr="t"/>
        </w:pict>
      </w:r>
    </w:p>
    <w:bookmarkEnd w:id="21"/>
    <w:bookmarkStart w:id="25" w:name="orden-de-construcción"/>
    <w:p>
      <w:pPr>
        <w:pStyle w:val="Heading2"/>
      </w:pPr>
      <w:r>
        <w:t xml:space="preserve">3. Orden de construcción</w:t>
      </w:r>
    </w:p>
    <w:p>
      <w:pPr>
        <w:pStyle w:val="FirstParagraph"/>
      </w:pPr>
      <w:r>
        <w:rPr>
          <w:bCs/>
          <w:b/>
        </w:rPr>
        <w:t xml:space="preserve">Regla general: construir vertical, no horizontal.</w:t>
      </w:r>
      <w:r>
        <w:t xml:space="preserve"> </w:t>
      </w:r>
      <w:r>
        <w:t xml:space="preserve">No se construye</w:t>
      </w:r>
      <w:r>
        <w:t xml:space="preserve"> </w:t>
      </w:r>
      <w:r>
        <w:t xml:space="preserve">“</w:t>
      </w:r>
      <w:r>
        <w:t xml:space="preserve">todo el backend</w:t>
      </w:r>
      <w:r>
        <w:t xml:space="preserve">”</w:t>
      </w:r>
      <w:r>
        <w:t xml:space="preserve"> </w:t>
      </w:r>
      <w:r>
        <w:t xml:space="preserve">y luego</w:t>
      </w:r>
      <w:r>
        <w:t xml:space="preserve"> </w:t>
      </w:r>
      <w:r>
        <w:t xml:space="preserve">“</w:t>
      </w:r>
      <w:r>
        <w:t xml:space="preserve">todo el frontend</w:t>
      </w:r>
      <w:r>
        <w:t xml:space="preserve">”</w:t>
      </w:r>
      <w:r>
        <w:t xml:space="preserve"> </w:t>
      </w:r>
      <w:r>
        <w:t xml:space="preserve">— se construye un flujo completo de punta a punta, funcionando, antes de pasar al siguiente.</w:t>
      </w:r>
    </w:p>
    <w:bookmarkStart w:id="22" w:name="fase-0-setup-de-proyecto"/>
    <w:p>
      <w:pPr>
        <w:pStyle w:val="Heading3"/>
      </w:pPr>
      <w:r>
        <w:t xml:space="preserve">Fase 0 — Setup de proyecto</w:t>
      </w:r>
    </w:p>
    <w:p>
      <w:pPr>
        <w:numPr>
          <w:ilvl w:val="0"/>
          <w:numId w:val="1003"/>
        </w:numPr>
        <w:pStyle w:val="Compact"/>
      </w:pPr>
      <w:r>
        <w:t xml:space="preserve">Repo con estructura backend (</w:t>
      </w:r>
      <w:r>
        <w:rPr>
          <w:rStyle w:val="VerbatimChar"/>
        </w:rPr>
        <w:t xml:space="preserve">/api</w:t>
      </w:r>
      <w:r>
        <w:t xml:space="preserve">) y móvil (</w:t>
      </w:r>
      <w:r>
        <w:rPr>
          <w:rStyle w:val="VerbatimChar"/>
        </w:rPr>
        <w:t xml:space="preserve">/app</w:t>
      </w:r>
      <w:r>
        <w:t xml:space="preserve">) separados, o monorepo — decisión de Claude Code, justificada brevemente.</w:t>
      </w:r>
    </w:p>
    <w:p>
      <w:pPr>
        <w:numPr>
          <w:ilvl w:val="0"/>
          <w:numId w:val="1003"/>
        </w:numPr>
        <w:pStyle w:val="Compact"/>
      </w:pPr>
      <w:r>
        <w:t xml:space="preserve">Backend: proyecto NestJS inicializado, conexión a PostgreSQL configurada,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 </w:t>
      </w:r>
      <w:r>
        <w:t xml:space="preserve">ejecutado contra una instancia real vía Docker (</w:t>
      </w:r>
      <w:r>
        <w:rPr>
          <w:rStyle w:val="VerbatimChar"/>
        </w:rPr>
        <w:t xml:space="preserve">docker run</w:t>
      </w:r>
      <w:r>
        <w:t xml:space="preserve"> </w:t>
      </w:r>
      <w:r>
        <w:t xml:space="preserve">con imagen</w:t>
      </w:r>
      <w:r>
        <w:t xml:space="preserve"> </w:t>
      </w:r>
      <w:r>
        <w:rPr>
          <w:rStyle w:val="VerbatimChar"/>
        </w:rPr>
        <w:t xml:space="preserve">postgres:16</w:t>
      </w:r>
      <w:r>
        <w:t xml:space="preserve"> </w:t>
      </w:r>
      <w:r>
        <w:t xml:space="preserve">— no requiere Postgres instalado localmente en la máquina).</w:t>
      </w:r>
    </w:p>
    <w:p>
      <w:pPr>
        <w:numPr>
          <w:ilvl w:val="0"/>
          <w:numId w:val="1003"/>
        </w:numPr>
        <w:pStyle w:val="Compact"/>
      </w:pPr>
      <w:r>
        <w:t xml:space="preserve">Móvil: proyecto Expo inicializado, corriendo en simulador o dispositivo real.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Validación de fase:</w:t>
      </w:r>
      <w:r>
        <w:t xml:space="preserve"> </w:t>
      </w:r>
      <w:r>
        <w:t xml:space="preserve">backend responde a un healthcheck simple; app Expo abre y muestra una pantalla en blanco. Nada de lógica de negocio todavía.</w:t>
      </w:r>
    </w:p>
    <w:bookmarkEnd w:id="22"/>
    <w:bookmarkStart w:id="23" w:name="X303cd8ff623c6809e41860336ca5f3e9ad58ca7"/>
    <w:p>
      <w:pPr>
        <w:pStyle w:val="Heading3"/>
      </w:pPr>
      <w:r>
        <w:t xml:space="preserve">Fase 1 — Esqueleto vertical: Flujo 2 (Alta de hogar)</w:t>
      </w:r>
    </w:p>
    <w:p>
      <w:pPr>
        <w:pStyle w:val="FirstParagraph"/>
      </w:pPr>
      <w:r>
        <w:t xml:space="preserve">Implementar de punta a punta, siguiendo</w:t>
      </w:r>
      <w:r>
        <w:t xml:space="preserve"> </w:t>
      </w:r>
      <w:r>
        <w:rPr>
          <w:rStyle w:val="VerbatimChar"/>
        </w:rPr>
        <w:t xml:space="preserve">UX_FLOWS.docx</w:t>
      </w:r>
      <w:r>
        <w:t xml:space="preserve"> </w:t>
      </w:r>
      <w:r>
        <w:t xml:space="preserve">sección</w:t>
      </w:r>
      <w:r>
        <w:t xml:space="preserve"> </w:t>
      </w:r>
      <w:r>
        <w:t xml:space="preserve">“</w:t>
      </w:r>
      <w:r>
        <w:t xml:space="preserve">Desglose — Flujo 2</w:t>
      </w:r>
      <w:r>
        <w:t xml:space="preserve">”</w:t>
      </w:r>
      <w:r>
        <w:t xml:space="preserve">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Backend:</w:t>
      </w:r>
      <w:r>
        <w:t xml:space="preserve"> </w:t>
      </w:r>
      <w:r>
        <w:t xml:space="preserve">los Application Services #34 (CrearHogar), #37 (InvitarMiembro), #38 (AceptarInvitacion), #39 (RechazarInvitacion), #43 (RegistrarUsuario) — con sus endpoints correspondientes de</w:t>
      </w:r>
      <w:r>
        <w:t xml:space="preserve"> </w:t>
      </w:r>
      <w:r>
        <w:rPr>
          <w:rStyle w:val="VerbatimChar"/>
        </w:rPr>
        <w:t xml:space="preserve">API_DESIGN.docx</w:t>
      </w:r>
      <w:r>
        <w:t xml:space="preserve">. Incluye la tabla</w:t>
      </w:r>
      <w:r>
        <w:t xml:space="preserve"> </w:t>
      </w:r>
      <w:r>
        <w:rPr>
          <w:rStyle w:val="VerbatimChar"/>
        </w:rPr>
        <w:t xml:space="preserve">auditoria</w:t>
      </w:r>
      <w:r>
        <w:t xml:space="preserve"> </w:t>
      </w:r>
      <w:r>
        <w:t xml:space="preserve">funcionando desde el primer comando (no se pospone</w:t>
      </w:r>
      <w:r>
        <w:t xml:space="preserve"> </w:t>
      </w:r>
      <w:r>
        <w:t xml:space="preserve">“</w:t>
      </w:r>
      <w:r>
        <w:t xml:space="preserve">para después</w:t>
      </w:r>
      <w:r>
        <w:t xml:space="preserve">”</w:t>
      </w:r>
      <w:r>
        <w:t xml:space="preserve"> </w:t>
      </w:r>
      <w:r>
        <w:t xml:space="preserve">— es parte del contrato de cada Application Service).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Móvil:</w:t>
      </w:r>
      <w:r>
        <w:t xml:space="preserve"> </w:t>
      </w:r>
      <w:r>
        <w:t xml:space="preserve">las pantallas de Registro, Bienvenida/Elegir camino, Crear Hogar, Ingresar código/ver invitaciones — tal como están descritas en el desglose de pantallas.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Validación de fase:</w:t>
      </w:r>
      <w:r>
        <w:t xml:space="preserve"> </w:t>
      </w:r>
      <w:r>
        <w:t xml:space="preserve">un usuario puede registrarse, crear un hogar, invitar a otro usuario (de prueba), y ese usuario puede aceptar — todo desde la app, contra el backend real, con las filas correspondientes verificables en</w:t>
      </w:r>
      <w:r>
        <w:t xml:space="preserve"> </w:t>
      </w:r>
      <w:r>
        <w:rPr>
          <w:rStyle w:val="VerbatimChar"/>
        </w:rPr>
        <w:t xml:space="preserve">auditoria</w:t>
      </w:r>
      <w:r>
        <w:t xml:space="preserve">.</w:t>
      </w:r>
    </w:p>
    <w:bookmarkEnd w:id="23"/>
    <w:bookmarkStart w:id="24" w:name="fase-2-en-adelante-no-se-detalla-aquí"/>
    <w:p>
      <w:pPr>
        <w:pStyle w:val="Heading3"/>
      </w:pPr>
      <w:r>
        <w:t xml:space="preserve">Fase 2 en adelante — no se detalla aquí</w:t>
      </w:r>
    </w:p>
    <w:p>
      <w:pPr>
        <w:pStyle w:val="FirstParagraph"/>
      </w:pPr>
      <w:r>
        <w:t xml:space="preserve">Se define al cerrar la Fase 1, según qué se aprenda de ese primer ciclo completo. No hay que planificar todas las fases de antemano — eso sería repetir la misma cadena de pretareas contra la que se viene trabajando, aplicada ahora a nivel de plan de construcción.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qué-hacer-ante-un-vacío-o-ambigüedad"/>
    <w:p>
      <w:pPr>
        <w:pStyle w:val="Heading2"/>
      </w:pPr>
      <w:r>
        <w:t xml:space="preserve">4. Qué hacer ante un vacío o ambigüedad</w:t>
      </w:r>
    </w:p>
    <w:p>
      <w:pPr>
        <w:pStyle w:val="FirstParagraph"/>
      </w:pPr>
      <w:r>
        <w:t xml:space="preserve">Este es el punto más importante del documento. El modelo de dominio tiene 2 vacíos</w:t>
      </w:r>
      <w:r>
        <w:t xml:space="preserve"> </w:t>
      </w:r>
      <w:r>
        <w:rPr>
          <w:bCs/>
          <w:b/>
        </w:rPr>
        <w:t xml:space="preserve">ya identificados y documentados</w:t>
      </w:r>
      <w:r>
        <w:t xml:space="preserve"> </w:t>
      </w:r>
      <w:r>
        <w:t xml:space="preserve">(no descubrirlos de nuevo, no improvisar una solución):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Estado operativo intermedio de Deuda/Crédito</w:t>
      </w:r>
      <w:r>
        <w:t xml:space="preserve"> </w:t>
      </w:r>
      <w:r>
        <w:t xml:space="preserve">(ver</w:t>
      </w:r>
      <w:r>
        <w:t xml:space="preserve"> </w:t>
      </w:r>
      <w:r>
        <w:rPr>
          <w:rStyle w:val="VerbatimChar"/>
        </w:rPr>
        <w:t xml:space="preserve">UX_FLOWS.docx</w:t>
      </w:r>
      <w:r>
        <w:t xml:space="preserve">, sección</w:t>
      </w:r>
      <w:r>
        <w:t xml:space="preserve"> </w:t>
      </w:r>
      <w:r>
        <w:t xml:space="preserve">“</w:t>
      </w:r>
      <w:r>
        <w:t xml:space="preserve">Resumen y vacíos detectados</w:t>
      </w:r>
      <w:r>
        <w:t xml:space="preserve">”</w:t>
      </w:r>
      <w:r>
        <w:t xml:space="preserve">, punto 1). No implementar un estado formal sin decisión explícita — usar el cálculo trivial (% pagado =</w:t>
      </w:r>
      <w:r>
        <w:t xml:space="preserve"> </w:t>
      </w:r>
      <w:r>
        <w:rPr>
          <w:rStyle w:val="VerbatimChar"/>
        </w:rPr>
        <w:t xml:space="preserve">(monto_original - valor_pendiente) / monto_original</w:t>
      </w:r>
      <w:r>
        <w:t xml:space="preserve">) como placeholder, dejando comentario en código señalando que es provisional.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Visibilidad/propiedad de Movimiento Programado</w:t>
      </w:r>
      <w:r>
        <w:t xml:space="preserve"> </w:t>
      </w:r>
      <w:r>
        <w:t xml:space="preserve">(</w:t>
      </w:r>
      <w:r>
        <w:rPr>
          <w:rStyle w:val="VerbatimChar"/>
        </w:rPr>
        <w:t xml:space="preserve">DDD.docx</w:t>
      </w:r>
      <w:r>
        <w:t xml:space="preserve">, Sección S). No agregar columnas ni lógica de visibilidad a</w:t>
      </w:r>
      <w:r>
        <w:t xml:space="preserve"> </w:t>
      </w:r>
      <w:r>
        <w:rPr>
          <w:rStyle w:val="VerbatimChar"/>
        </w:rPr>
        <w:t xml:space="preserve">movimiento_programado</w:t>
      </w:r>
      <w:r>
        <w:t xml:space="preserve"> </w:t>
      </w:r>
      <w:r>
        <w:t xml:space="preserve">sin decisión explícita.</w:t>
      </w:r>
    </w:p>
    <w:p>
      <w:pPr>
        <w:pStyle w:val="FirstParagraph"/>
      </w:pPr>
      <w:r>
        <w:t xml:space="preserve">Si Claude Code encuentra</w:t>
      </w:r>
      <w:r>
        <w:t xml:space="preserve"> </w:t>
      </w:r>
      <w:r>
        <w:rPr>
          <w:bCs/>
          <w:b/>
        </w:rPr>
        <w:t xml:space="preserve">un vacío nuevo, no listado arriba</w:t>
      </w:r>
      <w:r>
        <w:t xml:space="preserve">, la regla es: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 decidir en silencio.</w:t>
      </w:r>
      <w:r>
        <w:t xml:space="preserve"> </w:t>
      </w:r>
      <w:r>
        <w:t xml:space="preserve">Detener la implementación de esa pieza específica, documentar el vacío con el mismo formato usado en</w:t>
      </w:r>
      <w:r>
        <w:t xml:space="preserve"> </w:t>
      </w:r>
      <w:r>
        <w:rPr>
          <w:rStyle w:val="VerbatimChar"/>
        </w:rPr>
        <w:t xml:space="preserve">UX_FLOWS.docx</w:t>
      </w:r>
      <w:r>
        <w:t xml:space="preserve"> </w:t>
      </w:r>
      <w:r>
        <w:t xml:space="preserve">(qué se necesita, por qué no está resuelto, qué opciones existen), y continuar con otra parte del trabajo que no dependa de esa decisión.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 inventar una regla de negocio nueva</w:t>
      </w:r>
      <w:r>
        <w:t xml:space="preserve"> </w:t>
      </w:r>
      <w:r>
        <w:t xml:space="preserve">para rellenar el vacío, aunque parezca trivial. Ejemplo de lo que NO hacer: si no está claro qué pasa al eliminar un usuario con deudas activas, no asumir un comportamiento — señalarlo.</w:t>
      </w:r>
    </w:p>
    <w:p>
      <w:pPr>
        <w:numPr>
          <w:ilvl w:val="0"/>
          <w:numId w:val="1006"/>
        </w:numPr>
        <w:pStyle w:val="Compact"/>
      </w:pPr>
      <w:r>
        <w:t xml:space="preserve">Esto aplica con más fuerza a decisiones de dominio (afectan</w:t>
      </w:r>
      <w:r>
        <w:t xml:space="preserve"> </w:t>
      </w:r>
      <w:r>
        <w:rPr>
          <w:rStyle w:val="VerbatimChar"/>
        </w:rPr>
        <w:t xml:space="preserve">DDD.docx</w:t>
      </w:r>
      <w:r>
        <w:t xml:space="preserve">) que a decisiones puramente técnicas (ej. qué librería de validación de formularios usar en Expo) — estas últimas Claude Code puede decidirlas y simplemente justificarlas brevemente en el commit o README.</w:t>
      </w:r>
    </w:p>
    <w:p>
      <w:r>
        <w:pict>
          <v:rect style="width:0;height:1.5pt" o:hralign="center" o:hrstd="t" o:hr="t"/>
        </w:pict>
      </w:r>
    </w:p>
    <w:bookmarkEnd w:id="26"/>
    <w:bookmarkStart w:id="27" w:name="convenciones-de-código"/>
    <w:p>
      <w:pPr>
        <w:pStyle w:val="Heading2"/>
      </w:pPr>
      <w:r>
        <w:t xml:space="preserve">5. Convenciones de código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Nombres:</w:t>
      </w:r>
      <w:r>
        <w:t xml:space="preserve"> </w:t>
      </w:r>
      <w:r>
        <w:t xml:space="preserve">los nombres de comando (</w:t>
      </w:r>
      <w:r>
        <w:rPr>
          <w:rStyle w:val="VerbatimChar"/>
        </w:rPr>
        <w:t xml:space="preserve">RegistrarElementoPatrimonial</w:t>
      </w:r>
      <w:r>
        <w:t xml:space="preserve">, etc.) se mantienen literales en el código — en el nombre del endpoint, en el nombre de la clase/función del Application Service, y en el campo</w:t>
      </w:r>
      <w:r>
        <w:t xml:space="preserve"> </w:t>
      </w:r>
      <w:r>
        <w:rPr>
          <w:rStyle w:val="VerbatimChar"/>
        </w:rPr>
        <w:t xml:space="preserve">comando</w:t>
      </w:r>
      <w:r>
        <w:t xml:space="preserve"> </w:t>
      </w:r>
      <w:r>
        <w:t xml:space="preserve">de la tabla</w:t>
      </w:r>
      <w:r>
        <w:t xml:space="preserve"> </w:t>
      </w:r>
      <w:r>
        <w:rPr>
          <w:rStyle w:val="VerbatimChar"/>
        </w:rPr>
        <w:t xml:space="preserve">auditoria</w:t>
      </w:r>
      <w:r>
        <w:t xml:space="preserve">. No traducir ni renombrar a convención REST/CRUD (evitar</w:t>
      </w:r>
      <w:r>
        <w:t xml:space="preserve"> </w:t>
      </w:r>
      <w:r>
        <w:rPr>
          <w:rStyle w:val="VerbatimChar"/>
        </w:rPr>
        <w:t xml:space="preserve">createElement</w:t>
      </w:r>
      <w:r>
        <w:t xml:space="preserve">, usar</w:t>
      </w:r>
      <w:r>
        <w:t xml:space="preserve"> </w:t>
      </w:r>
      <w:r>
        <w:rPr>
          <w:rStyle w:val="VerbatimChar"/>
        </w:rPr>
        <w:t xml:space="preserve">registrarElementoPatrimonial</w:t>
      </w:r>
      <w:r>
        <w:t xml:space="preserve"> </w:t>
      </w:r>
      <w:r>
        <w:t xml:space="preserve">o el nombre de clase equivalente) — la trazabilidad 1:1 entre DDD → Application Services → API → código es el activo más valioso de todo este trabajo de diseño, y se pierde si el código usa nombres distintos a los del dominio.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Auditoría no es opcional ni se pospone.</w:t>
      </w:r>
      <w:r>
        <w:t xml:space="preserve"> </w:t>
      </w:r>
      <w:r>
        <w:t xml:space="preserve">Cada Application Service que ejecuta un comando debe escribir su entrada de auditoría como parte de la misma transacción — no como un paso</w:t>
      </w:r>
      <w:r>
        <w:t xml:space="preserve"> </w:t>
      </w:r>
      <w:r>
        <w:t xml:space="preserve">“</w:t>
      </w:r>
      <w:r>
        <w:t xml:space="preserve">para agregar después</w:t>
      </w:r>
      <w:r>
        <w:t xml:space="preserve">”</w:t>
      </w:r>
      <w:r>
        <w:t xml:space="preserve">. Ver</w:t>
      </w:r>
      <w:r>
        <w:t xml:space="preserve"> </w:t>
      </w:r>
      <w:r>
        <w:rPr>
          <w:rStyle w:val="VerbatimChar"/>
        </w:rPr>
        <w:t xml:space="preserve">DDD.docx</w:t>
      </w:r>
      <w:r>
        <w:t xml:space="preserve"> </w:t>
      </w:r>
      <w:r>
        <w:t xml:space="preserve">Sección U para la regla de campos condicionales y encadenamiento.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Patrón de corrección/compensación</w:t>
      </w:r>
      <w:r>
        <w:t xml:space="preserve"> </w:t>
      </w:r>
      <w:r>
        <w:t xml:space="preserve">(Evento Financiero, Valorización, Ajuste Patrimonial): nunca UPDATE de una fila ya creada — siempre INSERT de una fila nueva enlazada vía</w:t>
      </w:r>
      <w:r>
        <w:t xml:space="preserve"> </w:t>
      </w:r>
      <w:r>
        <w:rPr>
          <w:rStyle w:val="VerbatimChar"/>
        </w:rPr>
        <w:t xml:space="preserve">correccion_de_id</w:t>
      </w:r>
      <w:r>
        <w:t xml:space="preserve">. Este patrón está en 3 tablas distintas y debe implementarse de forma idéntica en las 3, no reinventado cada vez.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Validaciones de invariantes que no son CHECK de SQL</w:t>
      </w:r>
      <w:r>
        <w:t xml:space="preserve"> </w:t>
      </w:r>
      <w:r>
        <w:t xml:space="preserve">(ej.</w:t>
      </w:r>
      <w:r>
        <w:t xml:space="preserve"> </w:t>
      </w:r>
      <w:r>
        <w:t xml:space="preserve">“</w:t>
      </w:r>
      <w:r>
        <w:t xml:space="preserve">al menos un propietario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suma de % = 100%</w:t>
      </w:r>
      <w:r>
        <w:t xml:space="preserve">”</w:t>
      </w:r>
      <w:r>
        <w:t xml:space="preserve">) viven en la capa de Application Service, dentro de la misma transacción que la escritura — nunca solo en el cliente/frontend. Ver</w:t>
      </w:r>
      <w:r>
        <w:t xml:space="preserve"> </w:t>
      </w:r>
      <w:r>
        <w:rPr>
          <w:rStyle w:val="VerbatimChar"/>
        </w:rPr>
        <w:t xml:space="preserve">DATABASE_DESIGN.docx</w:t>
      </w:r>
      <w:r>
        <w:t xml:space="preserve">, tablas de</w:t>
      </w:r>
      <w:r>
        <w:t xml:space="preserve"> </w:t>
      </w:r>
      <w:r>
        <w:t xml:space="preserve">“</w:t>
      </w:r>
      <w:r>
        <w:t xml:space="preserve">Invariantes → mecanismo</w:t>
      </w:r>
      <w:r>
        <w:t xml:space="preserve">”</w:t>
      </w:r>
      <w:r>
        <w:t xml:space="preserve"> </w:t>
      </w:r>
      <w:r>
        <w:t xml:space="preserve">de cada agregado, para la lista completa.</w:t>
      </w:r>
    </w:p>
    <w:p>
      <w:r>
        <w:pict>
          <v:rect style="width:0;height:1.5pt" o:hralign="center" o:hrstd="t" o:hr="t"/>
        </w:pict>
      </w:r>
    </w:p>
    <w:bookmarkEnd w:id="27"/>
    <w:bookmarkStart w:id="28" w:name="X5874173d82cd2539aae87fc4e53a967ed789fc3"/>
    <w:p>
      <w:pPr>
        <w:pStyle w:val="Heading2"/>
      </w:pPr>
      <w:r>
        <w:t xml:space="preserve">6. Qué NO se construye en la Fase 1 (alcance explícito)</w:t>
      </w:r>
    </w:p>
    <w:p>
      <w:pPr>
        <w:pStyle w:val="FirstParagraph"/>
      </w:pPr>
      <w:r>
        <w:t xml:space="preserve">Para que Claude Code no se desvíe hacia otros agregados antes de cerrar el esqueleto vertical: en Fase 1</w:t>
      </w:r>
      <w:r>
        <w:t xml:space="preserve"> </w:t>
      </w:r>
      <w:r>
        <w:rPr>
          <w:bCs/>
          <w:b/>
        </w:rPr>
        <w:t xml:space="preserve">no se toca</w:t>
      </w:r>
      <w:r>
        <w:t xml:space="preserve"> </w:t>
      </w:r>
      <w:r>
        <w:t xml:space="preserve">Elemento Patrimonial, Evento Financiero, Valorización, Ajuste Patrimonial, Asignación/Reserva, Objetivo Financiero, Presupuesto, ni Deuda/Crédito. Esos son los siguientes ciclos verticales, uno a la vez, después de que Flujo 2 esté funcionando de punta a punta y validado.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2026-09-02T22:24:43Z</dcterms:created>
  <dcterms:modified xsi:type="dcterms:W3CDTF">2026-09-02T22:24:43Z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