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Foreign Exchange Risk Management and Its Impact on Financial Performance in Indonesia Steel Industry: A Case Study of PT Krakatau Steel (Persero) Tbk</w:t>
      </w:r>
    </w:p>
    <w:p>
      <w:r>
        <w:t>Astragina, Kalapie</w:t>
        <w:br/>
        <w:t>M.S. in Management in the Steel Industry</w:t>
        <w:br/>
        <w:t>Pohang University of Science and Technology</w:t>
        <w:br/>
        <w:t>Email: kalapieka@postech.ac.kr</w:t>
      </w:r>
    </w:p>
    <w:p/>
    <w:p>
      <w:pPr>
        <w:pStyle w:val="Heading2"/>
      </w:pPr>
      <w:r>
        <w:t>Executive Summary</w:t>
      </w:r>
    </w:p>
    <w:p>
      <w:r>
        <w:t>This research examines how IDR–USD exchange rate volatility affects PT Krakatau Steel’s financial performance (ROA, net income, and cash-flow volatility) and whether hedging activity moderates that relationship. The study uses quarterly data for PT Krakatau Steel for 2013–2025, combining firm financial statements with macroeconomic time series. Independent variables are Exchange Rate Volatility (IDR/USD) and Hedging Intensity (binary: 1 = any hedging in the quarter; 0 = no hedging). Dependent variables are Return on Assets (ROA), Net Income, and Cash-Flow Volatility (rolling volatility of operating cash flows). Control variables are Debt-to-Equity Ratio (DER), Total Assets (size), and Current Ratio (liquidity). The empirical strategy relies on time-series regression (quarterly OLS with corrections for autocorrelation and heteroskedasticity) and robustness checks using alternative volatility windows.</w:t>
      </w:r>
    </w:p>
    <w:p>
      <w:pPr>
        <w:pStyle w:val="Heading2"/>
      </w:pPr>
      <w:r>
        <w:t>I. Introduction</w:t>
      </w:r>
    </w:p>
    <w:p>
      <w:pPr>
        <w:pStyle w:val="Heading3"/>
      </w:pPr>
      <w:r>
        <w:t>Background and Rationale</w:t>
      </w:r>
    </w:p>
    <w:p>
      <w:r>
        <w:t>Indonesia’s steel industry underpins infrastructure, manufacturing, and construction growth. Domestic steel producers remain heavily dependent on imported raw materials and equipment priced in hard currencies (mostly USD), while a large share of revenue is earned in IDR. This creates structural currency exposure: when the rupiah weakens, USD-priced inputs become costlier while sales remain IDR-denominated, compressing margins and potentially producing net losses during periods of extreme exchange-rate movements (PT Krakatau Steel, Annual Reports; Bank Indonesia, 2023).</w:t>
      </w:r>
    </w:p>
    <w:p>
      <w:r>
        <w:t>Exchange rate volatility has been widely shown to affect firm performance in emerging markets and to impede investment and productivity where firms are highly dollar-exposed (IMF; Allayannis &amp; Ofek, 2001). The most common empirical approach measures exchange-rate volatility with the standard deviation of log changes (or log returns) of the bilateral exchange rate; researchers also use GARCH estimates as robustness checks (IMF, 2004).</w:t>
      </w:r>
    </w:p>
    <w:p>
      <w:r>
        <w:t>Krakatau Steel experienced severe profit volatility and recorded substantial net losses in several years (e.g., 2015 and 2020), partly explained by adverse exchange-rate movements and higher import costs. Therefore, examining how exchange-rate volatility transmits to profitability and cash-flow stability—and whether hedging activity alters that transmission—is economically and policy relevant for strategic, state-owned industrial firms in Indonesia.</w:t>
      </w:r>
    </w:p>
    <w:p>
      <w:pPr>
        <w:pStyle w:val="Heading3"/>
      </w:pPr>
      <w:r>
        <w:t>Motivation of the Research</w:t>
      </w:r>
    </w:p>
    <w:p>
      <w:r>
        <w:t>1. Strategic importance. As a major state-owned steel producer, Krakatau Steel’s financial health has system-wide implications for Indonesia’s industrial policy and infrastructure plans (PT Krakatau Steel, Annual Reports).</w:t>
      </w:r>
    </w:p>
    <w:p>
      <w:r>
        <w:t>2. Empirical gap. Existing research on Indonesian firms and FX risk is limited, particularly for long quarterly time-series at the single-firm level that combine firm disclosures with macro indicators. Studies in other countries show hedging and derivative use can reduce exchange-rate exposure (Allayannis &amp; Ofek, 2001; Bartram, Brown, &amp; Fehle, 2009), but firm-level evidence for Indonesian heavy industry is scarce.</w:t>
      </w:r>
    </w:p>
    <w:p>
      <w:r>
        <w:t>3. Practical guidance. Results can inform corporate treasury practice and government oversight of state-owned enterprises by identifying whether simple hedging (presence vs absence) is associated with different outcomes in periods of currency stress.</w:t>
      </w:r>
    </w:p>
    <w:p>
      <w:pPr>
        <w:pStyle w:val="Heading3"/>
      </w:pPr>
      <w:r>
        <w:t>Research Objectives</w:t>
      </w:r>
    </w:p>
    <w:p>
      <w:r>
        <w:t>1. Measure the effect of IDR–USD exchange-rate volatility on PT Krakatau Steel’s quarterly financial performance (ROA, Net Income).</w:t>
      </w:r>
    </w:p>
    <w:p>
      <w:r>
        <w:t>2. Measure the effect of exchange-rate volatility on the firm’s cash-flow volatility.</w:t>
      </w:r>
    </w:p>
    <w:p>
      <w:r>
        <w:t>3. Test whether the presence of hedging in a quarter (binary hedging intensity) moderates the effect of exchange-rate volatility on performance and cash-flow stability.</w:t>
      </w:r>
    </w:p>
    <w:p>
      <w:r>
        <w:t>4. Control for firm-specific characteristics (DER, Total Assets, Current Ratio) to isolate the independent effect of currency volatility and hedging.</w:t>
      </w:r>
    </w:p>
    <w:p>
      <w:pPr>
        <w:pStyle w:val="Heading3"/>
      </w:pPr>
      <w:r>
        <w:t>Research Questions</w:t>
      </w:r>
    </w:p>
    <w:p>
      <w:r>
        <w:t>1. What is the quantitative relationship between IDR–USD exchange rate volatility and PT Krakatau Steel’s financial performance (ROA and net income) at a quarterly frequency?</w:t>
      </w:r>
    </w:p>
    <w:p>
      <w:r>
        <w:t>2. Does exchange-rate volatility increase cash-flow volatility for PT Krakatau Steel?</w:t>
      </w:r>
    </w:p>
    <w:p>
      <w:r>
        <w:t>3. Is the presence of hedging activity (Hedging Intensity = 1) associated with reduced sensitivity of profitability and cash-flow stability to exchange-rate volatility?</w:t>
      </w:r>
    </w:p>
    <w:p>
      <w:r>
        <w:t>4. How do leverage, firm size, and liquidity condition the relationships above?</w:t>
      </w:r>
    </w:p>
    <w:p>
      <w:pPr>
        <w:pStyle w:val="Heading3"/>
      </w:pPr>
      <w:r>
        <w:t>Research Hypotheses</w:t>
      </w:r>
    </w:p>
    <w:p>
      <w:r>
        <w:t>H1: Exchange rate volatility (IDR/USD) has a negative and statistically significant effect on PT Krakatau Steel’s ROA. (All else equal, higher ER volatility → lower ROA.)</w:t>
      </w:r>
    </w:p>
    <w:p>
      <w:r>
        <w:t>H2: Exchange rate volatility (IDR/USD) has a negative and statistically significant effect on PT Krakatau Steel’s net income.</w:t>
      </w:r>
    </w:p>
    <w:p>
      <w:r>
        <w:t>H3: Exchange rate volatility increases cash-flow volatility for PT Krakatau Steel. (Higher ER volatility → greater CF volatility.)</w:t>
      </w:r>
    </w:p>
    <w:p>
      <w:r>
        <w:t>H4: Hedging activity (Hedging Intensity = 1) reduces the adverse impact of exchange rate volatility on ROA, net income, and cash-flow volatility (i.e., hedged quarters show weaker ERVol → performance sensitivity).</w:t>
      </w:r>
    </w:p>
    <w:p>
      <w:pPr>
        <w:pStyle w:val="Heading2"/>
      </w:pPr>
      <w:r>
        <w:t>II. Literature Review</w:t>
      </w:r>
    </w:p>
    <w:p>
      <w:r>
        <w:t>Exchange Rate Volatility — measurement and firm effects</w:t>
      </w:r>
    </w:p>
    <w:p>
      <w:r>
        <w:t>Empirical studies typically measure exchange-rate volatility as the standard deviation of log changes (first differences of natural logs) of the bilateral exchange rate over a selected window (daily, monthly, or quarterly), and often complement this with GARCH estimates for conditional volatility (IMF, 2004). The standard deviation of log returns is widely used because it is scale-free and comparable across currencies; GARCH captures time-varying conditional heteroskedasticity as an alternative.</w:t>
      </w:r>
    </w:p>
    <w:p>
      <w:r>
        <w:t>Firm-level studies (Allayannis &amp; Ofek, 2001; subsequent work) show that exchange-rate movements can materially affect profitability and that firms using currency derivatives exhibit lower measured exposure. In emerging markets, exchange-rate volatility is an important determinant of firm performance and investment decisions, especially where invoices, inputs, or debt are denominated in USD.</w:t>
      </w:r>
    </w:p>
    <w:p>
      <w:r>
        <w:t>Hedging and Hedging Intensity</w:t>
      </w:r>
    </w:p>
    <w:p>
      <w:r>
        <w:t>A large empirical literature documents that non-financial firms use derivatives to hedge currency, interest-rate, and commodity risks. Bartram, Brown, and Fehle (2009) provide international evidence on derivatives usage and show that firms predominantly use derivatives for hedging motives; Allayannis and Ofek (2001) demonstrate that foreign currency derivatives reduce measured exchange-rate exposure. These studies typically measure hedging either with a continuous hedge ratio (e.g., notional hedged/exposure) or with a binary hedger/non-hedger indicator and instrument counts (number/types of derivatives used). For this proposal, a pragmatic binary measure (1 = any hedging reported or observable in the quarter; 0 = none) is adopted to reflect disclosure limitations and to test whether simply having hedges in place is associated with different outcomes.</w:t>
      </w:r>
    </w:p>
    <w:p>
      <w:r>
        <w:t>Financial Performance Measures (ROA and Net Income)</w:t>
      </w:r>
    </w:p>
    <w:p>
      <w:r>
        <w:t>Return on Assets (ROA) and Net Income are standard performance metrics used in corporate finance and empirical studies. ROA is typically computed as net income divided by average total assets for the period (or by end-period assets) and captures operating efficiency relative to asset base. Net Income (the “bottom line”) is the accounting profit after expenses, interest and taxes. Both measures are commonly used as dependent variables in studies of currency exposure and hedging.</w:t>
      </w:r>
    </w:p>
    <w:p>
      <w:r>
        <w:t>Cash-Flow Volatility — measurement approaches</w:t>
      </w:r>
    </w:p>
    <w:p>
      <w:r>
        <w:t>Several studies measure cash-flow volatility (CFV) as the standard deviation of operating cash flows (or of operating income before depreciation) over a rolling window (e.g., past 4 or 12 quarters). Cohen (2014) measures CFV as the standard deviation of cash-flow measures scaled by assets over a look-back window; other recent studies use rolling SD of quarter-to-quarter changes in operating cash flow as an alternative. These approaches make CFV comparable across time and scale it where appropriate by total assets to control for firm size. Rolling windows of 4 quarters (1 year) and 12 quarters (3 years) are common robustness choices.</w:t>
      </w:r>
    </w:p>
    <w:p>
      <w:r>
        <w:t>Control Variables: DER, Total Assets, Current Ratio</w:t>
      </w:r>
    </w:p>
    <w:p>
      <w:r>
        <w:t>Leverage (Debt-to-Equity, DER) is associated with firm risk and performance; higher leverage increases fixed financial obligations and can amplify the effect of adverse shocks. Firm size (Total Assets) proxies for diversification, market power, and access to capital. Liquidity (Current Ratio) captures short-term resilience and capacity to smooth cash-flow shocks. These controls are standard in hedging and exposure literature because they condition the extent to which firms can absorb exchange-rate shocks or adopt derivative strategies.</w:t>
      </w:r>
    </w:p>
    <w:p>
      <w:pPr>
        <w:pStyle w:val="Heading2"/>
      </w:pPr>
      <w:r>
        <w:t>III. Variable Definitions and Measurement (operationalization)</w:t>
      </w:r>
    </w:p>
    <w:p>
      <w:r>
        <w:t>Below are formal definitions and recommended measurement procedures, aligned with international empirical literature and industry practice.</w:t>
      </w:r>
    </w:p>
    <w:p>
      <w:pPr>
        <w:pStyle w:val="Heading3"/>
      </w:pPr>
      <w:r>
        <w:t>Dependent variables</w:t>
      </w:r>
    </w:p>
    <w:p>
      <w:r>
        <w:t>Return on Assets (ROA)</w:t>
      </w:r>
    </w:p>
    <w:p>
      <w:r>
        <w:t>Definition: Net income divided by total assets (commonly average assets for the period).</w:t>
      </w:r>
    </w:p>
    <w:p>
      <w:r>
        <w:t>Measurement (quarterly): ROA_t = NetIncome_t / AverageTotalAssets_t × 100%. Use average of beginning- and ending-quarter total assets for smoother measures.</w:t>
      </w:r>
    </w:p>
    <w:p>
      <w:r>
        <w:t>Net Income</w:t>
      </w:r>
    </w:p>
    <w:p>
      <w:r>
        <w:t>Definition: Profit after all operating costs, interest, taxes and extraordinary items.</w:t>
      </w:r>
    </w:p>
    <w:p>
      <w:r>
        <w:t>Measurement (quarterly): Use reported quarterly net income from Krakatau Steel’s consolidated income statement (IFRS/GAAP figures). Optionally use natural log ln(NetIncome_t + c) if distributional skew or heteroscedasticity requires stabilization (where c is a small constant to handle negative or zero profits).</w:t>
      </w:r>
    </w:p>
    <w:p>
      <w:r>
        <w:t>Cash-Flow Volatility (CFV)</w:t>
      </w:r>
    </w:p>
    <w:p>
      <w:r>
        <w:t>Definition: Rolling volatility (standard deviation) of operating cash flows (or of operating cash flow scaled by assets) over a prior window.</w:t>
      </w:r>
    </w:p>
    <w:p>
      <w:r>
        <w:t>Measurement (quarterly): Preferred primary measure: compute the standard deviation of quarterly Operating Cash Flow (OCF) scaled by average total assets over the preceding 12 quarters (CF_t/AvgAssets). Alternative primary specification: rolling 4-quarter SD (captures recent variability). Alternative exploratory measure: SD of quarter-to-quarter changes in OCF. Report and test both.</w:t>
      </w:r>
    </w:p>
    <w:p>
      <w:pPr>
        <w:pStyle w:val="Heading3"/>
      </w:pPr>
      <w:r>
        <w:t>Independent variables</w:t>
      </w:r>
    </w:p>
    <w:p>
      <w:r>
        <w:t>Exchange Rate Volatility (ERVol)</w:t>
      </w:r>
    </w:p>
    <w:p>
      <w:r>
        <w:t>Definition: Historical volatility of the bilateral IDR/USD exchange rate.</w:t>
      </w:r>
    </w:p>
    <w:p>
      <w:r>
        <w:t>Measurement (quarterly): Compute log returns r_t = ln(E_t) - ln(E_{t-1}) where E_t is the spot IDR per USD at quarter t (use end-of-period or monthly averages within the quarter). ERVol_t = standard deviation of r over a chosen window (e.g., intra-quarter observations if using monthly/daily series aggregated to quarter) or the standard deviation of quarterly log returns over a rolling window (4 or 12 quarters). As robustness, estimate a GARCH(1,1) conditional volatility series and rerun regressions.</w:t>
      </w:r>
    </w:p>
    <w:p>
      <w:r>
        <w:t>Hedging Intensity (binary)</w:t>
      </w:r>
    </w:p>
    <w:p>
      <w:r>
        <w:t>Definition: Indicator for whether the firm engaged in any currency hedging during the quarter.</w:t>
      </w:r>
    </w:p>
    <w:p>
      <w:r>
        <w:t>Measurement (quarterly): HedgingIntensity_t = 1 if Krakatau Steel has evidence of any currency derivative activity (forwards, swaps, options) or documented natural hedging actions in that quarter (from footnotes, treasury reports, or disclosures); 0 otherwise.</w:t>
      </w:r>
    </w:p>
    <w:p>
      <w:pPr>
        <w:pStyle w:val="Heading3"/>
      </w:pPr>
      <w:r>
        <w:t>Control variables</w:t>
      </w:r>
    </w:p>
    <w:p>
      <w:r>
        <w:t>Debt-to-Equity Ratio (DER)</w:t>
      </w:r>
    </w:p>
    <w:p>
      <w:r>
        <w:t>Definition: Total interest-bearing debt divided by shareholders’ equity.</w:t>
      </w:r>
    </w:p>
    <w:p>
      <w:r>
        <w:t>Measurement (quarterly): DER_t = TotalDebt_t / ShareholdersEquity_t using balance-sheet book values. Consider alternative specifications using long-term debt only, or debt net of cash, as robustness checks.</w:t>
      </w:r>
    </w:p>
    <w:p>
      <w:r>
        <w:t>Total Assets (Size)</w:t>
      </w:r>
    </w:p>
    <w:p>
      <w:r>
        <w:t>Definition: Book value of total assets at period end.</w:t>
      </w:r>
    </w:p>
    <w:p>
      <w:r>
        <w:t>Measurement (quarterly): Use natural log ln(TotalAssets_t) as the size control to reduce scale effects and heteroskedasticity.</w:t>
      </w:r>
    </w:p>
    <w:p>
      <w:r>
        <w:t>Current Ratio (Liquidity)</w:t>
      </w:r>
    </w:p>
    <w:p>
      <w:r>
        <w:t>Definition: Current assets divided by current liabilities.</w:t>
      </w:r>
    </w:p>
    <w:p>
      <w:r>
        <w:t>Measurement (quarterly): CurrentRatio_t = CurrentAssets_t / CurrentLiabilities_t. Use the ratio directly; winsorize extreme outliers if needed.</w:t>
      </w:r>
    </w:p>
    <w:p>
      <w:pPr>
        <w:pStyle w:val="Heading2"/>
      </w:pPr>
      <w:r>
        <w:t>IV. Method</w:t>
      </w:r>
    </w:p>
    <w:p>
      <w:pPr>
        <w:pStyle w:val="Heading3"/>
      </w:pPr>
      <w:r>
        <w:t>A. Data Sources</w:t>
      </w:r>
    </w:p>
    <w:p>
      <w:r>
        <w:t>1. PT Krakatau Steel (Persero) Tbk – Quarterly financial statements and notes (2013 Q1 – 2025 Q2). Use consolidated statements for Net Income, Operating Cash Flow, Total Assets, Current Assets/Liabilities, Total Debt, and equity items. Footnotes and management discussion may provide hedging disclosures and derivative notional amounts. (PT Krakatau Steel, Annual Reports and quarterly filings).</w:t>
      </w:r>
    </w:p>
    <w:p>
      <w:r>
        <w:t>2. Exchange rate series – IDR per USD spot rates (preferably daily and monthly series) from Bank Indonesia and/or Bloomberg/Refinitiv to compute log returns and volatility measures. Use monthly averages or end-of-period rates to construct quarterly series. (Bank Indonesia; Bloomberg).</w:t>
      </w:r>
    </w:p>
    <w:p>
      <w:r>
        <w:t>3. Macroeconomic controls and verification – Bank Indonesia, Indonesia Statistics (BPS) for GDP/price indices if needed for extensions.</w:t>
      </w:r>
    </w:p>
    <w:p>
      <w:r>
        <w:t>4. Additional data – If derivative notional amounts are not disclosed in quarterly notes, cross-check with the company’s annual reports, treasury reports, and Indonesian stock exchange filings (IDX).</w:t>
      </w:r>
    </w:p>
    <w:p>
      <w:pPr>
        <w:pStyle w:val="Heading3"/>
      </w:pPr>
      <w:r>
        <w:t>B. Sample and Period</w:t>
      </w:r>
    </w:p>
    <w:p>
      <w:r>
        <w:t>• Period: Quarterly observations from Q1 2013 to the latest available quarter in 2025 (expected 2025 Q2 or Q3 depending on release timing).</w:t>
      </w:r>
    </w:p>
    <w:p>
      <w:r>
        <w:t>• Firm: PT Krakatau Steel (single-firm time-series).</w:t>
      </w:r>
    </w:p>
    <w:p>
      <w:r>
        <w:t>• Frequency: Quarterly. Exchange-rate series will be aggregated as needed from monthly/daily observations to produce quarterly volatility metrics.</w:t>
      </w:r>
    </w:p>
    <w:p>
      <w:pPr>
        <w:pStyle w:val="Heading3"/>
      </w:pPr>
      <w:r>
        <w:t>C. Variable Construction Table</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Definition</w:t>
            </w:r>
          </w:p>
        </w:tc>
        <w:tc>
          <w:tcPr>
            <w:tcW w:type="dxa" w:w="2160"/>
          </w:tcPr>
          <w:p>
            <w:r>
              <w:t>Frequency / Source</w:t>
            </w:r>
          </w:p>
        </w:tc>
        <w:tc>
          <w:tcPr>
            <w:tcW w:type="dxa" w:w="2160"/>
          </w:tcPr>
          <w:p>
            <w:r>
              <w:t>Measurement (operational)</w:t>
            </w:r>
          </w:p>
        </w:tc>
      </w:tr>
      <w:tr>
        <w:tc>
          <w:tcPr>
            <w:tcW w:type="dxa" w:w="2160"/>
          </w:tcPr>
          <w:p>
            <w:r>
              <w:t>ROA</w:t>
            </w:r>
          </w:p>
        </w:tc>
        <w:tc>
          <w:tcPr>
            <w:tcW w:type="dxa" w:w="2160"/>
          </w:tcPr>
          <w:p>
            <w:r>
              <w:t>Profitability measure</w:t>
            </w:r>
          </w:p>
        </w:tc>
        <w:tc>
          <w:tcPr>
            <w:tcW w:type="dxa" w:w="2160"/>
          </w:tcPr>
          <w:p>
            <w:r>
              <w:t>Quarterly / Krakatau Steel financials</w:t>
            </w:r>
          </w:p>
        </w:tc>
        <w:tc>
          <w:tcPr>
            <w:tcW w:type="dxa" w:w="2160"/>
          </w:tcPr>
          <w:p>
            <w:r>
              <w:t>NetIncome_t / AverageTotalAssets_t (×100%)</w:t>
            </w:r>
          </w:p>
        </w:tc>
      </w:tr>
      <w:tr>
        <w:tc>
          <w:tcPr>
            <w:tcW w:type="dxa" w:w="2160"/>
          </w:tcPr>
          <w:p>
            <w:r>
              <w:t>Net Income</w:t>
            </w:r>
          </w:p>
        </w:tc>
        <w:tc>
          <w:tcPr>
            <w:tcW w:type="dxa" w:w="2160"/>
          </w:tcPr>
          <w:p>
            <w:r>
              <w:t>Accounting net profit</w:t>
            </w:r>
          </w:p>
        </w:tc>
        <w:tc>
          <w:tcPr>
            <w:tcW w:type="dxa" w:w="2160"/>
          </w:tcPr>
          <w:p>
            <w:r>
              <w:t>Quarterly / Krakatau Steel financials</w:t>
            </w:r>
          </w:p>
        </w:tc>
        <w:tc>
          <w:tcPr>
            <w:tcW w:type="dxa" w:w="2160"/>
          </w:tcPr>
          <w:p>
            <w:r>
              <w:t>Reported quarterly net income (use ln(NetIncome + c) if needed)</w:t>
            </w:r>
          </w:p>
        </w:tc>
      </w:tr>
      <w:tr>
        <w:tc>
          <w:tcPr>
            <w:tcW w:type="dxa" w:w="2160"/>
          </w:tcPr>
          <w:p>
            <w:r>
              <w:t>Cash Flow Volatility (CFV)</w:t>
            </w:r>
          </w:p>
        </w:tc>
        <w:tc>
          <w:tcPr>
            <w:tcW w:type="dxa" w:w="2160"/>
          </w:tcPr>
          <w:p>
            <w:r>
              <w:t>Operating cash flow variability</w:t>
            </w:r>
          </w:p>
        </w:tc>
        <w:tc>
          <w:tcPr>
            <w:tcW w:type="dxa" w:w="2160"/>
          </w:tcPr>
          <w:p>
            <w:r>
              <w:t>Quarterly / Krakatau Steel financials</w:t>
            </w:r>
          </w:p>
        </w:tc>
        <w:tc>
          <w:tcPr>
            <w:tcW w:type="dxa" w:w="2160"/>
          </w:tcPr>
          <w:p>
            <w:r>
              <w:t>Rolling SD of OCF (scaled by avg assets) over 12 quarters (alt: 4 quarters)</w:t>
            </w:r>
          </w:p>
        </w:tc>
      </w:tr>
      <w:tr>
        <w:tc>
          <w:tcPr>
            <w:tcW w:type="dxa" w:w="2160"/>
          </w:tcPr>
          <w:p>
            <w:r>
              <w:t>Exchange Rate Volatility (ERVol)</w:t>
            </w:r>
          </w:p>
        </w:tc>
        <w:tc>
          <w:tcPr>
            <w:tcW w:type="dxa" w:w="2160"/>
          </w:tcPr>
          <w:p>
            <w:r>
              <w:t>IDR/USD volatility</w:t>
            </w:r>
          </w:p>
        </w:tc>
        <w:tc>
          <w:tcPr>
            <w:tcW w:type="dxa" w:w="2160"/>
          </w:tcPr>
          <w:p>
            <w:r>
              <w:t>Daily/Monthly Bank Indonesia or Bloomberg – aggregated to quarter</w:t>
            </w:r>
          </w:p>
        </w:tc>
        <w:tc>
          <w:tcPr>
            <w:tcW w:type="dxa" w:w="2160"/>
          </w:tcPr>
          <w:p>
            <w:r>
              <w:t>SD of log returns of IDR/USD over chosen window; alt: GARCH(1,1) conditional volatility</w:t>
            </w:r>
          </w:p>
        </w:tc>
      </w:tr>
      <w:tr>
        <w:tc>
          <w:tcPr>
            <w:tcW w:type="dxa" w:w="2160"/>
          </w:tcPr>
          <w:p>
            <w:r>
              <w:t>Hedging Intensity (binary)</w:t>
            </w:r>
          </w:p>
        </w:tc>
        <w:tc>
          <w:tcPr>
            <w:tcW w:type="dxa" w:w="2160"/>
          </w:tcPr>
          <w:p>
            <w:r>
              <w:t>Presence of hedging</w:t>
            </w:r>
          </w:p>
        </w:tc>
        <w:tc>
          <w:tcPr>
            <w:tcW w:type="dxa" w:w="2160"/>
          </w:tcPr>
          <w:p>
            <w:r>
              <w:t>Quarterly / Notes, disclosures</w:t>
            </w:r>
          </w:p>
        </w:tc>
        <w:tc>
          <w:tcPr>
            <w:tcW w:type="dxa" w:w="2160"/>
          </w:tcPr>
          <w:p>
            <w:r>
              <w:t>1 if any currency derivatives or documented hedging activity in the quarter; 0 otherwise</w:t>
            </w:r>
          </w:p>
        </w:tc>
      </w:tr>
      <w:tr>
        <w:tc>
          <w:tcPr>
            <w:tcW w:type="dxa" w:w="2160"/>
          </w:tcPr>
          <w:p>
            <w:r>
              <w:t>Debt-to-Equity (DER)</w:t>
            </w:r>
          </w:p>
        </w:tc>
        <w:tc>
          <w:tcPr>
            <w:tcW w:type="dxa" w:w="2160"/>
          </w:tcPr>
          <w:p>
            <w:r>
              <w:t>Leverage</w:t>
            </w:r>
          </w:p>
        </w:tc>
        <w:tc>
          <w:tcPr>
            <w:tcW w:type="dxa" w:w="2160"/>
          </w:tcPr>
          <w:p>
            <w:r>
              <w:t>Quarterly / Balance sheet</w:t>
            </w:r>
          </w:p>
        </w:tc>
        <w:tc>
          <w:tcPr>
            <w:tcW w:type="dxa" w:w="2160"/>
          </w:tcPr>
          <w:p>
            <w:r>
              <w:t>TotalDebt / ShareholdersEquity</w:t>
            </w:r>
          </w:p>
        </w:tc>
      </w:tr>
      <w:tr>
        <w:tc>
          <w:tcPr>
            <w:tcW w:type="dxa" w:w="2160"/>
          </w:tcPr>
          <w:p>
            <w:r>
              <w:t>Total Assets</w:t>
            </w:r>
          </w:p>
        </w:tc>
        <w:tc>
          <w:tcPr>
            <w:tcW w:type="dxa" w:w="2160"/>
          </w:tcPr>
          <w:p>
            <w:r>
              <w:t>Firm size</w:t>
            </w:r>
          </w:p>
        </w:tc>
        <w:tc>
          <w:tcPr>
            <w:tcW w:type="dxa" w:w="2160"/>
          </w:tcPr>
          <w:p>
            <w:r>
              <w:t>Quarterly / Balance sheet</w:t>
            </w:r>
          </w:p>
        </w:tc>
        <w:tc>
          <w:tcPr>
            <w:tcW w:type="dxa" w:w="2160"/>
          </w:tcPr>
          <w:p>
            <w:r>
              <w:t>ln(TotalAssets)</w:t>
            </w:r>
          </w:p>
        </w:tc>
      </w:tr>
      <w:tr>
        <w:tc>
          <w:tcPr>
            <w:tcW w:type="dxa" w:w="2160"/>
          </w:tcPr>
          <w:p>
            <w:r>
              <w:t>Current Ratio</w:t>
            </w:r>
          </w:p>
        </w:tc>
        <w:tc>
          <w:tcPr>
            <w:tcW w:type="dxa" w:w="2160"/>
          </w:tcPr>
          <w:p>
            <w:r>
              <w:t>Liquidity</w:t>
            </w:r>
          </w:p>
        </w:tc>
        <w:tc>
          <w:tcPr>
            <w:tcW w:type="dxa" w:w="2160"/>
          </w:tcPr>
          <w:p>
            <w:r>
              <w:t>Quarterly / Balance sheet</w:t>
            </w:r>
          </w:p>
        </w:tc>
        <w:tc>
          <w:tcPr>
            <w:tcW w:type="dxa" w:w="2160"/>
          </w:tcPr>
          <w:p>
            <w:r>
              <w:t>CurrentAssets / CurrentLiabilities</w:t>
            </w:r>
          </w:p>
        </w:tc>
      </w:tr>
    </w:tbl>
    <w:p>
      <w:pPr>
        <w:pStyle w:val="Heading3"/>
      </w:pPr>
      <w:r>
        <w:t>D. Estimation Strategy</w:t>
      </w:r>
    </w:p>
    <w:p>
      <w:r>
        <w:t>Model forms: Estimate separate models for each dependent variable (ROA, Net Income, CFV). Primary linear specification:</w:t>
      </w:r>
    </w:p>
    <w:p>
      <w:r>
        <w:t>ROA_t = α + β1 ERVol_t + β2 Hedge_t + β3 DER_t + β4 ln(TA_t) + β5 CR_t + ε_t</w:t>
      </w:r>
    </w:p>
    <w:p>
      <w:r>
        <w:t>NetIncome_t = α + β1 ERVol_t + β2 Hedge_t + β3 DER_t + β4 ln(TA_t) + β5 CR_t + ε_t</w:t>
      </w:r>
    </w:p>
    <w:p>
      <w:r>
        <w:t>CFV_t = α + β1 ERVol_t + β2 Hedge_t + β3 DER_t + β4 ln(TA_t) + β5 CR_t + ε_t</w:t>
      </w:r>
    </w:p>
    <w:p>
      <w:r>
        <w:t>To test whether hedging moderates the sensitivity of performance to exchange-rate volatility, include an interaction term:</w:t>
      </w:r>
    </w:p>
    <w:p>
      <w:r>
        <w:t>DV_t = α + β1 ERVol_t + β2 Hedge_t + β3 (ERVol_t × Hedge_t) + β4 DER_t + β5 ln(TA_t) + β6 CR_t + ε_t</w:t>
      </w:r>
    </w:p>
    <w:p>
      <w:r>
        <w:t>Key parameter: β3 (interaction). A negative β1 and positive β3 for ROA would suggest that ER volatility reduces ROA but the reduction is smaller when hedging is present (Hedge mitigates impact).</w:t>
      </w:r>
    </w:p>
    <w:p>
      <w:r>
        <w:t>Estimation details:</w:t>
      </w:r>
    </w:p>
    <w:p>
      <w:r>
        <w:t>1. Primary estimator: OLS with robust (Newey–West / HAC) standard errors to correct for autocorrelation and heteroskedasticity in quarterly time-series. If residuals show AR(1) patterns, estimate AR(1) errors or include lagged dependent variable (LDV) to capture persistence.</w:t>
      </w:r>
    </w:p>
    <w:p>
      <w:r>
        <w:t>2. Time effects: Include quarter dummy variables (seasonality) or a time trend if visually/empirically warranted.</w:t>
      </w:r>
    </w:p>
    <w:p>
      <w:r>
        <w:t>3. Diagnostics: Test for autocorrelation (Durbin-Watson; Breusch-Godfrey/Ljung-Box), heteroskedasticity (Breusch-Pagan / White), multicollinearity (VIF), and stationarity (ADF or KPSS). If series are non-stationary, consider differencing or using an error-correction/ARDL framework for robustness.</w:t>
      </w:r>
    </w:p>
    <w:p>
      <w:r>
        <w:t>4. Endogeneity: If hedging choice is endogenous (e.g., management hedges in response to observed bad shocks), consider lagging Hedge_t (use prior-quarter hedging indicator) or instrumenting with exogenous determinants of hedging (e.g. board-level treasury policy changes, commodity-price shocks, or lagged exchange-rate volatility).</w:t>
      </w:r>
    </w:p>
    <w:p>
      <w:pPr>
        <w:pStyle w:val="Heading3"/>
      </w:pPr>
      <w:r>
        <w:t>E. Robustness Tests and Additional Analyses</w:t>
      </w:r>
    </w:p>
    <w:p>
      <w:r>
        <w:t>1. Alternative ERVol measures: Use GARCH(1,1) estimated conditional volatility from daily returns as an alternative independent variable; also test SD of monthly returns aggregated to quarter.</w:t>
      </w:r>
    </w:p>
    <w:p>
      <w:r>
        <w:t>2. Alternative CFV windows: Compute CFV using 4-quarter and 12-quarter rolling windows, as well as SD of quarter-to-quarter changes; compare results.</w:t>
      </w:r>
    </w:p>
    <w:p>
      <w:r>
        <w:t>3. Alternative hedging definitions: (a) Binary hedger/non-hedger as primary; (b) If notional data available, compute hedge ratio = notional hedged / estimated exposure and rerun regressions using continuous hedge ratio. Also create an instrument-count measure (number of derivative types used).</w:t>
      </w:r>
    </w:p>
    <w:p>
      <w:r>
        <w:t>4. Outcome transformations: Use ln(NetIncome + c) for skewness and scale-dependent heteroskedasticity; winsorize or truncate extreme outliers.</w:t>
      </w:r>
    </w:p>
    <w:p>
      <w:r>
        <w:t>5. Alternative estimators: Estimate models with ARDL/ECM if some variables are I(1) and cointegrated; use Newey–West robust SEs; consider GLS if heteroskedasticity is severe.</w:t>
      </w:r>
    </w:p>
    <w:p>
      <w:r>
        <w:t>6. Subsample analysis: Run regressions on pre-2018, 2018–2020 (volatile periods), and post-2020 sub-samples to detect time-varying relationships and structural breaks.</w:t>
      </w:r>
    </w:p>
    <w:p>
      <w:r>
        <w:t>7. Placebo tests: Test the interaction with unrelated policy dummies or use Monte Carlo simulations for sensitivity where feasible.</w:t>
      </w:r>
    </w:p>
    <w:p>
      <w:pPr>
        <w:pStyle w:val="Heading3"/>
      </w:pPr>
      <w:r>
        <w:t>F. Empirical Steps and Implementation</w:t>
      </w:r>
    </w:p>
    <w:p>
      <w:r>
        <w:t>1. Data collection: download quarterly financials from Krakatau Steel filings; collect daily/monthly IDR/USD rates from Bank Indonesia or Bloomberg; create quarterly series.</w:t>
      </w:r>
    </w:p>
    <w:p>
      <w:r>
        <w:t>2. Variable construction: compute dependent and independent variables as specified in Section III. Construct CFV rolling windows and ERVol measures (SD and GARCH).</w:t>
      </w:r>
    </w:p>
    <w:p>
      <w:r>
        <w:t>3. Descriptive analysis: summary statistics, correlation matrix, and plots (time series plots of ER, ROA, Net Income, CFV, and Hedge dummy).</w:t>
      </w:r>
    </w:p>
    <w:p>
      <w:r>
        <w:t>4. Baseline regressions: estimate OLS models for ROA, Net Income (or ln(NetIncome)), and CFV; report coefficients with Newey–West SEs; include AR(1) adjustments if needed.</w:t>
      </w:r>
    </w:p>
    <w:p>
      <w:r>
        <w:t>5. Interaction analysis: add ERVol × Hedge interaction term and interpret marginal effects (report slopes and graphs).</w:t>
      </w:r>
    </w:p>
    <w:p>
      <w:r>
        <w:t>6. Robustness checks: run alternative specifications and report where results differ.</w:t>
      </w:r>
    </w:p>
    <w:p>
      <w:pPr>
        <w:pStyle w:val="Heading3"/>
      </w:pPr>
      <w:r>
        <w:t>G. Limitations</w:t>
      </w:r>
    </w:p>
    <w:p>
      <w:r>
        <w:t>1. Single-firm study: External validity is limited to Krakatau Steel; results may not generalize to other firms or sectors. Consider noting this limitation and suggesting panel extensions for future research.</w:t>
      </w:r>
    </w:p>
    <w:p>
      <w:r>
        <w:t>2. Hedging disclosure: Quarterly disclosure may be incomplete; hedging measures depending on notes could undercount informal/natural hedges. Use robustness checks with alternative definitions and manual note review.</w:t>
      </w:r>
    </w:p>
    <w:p>
      <w:r>
        <w:t>3. Endogeneity: Hedging choices may be endogenous. Address with lags, instruments, or cautious interpretation.</w:t>
      </w:r>
    </w:p>
    <w:p>
      <w:r>
        <w:t>4. Data revisions and restatements: Check for accounting restatements or reclassifications across 2013–2025.</w:t>
      </w:r>
    </w:p>
    <w:p>
      <w:r>
        <w:br w:type="page"/>
      </w:r>
    </w:p>
    <w:p>
      <w:pPr>
        <w:pStyle w:val="Heading2"/>
      </w:pPr>
      <w:r>
        <w:t>References (APA 6th edition)</w:t>
      </w:r>
    </w:p>
    <w:p>
      <w:pPr>
        <w:pStyle w:val="ListNumber"/>
      </w:pPr>
      <w:r>
        <w:t>Allayannis, G., &amp; Ofek, E. (2001). Exchange rate exposure, hedging, and the use of foreign currency derivatives. Journal of International Money and Finance, 20(2), 273–296.</w:t>
      </w:r>
    </w:p>
    <w:p>
      <w:pPr>
        <w:pStyle w:val="ListNumber"/>
      </w:pPr>
      <w:r>
        <w:t>Bartram, S. M., Brown, G. W., &amp; Fehle, F. R. (2009). International evidence on financial derivatives usage. Financial Management, 38(1), 185–206. https://doi.org/10.1111/j.1755-053X.2009.01033.x</w:t>
      </w:r>
    </w:p>
    <w:p>
      <w:pPr>
        <w:pStyle w:val="ListNumber"/>
      </w:pPr>
      <w:r>
        <w:t>Cohen, S. (2014). Cash Flow Volatility and Corporate Investment (Doctoral dissertation). Columbia University.</w:t>
      </w:r>
    </w:p>
    <w:p>
      <w:pPr>
        <w:pStyle w:val="ListNumber"/>
      </w:pPr>
      <w:r>
        <w:t>Corporate Finance Institute. (n.d.). Return on assets (ROA): Formula, calculation, and examples. Retrieved from https://corporatefinanceinstitute.com/</w:t>
      </w:r>
    </w:p>
    <w:p>
      <w:pPr>
        <w:pStyle w:val="ListNumber"/>
      </w:pPr>
      <w:r>
        <w:t>Corporate Finance Institute. (n.d.). Debt to equity ratio – How to calculate leverage, formula. Retrieved from https://corporatefinanceinstitute.com/</w:t>
      </w:r>
    </w:p>
    <w:p>
      <w:pPr>
        <w:pStyle w:val="ListNumber"/>
      </w:pPr>
      <w:r>
        <w:t>International Monetary Fund. (2004). Exchange rate volatility and trade flows (IMF Working Paper).</w:t>
      </w:r>
    </w:p>
    <w:p>
      <w:pPr>
        <w:pStyle w:val="ListNumber"/>
      </w:pPr>
      <w:r>
        <w:t>Keefe, M. O. C. (2023). The influence of cash flow volatility on firm use of debt and other corporate outcomes. [Journal article].</w:t>
      </w:r>
    </w:p>
    <w:p>
      <w:pPr>
        <w:pStyle w:val="ListNumber"/>
      </w:pPr>
      <w:r>
        <w:t>PT Krakatau Steel (Persero) Tbk. (2015–2023). Annual Reports. PT Krakatau Steel.</w:t>
      </w:r>
    </w:p>
    <w:p>
      <w:pPr>
        <w:pStyle w:val="ListNumber"/>
      </w:pPr>
      <w:r>
        <w:t>Bank Indonesia. (2023). Exchange rate statistics and reports. Bank Indonesia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