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256C5" w14:textId="77777777" w:rsidR="00155E40" w:rsidRDefault="00000000">
      <w:pPr>
        <w:pStyle w:val="Heading1"/>
      </w:pPr>
      <w:bookmarkStart w:id="0" w:name="header"/>
      <w:bookmarkStart w:id="1" w:name="variable-definitions-and-measurement"/>
      <w:bookmarkStart w:id="2" w:name="content"/>
      <w:bookmarkEnd w:id="0"/>
      <w:r>
        <w:t>Variable Definitions and Measurement</w:t>
      </w:r>
    </w:p>
    <w:p w14:paraId="3DB7CB7D" w14:textId="77777777" w:rsidR="00155E40" w:rsidRDefault="00000000">
      <w:pPr>
        <w:pStyle w:val="FirstParagraph"/>
      </w:pPr>
      <w:r>
        <w:t>We define each variable consistent with corporate finance literature and standard financial metrics:</w:t>
      </w:r>
    </w:p>
    <w:p w14:paraId="4F064111" w14:textId="77777777" w:rsidR="00155E40" w:rsidRDefault="00000000">
      <w:pPr>
        <w:numPr>
          <w:ilvl w:val="0"/>
          <w:numId w:val="2"/>
        </w:numPr>
      </w:pPr>
      <w:r>
        <w:rPr>
          <w:b/>
          <w:bCs/>
        </w:rPr>
        <w:t>Exchange Rate Volatility (IDR/USD)</w:t>
      </w:r>
      <w:r>
        <w:t xml:space="preserve"> – Commonly measured as the variability of the exchange rate over time. A standard approach is to compute the </w:t>
      </w:r>
      <w:r>
        <w:rPr>
          <w:i/>
          <w:iCs/>
        </w:rPr>
        <w:t>standard deviation of the first differences of log exchange rates</w:t>
      </w:r>
      <w:r>
        <w:t xml:space="preserve"> (i.e. log returns) over a window (e.g. 12 months). For example, Clark et al. (IMF) note that the “most widely used measure of exchange rate volatility is the standard deviation of the first difference of logarithms of the exchange rate”. For quarterly analysis, one could compute the standard deviation of the (log) IDR/USD changes within each quarter or over a rolling year of quarterly rates.</w:t>
      </w:r>
    </w:p>
    <w:p w14:paraId="3DFB0E08" w14:textId="77777777" w:rsidR="00155E40" w:rsidRDefault="00000000">
      <w:pPr>
        <w:numPr>
          <w:ilvl w:val="0"/>
          <w:numId w:val="2"/>
        </w:numPr>
      </w:pPr>
      <w:r>
        <w:rPr>
          <w:b/>
          <w:bCs/>
        </w:rPr>
        <w:t>Hedging Intensity</w:t>
      </w:r>
      <w:r>
        <w:t xml:space="preserve"> – Reflects the extent of a firm’s currency hedging. In the literature this is often measured by the </w:t>
      </w:r>
      <w:r>
        <w:rPr>
          <w:i/>
          <w:iCs/>
        </w:rPr>
        <w:t>hedge ratio</w:t>
      </w:r>
      <w:r>
        <w:t xml:space="preserve"> (e.g. the notional value of hedging contracts divided by the exposure) or by an instrument-count measure. For instance, Bartram, Brown &amp; Fehle (2009) define “hedging intensity” as the number of different derivative types used by a firm (e.g. forwards, options, swaps)</w:t>
      </w:r>
      <w:hyperlink r:id="rId5" w:anchor=":~:text=called%20Hedging%20Intensity%20equal%20to,over%20measures%20using%20notional%20values">
        <w:r>
          <w:rPr>
            <w:rStyle w:val="Hyperlink"/>
          </w:rPr>
          <w:t>[1]</w:t>
        </w:r>
      </w:hyperlink>
      <w:r>
        <w:t>. In our case study, hedging intensity is coded as a binary indicator: 1 if the firm used any currency hedge in the quarter, 0 otherwise. (Other studies also use binary “hedger/non-hedger” variables</w:t>
      </w:r>
      <w:hyperlink r:id="rId6" w:anchor=":~:text=Hedging%20Intensity%204%2C167%201,0.711%201.221%20%3C0.001">
        <w:r>
          <w:rPr>
            <w:rStyle w:val="Hyperlink"/>
          </w:rPr>
          <w:t>[2]</w:t>
        </w:r>
      </w:hyperlink>
      <w:r>
        <w:t xml:space="preserve"> or hedge-ratios; the binary indicator simply flags the presence of hedging.)</w:t>
      </w:r>
    </w:p>
    <w:p w14:paraId="63560F1D" w14:textId="77777777" w:rsidR="00155E40" w:rsidRDefault="00000000">
      <w:pPr>
        <w:numPr>
          <w:ilvl w:val="0"/>
          <w:numId w:val="2"/>
        </w:numPr>
      </w:pPr>
      <w:r>
        <w:rPr>
          <w:b/>
          <w:bCs/>
        </w:rPr>
        <w:t>Return on Assets (ROA)</w:t>
      </w:r>
      <w:r>
        <w:t xml:space="preserve"> – A profitability ratio. ROA is generally defined as </w:t>
      </w:r>
      <w:r>
        <w:rPr>
          <w:i/>
          <w:iCs/>
        </w:rPr>
        <w:t>net income divided by total assets</w:t>
      </w:r>
      <w:r>
        <w:t xml:space="preserve"> (often using average assets over the period). In formula form:</w:t>
      </w:r>
      <w:r>
        <w:br/>
      </w:r>
    </w:p>
    <w:p w14:paraId="778EACF0" w14:textId="77777777" w:rsidR="00155E40" w:rsidRDefault="00000000">
      <w:pPr>
        <w:pStyle w:val="Compact"/>
        <w:numPr>
          <w:ilvl w:val="0"/>
          <w:numId w:val="1"/>
        </w:numPr>
      </w:pPr>
      <m:oMath>
        <m:r>
          <m:rPr>
            <m:nor/>
          </m:rPr>
          <m:t>ROA</m:t>
        </m:r>
        <m:r>
          <m:rPr>
            <m:sty m:val="p"/>
          </m:rPr>
          <w:rPr>
            <w:rFonts w:ascii="Cambria Math" w:hAnsi="Cambria Math"/>
          </w:rPr>
          <m:t>=</m:t>
        </m:r>
        <m:f>
          <m:fPr>
            <m:ctrlPr>
              <w:rPr>
                <w:rFonts w:ascii="Cambria Math" w:hAnsi="Cambria Math"/>
              </w:rPr>
            </m:ctrlPr>
          </m:fPr>
          <m:num>
            <m:r>
              <m:rPr>
                <m:nor/>
              </m:rPr>
              <m:t>Net Income</m:t>
            </m:r>
          </m:num>
          <m:den>
            <m:r>
              <m:rPr>
                <m:nor/>
              </m:rPr>
              <m:t>Total Assets</m:t>
            </m:r>
          </m:den>
        </m:f>
        <m:r>
          <m:rPr>
            <m:sty m:val="p"/>
          </m:rPr>
          <w:rPr>
            <w:rFonts w:ascii="Cambria Math" w:hAnsi="Cambria Math"/>
          </w:rPr>
          <m:t>×</m:t>
        </m:r>
        <m:r>
          <w:rPr>
            <w:rFonts w:ascii="Cambria Math" w:hAnsi="Cambria Math"/>
          </w:rPr>
          <m:t>100</m:t>
        </m:r>
        <m:r>
          <m:rPr>
            <m:sty m:val="p"/>
          </m:rPr>
          <w:rPr>
            <w:rFonts w:ascii="Cambria Math" w:hAnsi="Cambria Math"/>
          </w:rPr>
          <m:t>%.</m:t>
        </m:r>
      </m:oMath>
    </w:p>
    <w:p w14:paraId="378D787C" w14:textId="77777777" w:rsidR="00155E40" w:rsidRDefault="00000000">
      <w:pPr>
        <w:numPr>
          <w:ilvl w:val="0"/>
          <w:numId w:val="1"/>
        </w:numPr>
      </w:pPr>
      <w:r>
        <w:br/>
        <w:t>As noted by financial analysts, “Return on assets (ROA) is a profitability ratio that measures how efficiently a company generates profit from its total assets, calculated by dividing net income by total assets”</w:t>
      </w:r>
      <w:hyperlink r:id="rId7" w:anchor=":~:text=What%20Is%20Return%20on%20Assets%3F">
        <w:r>
          <w:rPr>
            <w:rStyle w:val="Hyperlink"/>
          </w:rPr>
          <w:t>[3]</w:t>
        </w:r>
      </w:hyperlink>
      <w:r>
        <w:t xml:space="preserve">. Some sources use </w:t>
      </w:r>
      <w:r>
        <w:rPr>
          <w:b/>
          <w:bCs/>
        </w:rPr>
        <w:t>average</w:t>
      </w:r>
      <w:r>
        <w:t xml:space="preserve"> total assets in the denominator (for multi-period analysis), but using ending total assets is also common for single periods</w:t>
      </w:r>
      <w:hyperlink r:id="rId8" w:anchor=":~:text=The%20return%20on%20assets%20formula,result%20expressed%20as%20a%20percentage">
        <w:r>
          <w:rPr>
            <w:rStyle w:val="Hyperlink"/>
          </w:rPr>
          <w:t>[4]</w:t>
        </w:r>
      </w:hyperlink>
      <w:r>
        <w:t>.</w:t>
      </w:r>
    </w:p>
    <w:p w14:paraId="49540C48" w14:textId="77777777" w:rsidR="00155E40" w:rsidRDefault="00000000">
      <w:pPr>
        <w:numPr>
          <w:ilvl w:val="0"/>
          <w:numId w:val="2"/>
        </w:numPr>
      </w:pPr>
      <w:r>
        <w:rPr>
          <w:b/>
          <w:bCs/>
        </w:rPr>
        <w:t>Net Income</w:t>
      </w:r>
      <w:r>
        <w:t xml:space="preserve"> – Net profit for the period after all expenses. Formally, net income is total revenues minus all operating costs, interest, taxes and other expenses</w:t>
      </w:r>
      <w:hyperlink r:id="rId9" w:anchor=":~:text=Net%20income%20,making%20it%20a%20key%20performance">
        <w:r>
          <w:rPr>
            <w:rStyle w:val="Hyperlink"/>
          </w:rPr>
          <w:t>[5]</w:t>
        </w:r>
      </w:hyperlink>
      <w:r>
        <w:t>. In a formula:</w:t>
      </w:r>
      <w:r>
        <w:br/>
      </w:r>
    </w:p>
    <w:p w14:paraId="3867FAD3" w14:textId="77777777" w:rsidR="00155E40" w:rsidRDefault="00000000">
      <w:pPr>
        <w:pStyle w:val="Compact"/>
        <w:numPr>
          <w:ilvl w:val="0"/>
          <w:numId w:val="1"/>
        </w:numPr>
      </w:pPr>
      <m:oMath>
        <m:r>
          <m:rPr>
            <m:nor/>
          </m:rPr>
          <m:t>Net Income</m:t>
        </m:r>
        <m:r>
          <m:rPr>
            <m:sty m:val="p"/>
          </m:rPr>
          <w:rPr>
            <w:rFonts w:ascii="Cambria Math" w:hAnsi="Cambria Math"/>
          </w:rPr>
          <m:t>=</m:t>
        </m:r>
        <m:r>
          <m:rPr>
            <m:nor/>
          </m:rPr>
          <m:t>Revenues</m:t>
        </m:r>
        <m:r>
          <m:rPr>
            <m:sty m:val="p"/>
          </m:rPr>
          <w:rPr>
            <w:rFonts w:ascii="Cambria Math" w:hAnsi="Cambria Math"/>
          </w:rPr>
          <m:t>-</m:t>
        </m:r>
        <m:d>
          <m:dPr>
            <m:ctrlPr>
              <w:rPr>
                <w:rFonts w:ascii="Cambria Math" w:hAnsi="Cambria Math"/>
              </w:rPr>
            </m:ctrlPr>
          </m:dPr>
          <m:e>
            <m:r>
              <m:rPr>
                <m:nor/>
              </m:rPr>
              <m:t>COGS</m:t>
            </m:r>
            <m:r>
              <m:rPr>
                <m:sty m:val="p"/>
              </m:rPr>
              <w:rPr>
                <w:rFonts w:ascii="Cambria Math" w:hAnsi="Cambria Math"/>
              </w:rPr>
              <m:t>+</m:t>
            </m:r>
            <m:r>
              <m:rPr>
                <m:nor/>
              </m:rPr>
              <m:t>OpEx</m:t>
            </m:r>
            <m:r>
              <m:rPr>
                <m:sty m:val="p"/>
              </m:rPr>
              <w:rPr>
                <w:rFonts w:ascii="Cambria Math" w:hAnsi="Cambria Math"/>
              </w:rPr>
              <m:t>+</m:t>
            </m:r>
            <m:r>
              <m:rPr>
                <m:nor/>
              </m:rPr>
              <m:t>Interest</m:t>
            </m:r>
            <m:r>
              <m:rPr>
                <m:sty m:val="p"/>
              </m:rPr>
              <w:rPr>
                <w:rFonts w:ascii="Cambria Math" w:hAnsi="Cambria Math"/>
              </w:rPr>
              <m:t>+</m:t>
            </m:r>
            <m:r>
              <m:rPr>
                <m:nor/>
              </m:rPr>
              <m:t>Taxes</m:t>
            </m:r>
            <m:r>
              <m:rPr>
                <m:sty m:val="p"/>
              </m:rPr>
              <w:rPr>
                <w:rFonts w:ascii="Cambria Math" w:hAnsi="Cambria Math"/>
              </w:rPr>
              <m:t>+⋯</m:t>
            </m:r>
          </m:e>
        </m:d>
        <m:r>
          <m:rPr>
            <m:sty m:val="p"/>
          </m:rPr>
          <w:rPr>
            <w:rFonts w:ascii="Cambria Math" w:hAnsi="Cambria Math"/>
          </w:rPr>
          <m:t>.</m:t>
        </m:r>
      </m:oMath>
    </w:p>
    <w:p w14:paraId="080E543C" w14:textId="77777777" w:rsidR="00155E40" w:rsidRDefault="00000000">
      <w:pPr>
        <w:numPr>
          <w:ilvl w:val="0"/>
          <w:numId w:val="1"/>
        </w:numPr>
      </w:pPr>
      <w:r>
        <w:br/>
        <w:t>It is the “bottom line” on the income statement</w:t>
      </w:r>
      <w:hyperlink r:id="rId10" w:anchor=":~:text=Net%20income%20,making%20it%20a%20key%20performance">
        <w:r>
          <w:rPr>
            <w:rStyle w:val="Hyperlink"/>
          </w:rPr>
          <w:t>[5]</w:t>
        </w:r>
      </w:hyperlink>
      <w:r>
        <w:t xml:space="preserve"> and a basic measure of profitability.</w:t>
      </w:r>
    </w:p>
    <w:p w14:paraId="28C244A2" w14:textId="77777777" w:rsidR="00155E40" w:rsidRDefault="00000000">
      <w:pPr>
        <w:numPr>
          <w:ilvl w:val="0"/>
          <w:numId w:val="2"/>
        </w:numPr>
      </w:pPr>
      <w:r>
        <w:rPr>
          <w:b/>
          <w:bCs/>
        </w:rPr>
        <w:t>Cash Flow Volatility</w:t>
      </w:r>
      <w:r>
        <w:t xml:space="preserve"> – The variability of operating cash flows. We recommend measuring this as a standard deviation of cash flow over time. For example, one </w:t>
      </w:r>
      <w:r>
        <w:lastRenderedPageBreak/>
        <w:t>approach is to take the standard deviation of quarterly cash flows (or changes in cash flow) over a rolling horizon. The Federal Reserve note on insurers defines quarterly cash flow volatility as “the standard deviation of the realized change in net cash flows”</w:t>
      </w:r>
      <w:hyperlink r:id="rId11" w:anchor=":~:text=positive%20and%20sometimes%20negative,22">
        <w:r>
          <w:rPr>
            <w:rStyle w:val="Hyperlink"/>
          </w:rPr>
          <w:t>[6]</w:t>
        </w:r>
      </w:hyperlink>
      <w:r>
        <w:t>. Other academic work (e.g. Phillips et al.) computes cash-flow volatility as the standard deviation of the cash-flow-to-assets ratio (profit margin) over the past 12 quarters</w:t>
      </w:r>
      <w:hyperlink r:id="rId12" w:anchor=":~:text=Cash%20flow%20volatility%20is%20the,for%20a%20given%20firm%20quarter">
        <w:r>
          <w:rPr>
            <w:rStyle w:val="Hyperlink"/>
          </w:rPr>
          <w:t>[7]</w:t>
        </w:r>
      </w:hyperlink>
      <w:r>
        <w:t xml:space="preserve">. In practice, we will compute </w:t>
      </w:r>
      <w:r>
        <w:rPr>
          <w:b/>
          <w:bCs/>
        </w:rPr>
        <w:t>Cash Flow Volatility</w:t>
      </w:r>
      <w:r>
        <w:t xml:space="preserve"> by applying a rolling-window standard deviation to quarterly operating cash flow (e.g. over 12 past quarters) so that each quarter’s volatility captures recent variability (see next section).</w:t>
      </w:r>
    </w:p>
    <w:p w14:paraId="3FCFD597" w14:textId="77777777" w:rsidR="00155E40" w:rsidRDefault="00000000">
      <w:pPr>
        <w:numPr>
          <w:ilvl w:val="0"/>
          <w:numId w:val="2"/>
        </w:numPr>
      </w:pPr>
      <w:r>
        <w:rPr>
          <w:b/>
          <w:bCs/>
        </w:rPr>
        <w:t>Debt-to-Equity Ratio (DER)</w:t>
      </w:r>
      <w:r>
        <w:t xml:space="preserve"> – A leverage ratio. Defined as total debt divided by shareholders’ equity. In formula:</w:t>
      </w:r>
      <w:r>
        <w:br/>
      </w:r>
    </w:p>
    <w:p w14:paraId="2341DA6C" w14:textId="77777777" w:rsidR="00155E40" w:rsidRDefault="00000000">
      <w:pPr>
        <w:pStyle w:val="Compact"/>
        <w:numPr>
          <w:ilvl w:val="0"/>
          <w:numId w:val="1"/>
        </w:numPr>
      </w:pPr>
      <m:oMath>
        <m:r>
          <m:rPr>
            <m:nor/>
          </m:rPr>
          <m:t>Debt-to-Equity</m:t>
        </m:r>
        <m:r>
          <m:rPr>
            <m:sty m:val="p"/>
          </m:rPr>
          <w:rPr>
            <w:rFonts w:ascii="Cambria Math" w:hAnsi="Cambria Math"/>
          </w:rPr>
          <m:t>=</m:t>
        </m:r>
        <m:f>
          <m:fPr>
            <m:ctrlPr>
              <w:rPr>
                <w:rFonts w:ascii="Cambria Math" w:hAnsi="Cambria Math"/>
              </w:rPr>
            </m:ctrlPr>
          </m:fPr>
          <m:num>
            <m:r>
              <m:rPr>
                <m:nor/>
              </m:rPr>
              <m:t>Total Debt</m:t>
            </m:r>
          </m:num>
          <m:den>
            <m:r>
              <m:rPr>
                <m:nor/>
              </m:rPr>
              <m:t>Shareholders’ Equity</m:t>
            </m:r>
          </m:den>
        </m:f>
        <m:r>
          <w:rPr>
            <w:rFonts w:ascii="Cambria Math" w:hAnsi="Cambria Math"/>
          </w:rPr>
          <m:t> </m:t>
        </m:r>
        <m:r>
          <m:rPr>
            <m:sty m:val="p"/>
          </m:rPr>
          <w:rPr>
            <w:rFonts w:ascii="Cambria Math" w:hAnsi="Cambria Math"/>
          </w:rPr>
          <m:t>.</m:t>
        </m:r>
      </m:oMath>
    </w:p>
    <w:p w14:paraId="30652F89" w14:textId="77777777" w:rsidR="00155E40" w:rsidRDefault="00000000">
      <w:pPr>
        <w:numPr>
          <w:ilvl w:val="0"/>
          <w:numId w:val="1"/>
        </w:numPr>
      </w:pPr>
      <w:r>
        <w:br/>
        <w:t xml:space="preserve">Here </w:t>
      </w:r>
      <w:r>
        <w:rPr>
          <w:b/>
          <w:bCs/>
        </w:rPr>
        <w:t>Total Debt</w:t>
      </w:r>
      <w:r>
        <w:t xml:space="preserve"> includes all interest-bearing debt (short- and long-term). For example, CFI states “Debt to Equity Ratio = Total Debt / Shareholders’ Equity”</w:t>
      </w:r>
      <w:hyperlink r:id="rId13" w:anchor=":~:text=Short%20formula%3A">
        <w:r>
          <w:rPr>
            <w:rStyle w:val="Hyperlink"/>
          </w:rPr>
          <w:t>[8]</w:t>
        </w:r>
      </w:hyperlink>
      <w:r>
        <w:t>. This ratio indicates how much of the firm’s financing is via debt versus equity</w:t>
      </w:r>
      <w:hyperlink r:id="rId14" w:anchor=":~:text=Short%20formula%3A">
        <w:r>
          <w:rPr>
            <w:rStyle w:val="Hyperlink"/>
          </w:rPr>
          <w:t>[8]</w:t>
        </w:r>
      </w:hyperlink>
      <w:r>
        <w:t>.</w:t>
      </w:r>
    </w:p>
    <w:p w14:paraId="34DD6D7E" w14:textId="77777777" w:rsidR="00155E40" w:rsidRDefault="00000000">
      <w:pPr>
        <w:numPr>
          <w:ilvl w:val="0"/>
          <w:numId w:val="2"/>
        </w:numPr>
      </w:pPr>
      <w:r>
        <w:rPr>
          <w:b/>
          <w:bCs/>
        </w:rPr>
        <w:t>Total Assets</w:t>
      </w:r>
      <w:r>
        <w:t xml:space="preserve"> – The book value of all firm assets. According to standard accounting, </w:t>
      </w:r>
      <w:r>
        <w:rPr>
          <w:i/>
          <w:iCs/>
        </w:rPr>
        <w:t>Total Assets</w:t>
      </w:r>
      <w:r>
        <w:t xml:space="preserve"> equals the sum of current and non-current assets on the balance sheet</w:t>
      </w:r>
      <w:hyperlink r:id="rId15" w:anchor=":~:text=The%20formula%20is%20Assets%20%3D,sum%20of%20net%20income%2C%20retained">
        <w:r>
          <w:rPr>
            <w:rStyle w:val="Hyperlink"/>
          </w:rPr>
          <w:t>[9]</w:t>
        </w:r>
      </w:hyperlink>
      <w:r>
        <w:t xml:space="preserve">. The identity on a balance sheet is </w:t>
      </w:r>
      <w:r>
        <w:rPr>
          <w:b/>
          <w:bCs/>
        </w:rPr>
        <w:t>Assets = Liabilities + Shareholders’ Equity</w:t>
      </w:r>
      <w:r>
        <w:t>, so total assets represent everything the firm owns. We take Total Assets (at period end) directly from financial statements</w:t>
      </w:r>
      <w:hyperlink r:id="rId16" w:anchor=":~:text=The%20formula%20is%20Assets%20%3D,sum%20of%20net%20income%2C%20retained">
        <w:r>
          <w:rPr>
            <w:rStyle w:val="Hyperlink"/>
          </w:rPr>
          <w:t>[9]</w:t>
        </w:r>
      </w:hyperlink>
      <w:r>
        <w:t>.</w:t>
      </w:r>
    </w:p>
    <w:p w14:paraId="2DBE42A2" w14:textId="77777777" w:rsidR="00155E40" w:rsidRDefault="00000000">
      <w:pPr>
        <w:numPr>
          <w:ilvl w:val="0"/>
          <w:numId w:val="2"/>
        </w:numPr>
      </w:pPr>
      <w:r>
        <w:rPr>
          <w:b/>
          <w:bCs/>
        </w:rPr>
        <w:t>Current Ratio</w:t>
      </w:r>
      <w:r>
        <w:t xml:space="preserve"> – A liquidity ratio. Defined as current assets divided by current liabilities. In formula:</w:t>
      </w:r>
      <w:r>
        <w:br/>
      </w:r>
    </w:p>
    <w:p w14:paraId="770EFBBE" w14:textId="77777777" w:rsidR="00155E40" w:rsidRDefault="00000000">
      <w:pPr>
        <w:pStyle w:val="Compact"/>
        <w:numPr>
          <w:ilvl w:val="0"/>
          <w:numId w:val="1"/>
        </w:numPr>
      </w:pPr>
      <m:oMath>
        <m:r>
          <m:rPr>
            <m:nor/>
          </m:rPr>
          <m:t>Current Ratio</m:t>
        </m:r>
        <m:r>
          <m:rPr>
            <m:sty m:val="p"/>
          </m:rPr>
          <w:rPr>
            <w:rFonts w:ascii="Cambria Math" w:hAnsi="Cambria Math"/>
          </w:rPr>
          <m:t>=</m:t>
        </m:r>
        <m:f>
          <m:fPr>
            <m:ctrlPr>
              <w:rPr>
                <w:rFonts w:ascii="Cambria Math" w:hAnsi="Cambria Math"/>
              </w:rPr>
            </m:ctrlPr>
          </m:fPr>
          <m:num>
            <m:r>
              <m:rPr>
                <m:nor/>
              </m:rPr>
              <m:t>Current Assets</m:t>
            </m:r>
          </m:num>
          <m:den>
            <m:r>
              <m:rPr>
                <m:nor/>
              </m:rPr>
              <m:t>Current Liabilities</m:t>
            </m:r>
          </m:den>
        </m:f>
        <m:r>
          <w:rPr>
            <w:rFonts w:ascii="Cambria Math" w:hAnsi="Cambria Math"/>
          </w:rPr>
          <m:t> </m:t>
        </m:r>
        <m:r>
          <m:rPr>
            <m:sty m:val="p"/>
          </m:rPr>
          <w:rPr>
            <w:rFonts w:ascii="Cambria Math" w:hAnsi="Cambria Math"/>
          </w:rPr>
          <m:t>.</m:t>
        </m:r>
      </m:oMath>
    </w:p>
    <w:p w14:paraId="14DC9F63" w14:textId="77777777" w:rsidR="00155E40" w:rsidRDefault="00000000">
      <w:pPr>
        <w:numPr>
          <w:ilvl w:val="0"/>
          <w:numId w:val="1"/>
        </w:numPr>
      </w:pPr>
      <w:r>
        <w:br/>
        <w:t>It measures the firm’s ability to meet short-term obligations. Corporate Finance sources note that the current ratio “compares current assets to current liabilities to determine how well a company can meet all financial obligations due within a year,” and explicitly give the formula as Current Assets / Current Liabilities</w:t>
      </w:r>
      <w:hyperlink r:id="rId17" w:anchor=":~:text=The%20Current%20Ratio%20formula%20is%3A">
        <w:r>
          <w:rPr>
            <w:rStyle w:val="Hyperlink"/>
          </w:rPr>
          <w:t>[10]</w:t>
        </w:r>
      </w:hyperlink>
      <w:hyperlink r:id="rId18" w:anchor=":~:text=,Accounts%20payables%20%3D%20%2415%20million">
        <w:r>
          <w:rPr>
            <w:rStyle w:val="Hyperlink"/>
          </w:rPr>
          <w:t>[11]</w:t>
        </w:r>
      </w:hyperlink>
      <w:r>
        <w:t>.</w:t>
      </w:r>
    </w:p>
    <w:p w14:paraId="6EDB5A13" w14:textId="77777777" w:rsidR="00155E40" w:rsidRDefault="00000000">
      <w:pPr>
        <w:pStyle w:val="FirstParagraph"/>
      </w:pPr>
      <w:r>
        <w:t>These definitions align with standard texts and peer-reviewed studies</w:t>
      </w:r>
      <w:hyperlink r:id="rId19" w:anchor=":~:text=What%20Is%20Return%20on%20Assets%3F">
        <w:r>
          <w:rPr>
            <w:rStyle w:val="Hyperlink"/>
          </w:rPr>
          <w:t>[3]</w:t>
        </w:r>
      </w:hyperlink>
      <w:hyperlink r:id="rId20" w:anchor=":~:text=Short%20formula%3A">
        <w:r>
          <w:rPr>
            <w:rStyle w:val="Hyperlink"/>
          </w:rPr>
          <w:t>[8]</w:t>
        </w:r>
      </w:hyperlink>
      <w:hyperlink r:id="rId21" w:anchor=":~:text=The%20formula%20is%20Assets%20%3D,sum%20of%20net%20income%2C%20retained">
        <w:r>
          <w:rPr>
            <w:rStyle w:val="Hyperlink"/>
          </w:rPr>
          <w:t>[9]</w:t>
        </w:r>
      </w:hyperlink>
      <w:hyperlink r:id="rId22" w:anchor=":~:text=positive%20and%20sometimes%20negative,22">
        <w:r>
          <w:rPr>
            <w:rStyle w:val="Hyperlink"/>
          </w:rPr>
          <w:t>[6]</w:t>
        </w:r>
      </w:hyperlink>
      <w:r>
        <w:t>.</w:t>
      </w:r>
    </w:p>
    <w:tbl>
      <w:tblPr>
        <w:tblStyle w:val="Table"/>
        <w:tblW w:w="0" w:type="auto"/>
        <w:tblLook w:val="0020" w:firstRow="1" w:lastRow="0" w:firstColumn="0" w:lastColumn="0" w:noHBand="0" w:noVBand="0"/>
      </w:tblPr>
      <w:tblGrid>
        <w:gridCol w:w="1500"/>
        <w:gridCol w:w="4489"/>
        <w:gridCol w:w="3587"/>
      </w:tblGrid>
      <w:tr w:rsidR="00155E40" w14:paraId="721B2B0D" w14:textId="77777777" w:rsidTr="00155E40">
        <w:trPr>
          <w:cnfStyle w:val="100000000000" w:firstRow="1" w:lastRow="0" w:firstColumn="0" w:lastColumn="0" w:oddVBand="0" w:evenVBand="0" w:oddHBand="0" w:evenHBand="0" w:firstRowFirstColumn="0" w:firstRowLastColumn="0" w:lastRowFirstColumn="0" w:lastRowLastColumn="0"/>
          <w:tblHeader/>
        </w:trPr>
        <w:tc>
          <w:tcPr>
            <w:tcW w:w="0" w:type="auto"/>
          </w:tcPr>
          <w:p w14:paraId="701B852F" w14:textId="77777777" w:rsidR="00155E40" w:rsidRDefault="00000000">
            <w:pPr>
              <w:pStyle w:val="Compact"/>
            </w:pPr>
            <w:r>
              <w:rPr>
                <w:b/>
                <w:bCs/>
              </w:rPr>
              <w:t>Variable</w:t>
            </w:r>
          </w:p>
        </w:tc>
        <w:tc>
          <w:tcPr>
            <w:tcW w:w="0" w:type="auto"/>
          </w:tcPr>
          <w:p w14:paraId="6AD146B2" w14:textId="77777777" w:rsidR="00155E40" w:rsidRDefault="00000000">
            <w:pPr>
              <w:pStyle w:val="Compact"/>
            </w:pPr>
            <w:r>
              <w:rPr>
                <w:b/>
                <w:bCs/>
              </w:rPr>
              <w:t>Definition and Measurement</w:t>
            </w:r>
          </w:p>
        </w:tc>
        <w:tc>
          <w:tcPr>
            <w:tcW w:w="0" w:type="auto"/>
          </w:tcPr>
          <w:p w14:paraId="799206C8" w14:textId="77777777" w:rsidR="00155E40" w:rsidRDefault="00000000">
            <w:pPr>
              <w:pStyle w:val="Compact"/>
            </w:pPr>
            <w:r>
              <w:rPr>
                <w:b/>
                <w:bCs/>
              </w:rPr>
              <w:t>Source/Notes</w:t>
            </w:r>
          </w:p>
        </w:tc>
      </w:tr>
      <w:tr w:rsidR="00155E40" w14:paraId="03636312" w14:textId="77777777">
        <w:tc>
          <w:tcPr>
            <w:tcW w:w="0" w:type="auto"/>
          </w:tcPr>
          <w:p w14:paraId="174F906E" w14:textId="77777777" w:rsidR="00155E40" w:rsidRDefault="00000000">
            <w:pPr>
              <w:pStyle w:val="Compact"/>
            </w:pPr>
            <w:r>
              <w:t>Exchange Rate Volatility</w:t>
            </w:r>
          </w:p>
        </w:tc>
        <w:tc>
          <w:tcPr>
            <w:tcW w:w="0" w:type="auto"/>
          </w:tcPr>
          <w:p w14:paraId="6264856E" w14:textId="77777777" w:rsidR="00155E40" w:rsidRDefault="00000000">
            <w:pPr>
              <w:pStyle w:val="Compact"/>
            </w:pPr>
            <w:r>
              <w:t xml:space="preserve">Standard deviation of log(IDR/USD) changes. E.g., compute log returns </w:t>
            </w:r>
            <m:oMath>
              <m:r>
                <w:rPr>
                  <w:rFonts w:ascii="Cambria Math" w:hAnsi="Cambria Math"/>
                </w:rPr>
                <m:t>Δ</m:t>
              </m:r>
              <m:r>
                <m:rPr>
                  <m:sty m:val="p"/>
                </m:rPr>
                <w:rPr>
                  <w:rFonts w:ascii="Cambria Math" w:hAnsi="Cambria Math"/>
                </w:rPr>
                <m:t>ln</m:t>
              </m:r>
              <m:d>
                <m:dPr>
                  <m:ctrlPr>
                    <w:rPr>
                      <w:rFonts w:ascii="Cambria Math" w:hAnsi="Cambria Math"/>
                    </w:rPr>
                  </m:ctrlPr>
                </m:dPr>
                <m:e>
                  <m:r>
                    <m:rPr>
                      <m:nor/>
                    </m:rPr>
                    <m:t>IDR/USD</m:t>
                  </m:r>
                </m:e>
              </m:d>
            </m:oMath>
            <w:r>
              <w:t xml:space="preserve"> and take std.\ over a rolling window (e.g. 12 months).</w:t>
            </w:r>
          </w:p>
        </w:tc>
        <w:tc>
          <w:tcPr>
            <w:tcW w:w="0" w:type="auto"/>
          </w:tcPr>
          <w:p w14:paraId="455FB303" w14:textId="77777777" w:rsidR="00155E40" w:rsidRDefault="00000000">
            <w:pPr>
              <w:pStyle w:val="Compact"/>
            </w:pPr>
            <w:r>
              <w:t>Common approach.</w:t>
            </w:r>
          </w:p>
        </w:tc>
      </w:tr>
      <w:tr w:rsidR="00155E40" w14:paraId="5ADA868A" w14:textId="77777777">
        <w:tc>
          <w:tcPr>
            <w:tcW w:w="0" w:type="auto"/>
          </w:tcPr>
          <w:p w14:paraId="16DC4903" w14:textId="77777777" w:rsidR="00155E40" w:rsidRDefault="00000000">
            <w:pPr>
              <w:pStyle w:val="Compact"/>
            </w:pPr>
            <w:r>
              <w:t xml:space="preserve">Hedging </w:t>
            </w:r>
            <w:r>
              <w:lastRenderedPageBreak/>
              <w:t>Intensity</w:t>
            </w:r>
          </w:p>
        </w:tc>
        <w:tc>
          <w:tcPr>
            <w:tcW w:w="0" w:type="auto"/>
          </w:tcPr>
          <w:p w14:paraId="1BE9B6A8" w14:textId="77777777" w:rsidR="00155E40" w:rsidRDefault="00000000">
            <w:pPr>
              <w:pStyle w:val="Compact"/>
            </w:pPr>
            <w:r>
              <w:lastRenderedPageBreak/>
              <w:t xml:space="preserve">Extent of currency hedging. (a) </w:t>
            </w:r>
            <w:r>
              <w:rPr>
                <w:i/>
                <w:iCs/>
              </w:rPr>
              <w:t>Hedge ratio</w:t>
            </w:r>
            <w:r>
              <w:t xml:space="preserve"> </w:t>
            </w:r>
            <w:r>
              <w:lastRenderedPageBreak/>
              <w:t>= (notional hedged / exposure). (b) Count of hedge instruments. In our case, binary = 1 if any hedging used.</w:t>
            </w:r>
          </w:p>
        </w:tc>
        <w:tc>
          <w:tcPr>
            <w:tcW w:w="0" w:type="auto"/>
          </w:tcPr>
          <w:p w14:paraId="70111834" w14:textId="77777777" w:rsidR="00155E40" w:rsidRDefault="00000000">
            <w:pPr>
              <w:pStyle w:val="Compact"/>
            </w:pPr>
            <w:r>
              <w:lastRenderedPageBreak/>
              <w:t xml:space="preserve">Bartram et al. define hedging </w:t>
            </w:r>
            <w:r>
              <w:lastRenderedPageBreak/>
              <w:t>intensity as count of derivative types used</w:t>
            </w:r>
            <w:hyperlink r:id="rId23" w:anchor=":~:text=called%20Hedging%20Intensity%20equal%20to,over%20measures%20using%20notional%20values">
              <w:r>
                <w:rPr>
                  <w:rStyle w:val="Hyperlink"/>
                </w:rPr>
                <w:t>[1]</w:t>
              </w:r>
            </w:hyperlink>
            <w:r>
              <w:t>.</w:t>
            </w:r>
          </w:p>
        </w:tc>
      </w:tr>
      <w:tr w:rsidR="00155E40" w14:paraId="1AAB0079" w14:textId="77777777">
        <w:tc>
          <w:tcPr>
            <w:tcW w:w="0" w:type="auto"/>
          </w:tcPr>
          <w:p w14:paraId="0C683B85" w14:textId="77777777" w:rsidR="00155E40" w:rsidRDefault="00000000">
            <w:pPr>
              <w:pStyle w:val="Compact"/>
            </w:pPr>
            <w:r>
              <w:lastRenderedPageBreak/>
              <w:t>Return on Assets (ROA)</w:t>
            </w:r>
          </w:p>
        </w:tc>
        <w:tc>
          <w:tcPr>
            <w:tcW w:w="0" w:type="auto"/>
          </w:tcPr>
          <w:p w14:paraId="15C01990" w14:textId="77777777" w:rsidR="00155E40" w:rsidRDefault="00000000">
            <w:pPr>
              <w:pStyle w:val="Compact"/>
            </w:pPr>
            <w:r>
              <w:t>Net income ÷ Total Assets (×100%). Measures profit per dollar of assets.</w:t>
            </w:r>
          </w:p>
        </w:tc>
        <w:tc>
          <w:tcPr>
            <w:tcW w:w="0" w:type="auto"/>
          </w:tcPr>
          <w:p w14:paraId="05A15E4A" w14:textId="77777777" w:rsidR="00155E40" w:rsidRDefault="00000000">
            <w:pPr>
              <w:pStyle w:val="Compact"/>
            </w:pPr>
            <w:r>
              <w:t>“ROA is … profit from total assets, calculated by dividing net income by total assets”</w:t>
            </w:r>
            <w:hyperlink r:id="rId24" w:anchor=":~:text=What%20Is%20Return%20on%20Assets%3F">
              <w:r>
                <w:rPr>
                  <w:rStyle w:val="Hyperlink"/>
                </w:rPr>
                <w:t>[3]</w:t>
              </w:r>
            </w:hyperlink>
            <w:r>
              <w:t>.</w:t>
            </w:r>
          </w:p>
        </w:tc>
      </w:tr>
      <w:tr w:rsidR="00155E40" w14:paraId="172C6E25" w14:textId="77777777">
        <w:tc>
          <w:tcPr>
            <w:tcW w:w="0" w:type="auto"/>
          </w:tcPr>
          <w:p w14:paraId="2D3DCF4A" w14:textId="77777777" w:rsidR="00155E40" w:rsidRDefault="00000000">
            <w:pPr>
              <w:pStyle w:val="Compact"/>
            </w:pPr>
            <w:r>
              <w:t>Net Income</w:t>
            </w:r>
          </w:p>
        </w:tc>
        <w:tc>
          <w:tcPr>
            <w:tcW w:w="0" w:type="auto"/>
          </w:tcPr>
          <w:p w14:paraId="37461F9A" w14:textId="77777777" w:rsidR="00155E40" w:rsidRDefault="00000000">
            <w:pPr>
              <w:pStyle w:val="Compact"/>
            </w:pPr>
            <w:r>
              <w:t>Revenues minus all expenses (COGS, OpEx, interest, taxes, etc.). The company’s bottom-line profit.</w:t>
            </w:r>
          </w:p>
        </w:tc>
        <w:tc>
          <w:tcPr>
            <w:tcW w:w="0" w:type="auto"/>
          </w:tcPr>
          <w:p w14:paraId="183728FF" w14:textId="77777777" w:rsidR="00155E40" w:rsidRDefault="00000000">
            <w:pPr>
              <w:pStyle w:val="Compact"/>
            </w:pPr>
            <w:r>
              <w:t>Defined as profit after expenses: “what remains… after deducting all operating costs, taxes, interest…”</w:t>
            </w:r>
            <w:hyperlink r:id="rId25" w:anchor=":~:text=Net%20income%20,making%20it%20a%20key%20performance">
              <w:r>
                <w:rPr>
                  <w:rStyle w:val="Hyperlink"/>
                </w:rPr>
                <w:t>[5]</w:t>
              </w:r>
            </w:hyperlink>
            <w:r>
              <w:t>.</w:t>
            </w:r>
          </w:p>
        </w:tc>
      </w:tr>
      <w:tr w:rsidR="00155E40" w14:paraId="185A8CD2" w14:textId="77777777">
        <w:tc>
          <w:tcPr>
            <w:tcW w:w="0" w:type="auto"/>
          </w:tcPr>
          <w:p w14:paraId="1E8A3B10" w14:textId="77777777" w:rsidR="00155E40" w:rsidRDefault="00000000">
            <w:pPr>
              <w:pStyle w:val="Compact"/>
            </w:pPr>
            <w:r>
              <w:t>Cash Flow Volatility</w:t>
            </w:r>
          </w:p>
        </w:tc>
        <w:tc>
          <w:tcPr>
            <w:tcW w:w="0" w:type="auto"/>
          </w:tcPr>
          <w:p w14:paraId="3808A270" w14:textId="77777777" w:rsidR="00155E40" w:rsidRDefault="00000000">
            <w:pPr>
              <w:pStyle w:val="Compact"/>
            </w:pPr>
            <w:r>
              <w:t>Standard deviation of (operating) cash flows over time. E.g., SD of quarterly cash flow (or cash-flow/asset) over a prior window.</w:t>
            </w:r>
          </w:p>
        </w:tc>
        <w:tc>
          <w:tcPr>
            <w:tcW w:w="0" w:type="auto"/>
          </w:tcPr>
          <w:p w14:paraId="3E4C836C" w14:textId="77777777" w:rsidR="00155E40" w:rsidRDefault="00000000">
            <w:pPr>
              <w:pStyle w:val="Compact"/>
            </w:pPr>
            <w:r>
              <w:t>“Standard deviation of… net cash flows… is a measure of each insurer’s quarterly cash flow volatility”</w:t>
            </w:r>
            <w:hyperlink r:id="rId26" w:anchor=":~:text=positive%20and%20sometimes%20negative,22">
              <w:r>
                <w:rPr>
                  <w:rStyle w:val="Hyperlink"/>
                </w:rPr>
                <w:t>[6]</w:t>
              </w:r>
            </w:hyperlink>
            <w:r>
              <w:t>.</w:t>
            </w:r>
          </w:p>
        </w:tc>
      </w:tr>
      <w:tr w:rsidR="00155E40" w14:paraId="25206D74" w14:textId="77777777">
        <w:tc>
          <w:tcPr>
            <w:tcW w:w="0" w:type="auto"/>
          </w:tcPr>
          <w:p w14:paraId="64D90BCF" w14:textId="77777777" w:rsidR="00155E40" w:rsidRDefault="00000000">
            <w:pPr>
              <w:pStyle w:val="Compact"/>
            </w:pPr>
            <w:r>
              <w:t>Debt-to-Equity Ratio (DER)</w:t>
            </w:r>
          </w:p>
        </w:tc>
        <w:tc>
          <w:tcPr>
            <w:tcW w:w="0" w:type="auto"/>
          </w:tcPr>
          <w:p w14:paraId="75A6F4E3" w14:textId="77777777" w:rsidR="00155E40" w:rsidRDefault="00000000">
            <w:pPr>
              <w:pStyle w:val="Compact"/>
            </w:pPr>
            <w:r>
              <w:t>Total Debt / Shareholders’ Equity. (Leverage ratio).</w:t>
            </w:r>
          </w:p>
        </w:tc>
        <w:tc>
          <w:tcPr>
            <w:tcW w:w="0" w:type="auto"/>
          </w:tcPr>
          <w:p w14:paraId="210DAFDD" w14:textId="77777777" w:rsidR="00155E40" w:rsidRDefault="00000000">
            <w:pPr>
              <w:pStyle w:val="Compact"/>
            </w:pPr>
            <w:r>
              <w:t>“Debt to Equity Ratio = Total Debt / Shareholders’ Equity”</w:t>
            </w:r>
            <w:hyperlink r:id="rId27" w:anchor=":~:text=Short%20formula%3A">
              <w:r>
                <w:rPr>
                  <w:rStyle w:val="Hyperlink"/>
                </w:rPr>
                <w:t>[8]</w:t>
              </w:r>
            </w:hyperlink>
            <w:r>
              <w:t>.</w:t>
            </w:r>
          </w:p>
        </w:tc>
      </w:tr>
      <w:tr w:rsidR="00155E40" w14:paraId="3B129DB3" w14:textId="77777777">
        <w:tc>
          <w:tcPr>
            <w:tcW w:w="0" w:type="auto"/>
          </w:tcPr>
          <w:p w14:paraId="6813CF82" w14:textId="77777777" w:rsidR="00155E40" w:rsidRDefault="00000000">
            <w:pPr>
              <w:pStyle w:val="Compact"/>
            </w:pPr>
            <w:r>
              <w:t>Total Assets</w:t>
            </w:r>
          </w:p>
        </w:tc>
        <w:tc>
          <w:tcPr>
            <w:tcW w:w="0" w:type="auto"/>
          </w:tcPr>
          <w:p w14:paraId="5B0C9C4B" w14:textId="77777777" w:rsidR="00155E40" w:rsidRDefault="00000000">
            <w:pPr>
              <w:pStyle w:val="Compact"/>
            </w:pPr>
            <w:r>
              <w:t>Sum of all short-term and long-term assets on the balance sheet.</w:t>
            </w:r>
          </w:p>
        </w:tc>
        <w:tc>
          <w:tcPr>
            <w:tcW w:w="0" w:type="auto"/>
          </w:tcPr>
          <w:p w14:paraId="0DD4E2EF" w14:textId="77777777" w:rsidR="00155E40" w:rsidRDefault="00000000">
            <w:pPr>
              <w:pStyle w:val="Compact"/>
            </w:pPr>
            <w:r>
              <w:t>“Total assets are calculated as the sum of all short-term, long-term, and other assets”</w:t>
            </w:r>
            <w:hyperlink r:id="rId28" w:anchor=":~:text=The%20formula%20is%20Assets%20%3D,sum%20of%20net%20income%2C%20retained">
              <w:r>
                <w:rPr>
                  <w:rStyle w:val="Hyperlink"/>
                </w:rPr>
                <w:t>[9]</w:t>
              </w:r>
            </w:hyperlink>
            <w:r>
              <w:t>.</w:t>
            </w:r>
          </w:p>
        </w:tc>
      </w:tr>
      <w:tr w:rsidR="00155E40" w14:paraId="4B51CB9C" w14:textId="77777777">
        <w:tc>
          <w:tcPr>
            <w:tcW w:w="0" w:type="auto"/>
          </w:tcPr>
          <w:p w14:paraId="5438C2AE" w14:textId="77777777" w:rsidR="00155E40" w:rsidRDefault="00000000">
            <w:pPr>
              <w:pStyle w:val="Compact"/>
            </w:pPr>
            <w:r>
              <w:t>Current Ratio</w:t>
            </w:r>
          </w:p>
        </w:tc>
        <w:tc>
          <w:tcPr>
            <w:tcW w:w="0" w:type="auto"/>
          </w:tcPr>
          <w:p w14:paraId="20916135" w14:textId="77777777" w:rsidR="00155E40" w:rsidRDefault="00000000">
            <w:pPr>
              <w:pStyle w:val="Compact"/>
            </w:pPr>
            <w:r>
              <w:t>Current Assets / Current Liabilities. (Liquidity ratio).</w:t>
            </w:r>
          </w:p>
        </w:tc>
        <w:tc>
          <w:tcPr>
            <w:tcW w:w="0" w:type="auto"/>
          </w:tcPr>
          <w:p w14:paraId="044AF97C" w14:textId="77777777" w:rsidR="00155E40" w:rsidRDefault="00000000">
            <w:pPr>
              <w:pStyle w:val="Compact"/>
            </w:pPr>
            <w:r>
              <w:t>“The Current Ratio formula is: Current Assets / Current Liabilities”</w:t>
            </w:r>
            <w:hyperlink r:id="rId29" w:anchor=":~:text=The%20Current%20Ratio%20formula%20is%3A">
              <w:r>
                <w:rPr>
                  <w:rStyle w:val="Hyperlink"/>
                </w:rPr>
                <w:t>[10]</w:t>
              </w:r>
            </w:hyperlink>
            <w:r>
              <w:t>.</w:t>
            </w:r>
          </w:p>
        </w:tc>
      </w:tr>
    </w:tbl>
    <w:p w14:paraId="1BFCF70A" w14:textId="77777777" w:rsidR="00155E40" w:rsidRDefault="00000000">
      <w:pPr>
        <w:pStyle w:val="Heading2"/>
      </w:pPr>
      <w:bookmarkStart w:id="3" w:name="X85d47874bb5a97ada7c4f5c79926b56cf082ed9"/>
      <w:r>
        <w:t>Calculating Quarterly Cash-Flow Volatility</w:t>
      </w:r>
    </w:p>
    <w:p w14:paraId="529E0C87" w14:textId="77777777" w:rsidR="00155E40" w:rsidRDefault="00000000">
      <w:pPr>
        <w:pStyle w:val="FirstParagraph"/>
      </w:pPr>
      <w:r>
        <w:t xml:space="preserve">To compute </w:t>
      </w:r>
      <w:r>
        <w:rPr>
          <w:b/>
          <w:bCs/>
        </w:rPr>
        <w:t>Cash Flow Volatility (CFV)</w:t>
      </w:r>
      <w:r>
        <w:t xml:space="preserve"> on a quarterly basis, we recommend a rolling-window standard deviation of operating cash flow (or related measure) following common practice:</w:t>
      </w:r>
    </w:p>
    <w:p w14:paraId="14538557" w14:textId="77777777" w:rsidR="00155E40" w:rsidRDefault="00000000">
      <w:pPr>
        <w:numPr>
          <w:ilvl w:val="0"/>
          <w:numId w:val="3"/>
        </w:numPr>
      </w:pPr>
      <w:r>
        <w:rPr>
          <w:b/>
          <w:bCs/>
        </w:rPr>
        <w:t>Rolling Standard Deviation</w:t>
      </w:r>
      <w:r>
        <w:t xml:space="preserve">: For each quarter </w:t>
      </w:r>
      <m:oMath>
        <m:r>
          <w:rPr>
            <w:rFonts w:ascii="Cambria Math" w:hAnsi="Cambria Math"/>
          </w:rPr>
          <m:t>t</m:t>
        </m:r>
      </m:oMath>
      <w:r>
        <w:t xml:space="preserve"> , calculate CFV</w:t>
      </w:r>
      <m:oMath>
        <m:sSub>
          <m:sSubPr>
            <m:ctrlPr>
              <w:rPr>
                <w:rFonts w:ascii="Cambria Math" w:hAnsi="Cambria Math"/>
              </w:rPr>
            </m:ctrlPr>
          </m:sSubPr>
          <m:e>
            <m:r>
              <w:rPr>
                <w:rFonts w:ascii="Cambria Math" w:hAnsi="Cambria Math"/>
              </w:rPr>
              <m:t>​</m:t>
            </m:r>
          </m:e>
          <m:sub>
            <m:r>
              <w:rPr>
                <w:rFonts w:ascii="Cambria Math" w:hAnsi="Cambria Math"/>
              </w:rPr>
              <m:t>t</m:t>
            </m:r>
          </m:sub>
        </m:sSub>
      </m:oMath>
      <w:r>
        <w:t xml:space="preserve"> as the standard deviation of quarterly operating cash flow (OCF) over the prior </w:t>
      </w:r>
      <m:oMath>
        <m:r>
          <w:rPr>
            <w:rFonts w:ascii="Cambria Math" w:hAnsi="Cambria Math"/>
          </w:rPr>
          <m:t>N</m:t>
        </m:r>
      </m:oMath>
      <w:r>
        <w:t xml:space="preserve"> quarters. For example, use </w:t>
      </w:r>
      <m:oMath>
        <m:r>
          <w:rPr>
            <w:rFonts w:ascii="Cambria Math" w:hAnsi="Cambria Math"/>
          </w:rPr>
          <m:t>N</m:t>
        </m:r>
        <m:r>
          <m:rPr>
            <m:sty m:val="p"/>
          </m:rPr>
          <w:rPr>
            <w:rFonts w:ascii="Cambria Math" w:hAnsi="Cambria Math"/>
          </w:rPr>
          <m:t>=</m:t>
        </m:r>
        <m:r>
          <w:rPr>
            <w:rFonts w:ascii="Cambria Math" w:hAnsi="Cambria Math"/>
          </w:rPr>
          <m:t>12</m:t>
        </m:r>
      </m:oMath>
      <w:r>
        <w:t xml:space="preserve"> (three years) or </w:t>
      </w:r>
      <m:oMath>
        <m:r>
          <w:rPr>
            <w:rFonts w:ascii="Cambria Math" w:hAnsi="Cambria Math"/>
          </w:rPr>
          <m:t>N</m:t>
        </m:r>
        <m:r>
          <m:rPr>
            <m:sty m:val="p"/>
          </m:rPr>
          <w:rPr>
            <w:rFonts w:ascii="Cambria Math" w:hAnsi="Cambria Math"/>
          </w:rPr>
          <m:t>=</m:t>
        </m:r>
        <m:r>
          <w:rPr>
            <w:rFonts w:ascii="Cambria Math" w:hAnsi="Cambria Math"/>
          </w:rPr>
          <m:t>4</m:t>
        </m:r>
      </m:oMath>
      <w:r>
        <w:t xml:space="preserve"> (one year). This captures how variable the firm’s cash flow has been recently. In formula, one could take:</w:t>
      </w:r>
      <w:r>
        <w:br/>
      </w:r>
    </w:p>
    <w:p w14:paraId="632F1C77" w14:textId="77777777" w:rsidR="00155E40" w:rsidRDefault="00000000">
      <w:pPr>
        <w:pStyle w:val="Compact"/>
        <w:numPr>
          <w:ilvl w:val="0"/>
          <w:numId w:val="1"/>
        </w:numPr>
      </w:pPr>
      <m:oMath>
        <m:sSub>
          <m:sSubPr>
            <m:ctrlPr>
              <w:rPr>
                <w:rFonts w:ascii="Cambria Math" w:hAnsi="Cambria Math"/>
              </w:rPr>
            </m:ctrlPr>
          </m:sSubPr>
          <m:e>
            <m:r>
              <m:rPr>
                <m:nor/>
              </m:rPr>
              <m:t>CFV</m:t>
            </m:r>
          </m:e>
          <m:sub>
            <m:r>
              <w:rPr>
                <w:rFonts w:ascii="Cambria Math" w:hAnsi="Cambria Math"/>
              </w:rPr>
              <m:t>t</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t</m:t>
                </m:r>
              </m:sup>
              <m:e>
                <m:sSup>
                  <m:sSupPr>
                    <m:ctrlPr>
                      <w:rPr>
                        <w:rFonts w:ascii="Cambria Math" w:hAnsi="Cambria Math"/>
                      </w:rPr>
                    </m:ctrlPr>
                  </m:sSupPr>
                  <m:e>
                    <m:d>
                      <m:dPr>
                        <m:ctrlPr>
                          <w:rPr>
                            <w:rFonts w:ascii="Cambria Math" w:hAnsi="Cambria Math"/>
                          </w:rPr>
                        </m:ctrlPr>
                      </m:dPr>
                      <m:e>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j</m:t>
                            </m:r>
                          </m:sub>
                        </m:sSub>
                        <m:r>
                          <m:rPr>
                            <m:sty m:val="p"/>
                          </m:rPr>
                          <w:rPr>
                            <w:rFonts w:ascii="Cambria Math" w:hAnsi="Cambria Math"/>
                          </w:rPr>
                          <m:t>-</m:t>
                        </m:r>
                        <m:bar>
                          <m:barPr>
                            <m:pos m:val="top"/>
                            <m:ctrlPr>
                              <w:rPr>
                                <w:rFonts w:ascii="Cambria Math" w:hAnsi="Cambria Math"/>
                              </w:rPr>
                            </m:ctrlPr>
                          </m:barPr>
                          <m:e>
                            <m:r>
                              <w:rPr>
                                <w:rFonts w:ascii="Cambria Math" w:hAnsi="Cambria Math"/>
                              </w:rPr>
                              <m:t>CF</m:t>
                            </m:r>
                          </m:e>
                        </m:bar>
                      </m:e>
                    </m:d>
                  </m:e>
                  <m:sup>
                    <m:r>
                      <w:rPr>
                        <w:rFonts w:ascii="Cambria Math" w:hAnsi="Cambria Math"/>
                      </w:rPr>
                      <m:t>2</m:t>
                    </m:r>
                  </m:sup>
                </m:sSup>
              </m:e>
            </m:nary>
          </m:e>
        </m:rad>
        <m:r>
          <w:rPr>
            <w:rFonts w:ascii="Cambria Math" w:hAnsi="Cambria Math"/>
          </w:rPr>
          <m:t> </m:t>
        </m:r>
        <m:r>
          <m:rPr>
            <m:sty m:val="p"/>
          </m:rPr>
          <w:rPr>
            <w:rFonts w:ascii="Cambria Math" w:hAnsi="Cambria Math"/>
          </w:rPr>
          <m:t>,</m:t>
        </m:r>
      </m:oMath>
    </w:p>
    <w:p w14:paraId="2163F479" w14:textId="77777777" w:rsidR="00155E40" w:rsidRDefault="00000000">
      <w:pPr>
        <w:numPr>
          <w:ilvl w:val="0"/>
          <w:numId w:val="1"/>
        </w:numPr>
      </w:pPr>
      <w:r>
        <w:br/>
        <w:t xml:space="preserve">where </w:t>
      </w:r>
      <m:oMath>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j</m:t>
            </m:r>
          </m:sub>
        </m:sSub>
      </m:oMath>
      <w:r>
        <w:t xml:space="preserve"> is the cash flow in quarter </w:t>
      </w:r>
      <m:oMath>
        <m:r>
          <w:rPr>
            <w:rFonts w:ascii="Cambria Math" w:hAnsi="Cambria Math"/>
          </w:rPr>
          <m:t>j</m:t>
        </m:r>
      </m:oMath>
      <w:r>
        <w:t xml:space="preserve"> (optionally scaled by assets), and </w:t>
      </w:r>
      <m:oMath>
        <m:bar>
          <m:barPr>
            <m:pos m:val="top"/>
            <m:ctrlPr>
              <w:rPr>
                <w:rFonts w:ascii="Cambria Math" w:hAnsi="Cambria Math"/>
              </w:rPr>
            </m:ctrlPr>
          </m:barPr>
          <m:e>
            <m:r>
              <w:rPr>
                <w:rFonts w:ascii="Cambria Math" w:hAnsi="Cambria Math"/>
              </w:rPr>
              <m:t>CF</m:t>
            </m:r>
          </m:e>
        </m:bar>
      </m:oMath>
      <w:r>
        <w:t xml:space="preserve"> is the mean over those </w:t>
      </w:r>
      <m:oMath>
        <m:r>
          <w:rPr>
            <w:rFonts w:ascii="Cambria Math" w:hAnsi="Cambria Math"/>
          </w:rPr>
          <m:t>N</m:t>
        </m:r>
      </m:oMath>
      <w:r>
        <w:t xml:space="preserve"> quarters. Phillips et al. (2014) similarly compute the standard deviation of profit margins (cash flow relative to assets) over the previous 12 quarters</w:t>
      </w:r>
      <w:hyperlink r:id="rId30" w:anchor=":~:text=Cash%20flow%20volatility%20is%20the,for%20a%20given%20firm%20quarter">
        <w:r>
          <w:rPr>
            <w:rStyle w:val="Hyperlink"/>
          </w:rPr>
          <w:t>[7]</w:t>
        </w:r>
      </w:hyperlink>
      <w:r>
        <w:t>.</w:t>
      </w:r>
    </w:p>
    <w:p w14:paraId="12A6875F" w14:textId="77777777" w:rsidR="00155E40" w:rsidRDefault="00000000">
      <w:pPr>
        <w:numPr>
          <w:ilvl w:val="0"/>
          <w:numId w:val="3"/>
        </w:numPr>
      </w:pPr>
      <w:r>
        <w:rPr>
          <w:b/>
          <w:bCs/>
        </w:rPr>
        <w:lastRenderedPageBreak/>
        <w:t>Change-Based Volatility</w:t>
      </w:r>
      <w:r>
        <w:t>: Alternatively, define CFV as the standard deviation of quarter-to-quarter changes in cash flow. The Fed example uses “the standard deviation of the realized change in net cash flows” as a volatility measure</w:t>
      </w:r>
      <w:hyperlink r:id="rId31" w:anchor=":~:text=positive%20and%20sometimes%20negative,22">
        <w:r>
          <w:rPr>
            <w:rStyle w:val="Hyperlink"/>
          </w:rPr>
          <w:t>[6]</w:t>
        </w:r>
      </w:hyperlink>
      <w:r>
        <w:t xml:space="preserve">. Concretely, one could compute </w:t>
      </w:r>
      <m:oMath>
        <m:r>
          <w:rPr>
            <w:rFonts w:ascii="Cambria Math" w:hAnsi="Cambria Math"/>
          </w:rPr>
          <m:t>ΔC</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1</m:t>
            </m:r>
          </m:sub>
        </m:sSub>
      </m:oMath>
      <w:r>
        <w:t xml:space="preserve"> each quarter and take the standard deviation of </w:t>
      </w:r>
      <m:oMath>
        <m:r>
          <w:rPr>
            <w:rFonts w:ascii="Cambria Math" w:hAnsi="Cambria Math"/>
          </w:rPr>
          <m:t>ΔCF</m:t>
        </m:r>
      </m:oMath>
      <w:r>
        <w:t xml:space="preserve"> over a window. This emphasizes </w:t>
      </w:r>
      <w:r>
        <w:rPr>
          <w:i/>
          <w:iCs/>
        </w:rPr>
        <w:t>unexpected</w:t>
      </w:r>
      <w:r>
        <w:t xml:space="preserve"> cash-flow swings.</w:t>
      </w:r>
    </w:p>
    <w:p w14:paraId="19A410F2" w14:textId="77777777" w:rsidR="00155E40" w:rsidRDefault="00000000">
      <w:pPr>
        <w:numPr>
          <w:ilvl w:val="0"/>
          <w:numId w:val="3"/>
        </w:numPr>
      </w:pPr>
      <w:r>
        <w:rPr>
          <w:b/>
          <w:bCs/>
        </w:rPr>
        <w:t>Scaled Measures</w:t>
      </w:r>
      <w:r>
        <w:t xml:space="preserve">: To account for firm size, researchers often scale cash flow by assets or revenue. For instance, one might use operating cash flow divided by beginning-of-period assets (a cash-flow margin) and compute its standard deviation. Cohen (2017) defines CFV as the standard deviation of operating income (before depreciation) divided by assets over a past period【71†】. In practice, we could calculate a “coefficient of variation”: </w:t>
      </w:r>
      <m:oMath>
        <m:r>
          <m:rPr>
            <m:nor/>
          </m:rPr>
          <m:t>StdDev</m:t>
        </m:r>
        <m:d>
          <m:dPr>
            <m:ctrlPr>
              <w:rPr>
                <w:rFonts w:ascii="Cambria Math" w:hAnsi="Cambria Math"/>
              </w:rPr>
            </m:ctrlPr>
          </m:dPr>
          <m:e>
            <m:r>
              <w:rPr>
                <w:rFonts w:ascii="Cambria Math" w:hAnsi="Cambria Math"/>
              </w:rPr>
              <m:t>CF</m:t>
            </m:r>
          </m:e>
        </m:d>
        <m:r>
          <m:rPr>
            <m:sty m:val="p"/>
          </m:rPr>
          <w:rPr>
            <w:rFonts w:ascii="Cambria Math" w:hAnsi="Cambria Math"/>
          </w:rPr>
          <m:t>/</m:t>
        </m:r>
        <m:bar>
          <m:barPr>
            <m:pos m:val="top"/>
            <m:ctrlPr>
              <w:rPr>
                <w:rFonts w:ascii="Cambria Math" w:hAnsi="Cambria Math"/>
              </w:rPr>
            </m:ctrlPr>
          </m:barPr>
          <m:e>
            <m:r>
              <w:rPr>
                <w:rFonts w:ascii="Cambria Math" w:hAnsi="Cambria Math"/>
              </w:rPr>
              <m:t>CF</m:t>
            </m:r>
          </m:e>
        </m:bar>
      </m:oMath>
      <w:r>
        <w:t xml:space="preserve"> , which is unitless, though raw SD is also common.</w:t>
      </w:r>
    </w:p>
    <w:p w14:paraId="462AC7B1" w14:textId="77777777" w:rsidR="00155E40" w:rsidRDefault="00000000">
      <w:pPr>
        <w:pStyle w:val="FirstParagraph"/>
      </w:pPr>
      <w:r>
        <w:rPr>
          <w:b/>
          <w:bCs/>
        </w:rPr>
        <w:t>Recommendation:</w:t>
      </w:r>
      <w:r>
        <w:t xml:space="preserve"> A practical approach is to take a rolling 4-quarter or 12-quarter window for each quarter of data, compute either (a) the SD of OCF (or OCF/assets) in that window, or (b) the SD of quarter-to-quarter changes. Both methods are used in empirical studies</w:t>
      </w:r>
      <w:hyperlink r:id="rId32" w:anchor=":~:text=positive%20and%20sometimes%20negative,22">
        <w:r>
          <w:rPr>
            <w:rStyle w:val="Hyperlink"/>
          </w:rPr>
          <w:t>[6]</w:t>
        </w:r>
      </w:hyperlink>
      <w:hyperlink r:id="rId33" w:anchor=":~:text=Cash%20flow%20volatility%20is%20the,for%20a%20given%20firm%20quarter">
        <w:r>
          <w:rPr>
            <w:rStyle w:val="Hyperlink"/>
          </w:rPr>
          <w:t>[7]</w:t>
        </w:r>
      </w:hyperlink>
      <w:r>
        <w:t>. Whichever approach is chosen, report explicitly the window length and scaling. This aligns with global practice in research on cash-flow uncertainty and ensures CFV reflects recent variability.</w:t>
      </w:r>
    </w:p>
    <w:p w14:paraId="723B987B" w14:textId="77777777" w:rsidR="00155E40" w:rsidRDefault="00000000">
      <w:pPr>
        <w:pStyle w:val="Heading2"/>
      </w:pPr>
      <w:bookmarkStart w:id="4" w:name="regression-model-specifications"/>
      <w:bookmarkEnd w:id="3"/>
      <w:r>
        <w:t>Regression Model Specifications</w:t>
      </w:r>
    </w:p>
    <w:p w14:paraId="735595F3" w14:textId="77777777" w:rsidR="00155E40" w:rsidRDefault="00000000">
      <w:pPr>
        <w:pStyle w:val="FirstParagraph"/>
      </w:pPr>
      <w:r>
        <w:t>We propose separate regression models for each dependent variable. Given quarterly firm data and an exchange-rate series, a suitable setup is a linear panel/time-series regression with firm (if any) and time effects. In our case (single firm over time), this essentially becomes a time-series regression with possibly an autoregressive component. Below we outline typical model forms:</w:t>
      </w:r>
    </w:p>
    <w:p w14:paraId="35668171" w14:textId="77777777" w:rsidR="00155E40" w:rsidRDefault="00000000">
      <w:pPr>
        <w:numPr>
          <w:ilvl w:val="0"/>
          <w:numId w:val="4"/>
        </w:numPr>
      </w:pPr>
      <w:r>
        <w:rPr>
          <w:b/>
          <w:bCs/>
        </w:rPr>
        <w:t>ROA Model:</w:t>
      </w:r>
      <w:r>
        <w:br/>
      </w:r>
    </w:p>
    <w:p w14:paraId="388090C3" w14:textId="77777777" w:rsidR="00155E40" w:rsidRDefault="00000000">
      <w:pPr>
        <w:pStyle w:val="Compact"/>
        <w:numPr>
          <w:ilvl w:val="0"/>
          <w:numId w:val="1"/>
        </w:numPr>
      </w:pPr>
      <m:oMath>
        <m:sSub>
          <m:sSubPr>
            <m:ctrlPr>
              <w:rPr>
                <w:rFonts w:ascii="Cambria Math" w:hAnsi="Cambria Math"/>
              </w:rPr>
            </m:ctrlPr>
          </m:sSubPr>
          <m:e>
            <m:r>
              <m:rPr>
                <m:nor/>
              </m:rPr>
              <m:t>ROA</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ERVol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HedgeDummy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m:t>
        </m:r>
        <m:sSub>
          <m:sSubPr>
            <m:ctrlPr>
              <w:rPr>
                <w:rFonts w:ascii="Cambria Math" w:hAnsi="Cambria Math"/>
              </w:rPr>
            </m:ctrlPr>
          </m:sSubPr>
          <m:e>
            <m:r>
              <m:rPr>
                <m:nor/>
              </m:rPr>
              <m:t>DER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TotalAssets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 </m:t>
        </m:r>
        <m:sSub>
          <m:sSubPr>
            <m:ctrlPr>
              <w:rPr>
                <w:rFonts w:ascii="Cambria Math" w:hAnsi="Cambria Math"/>
              </w:rPr>
            </m:ctrlPr>
          </m:sSubPr>
          <m:e>
            <m:r>
              <m:rPr>
                <m:nor/>
              </m:rPr>
              <m:t>CurrentRatio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w:p>
    <w:p w14:paraId="373E51F9" w14:textId="77777777" w:rsidR="00155E40" w:rsidRDefault="00000000">
      <w:pPr>
        <w:numPr>
          <w:ilvl w:val="0"/>
          <w:numId w:val="1"/>
        </w:numPr>
      </w:pPr>
      <w:r>
        <w:br/>
        <w:t xml:space="preserve">Here </w:t>
      </w:r>
      <m:oMath>
        <m:sSub>
          <m:sSubPr>
            <m:ctrlPr>
              <w:rPr>
                <w:rFonts w:ascii="Cambria Math" w:hAnsi="Cambria Math"/>
              </w:rPr>
            </m:ctrlPr>
          </m:sSubPr>
          <m:e>
            <m:r>
              <m:rPr>
                <m:nor/>
              </m:rPr>
              <m:t>ERVol</m:t>
            </m:r>
          </m:e>
          <m:sub>
            <m:r>
              <w:rPr>
                <w:rFonts w:ascii="Cambria Math" w:hAnsi="Cambria Math"/>
              </w:rPr>
              <m:t>t</m:t>
            </m:r>
          </m:sub>
        </m:sSub>
      </m:oMath>
      <w:r>
        <w:t xml:space="preserve"> is the exchange rate volatility in quarter </w:t>
      </w:r>
      <m:oMath>
        <m:r>
          <w:rPr>
            <w:rFonts w:ascii="Cambria Math" w:hAnsi="Cambria Math"/>
          </w:rPr>
          <m:t>t</m:t>
        </m:r>
      </m:oMath>
      <w:r>
        <w:t xml:space="preserve"> , </w:t>
      </w:r>
      <m:oMath>
        <m:sSub>
          <m:sSubPr>
            <m:ctrlPr>
              <w:rPr>
                <w:rFonts w:ascii="Cambria Math" w:hAnsi="Cambria Math"/>
              </w:rPr>
            </m:ctrlPr>
          </m:sSubPr>
          <m:e>
            <m:r>
              <m:rPr>
                <m:nor/>
              </m:rPr>
              <m:t>HedgeDummy</m:t>
            </m:r>
          </m:e>
          <m:sub>
            <m:r>
              <w:rPr>
                <w:rFonts w:ascii="Cambria Math" w:hAnsi="Cambria Math"/>
              </w:rPr>
              <m:t>t</m:t>
            </m:r>
          </m:sub>
        </m:sSub>
      </m:oMath>
      <w:r>
        <w:t xml:space="preserve"> is the 0/1 hedging indicator, and the control variables are Debt/Equity, log(Assets), and Current Ratio. One may include lagged ROA (AR(1)) or quarterly fixed effects to capture persistence/seasonality. (In panel data with multiple firms, one would typically add firm and time fixed effects; for one firm, time fixed effects or time trends may be included.)</w:t>
      </w:r>
    </w:p>
    <w:p w14:paraId="6CDB7BB8" w14:textId="77777777" w:rsidR="00155E40" w:rsidRDefault="00000000">
      <w:pPr>
        <w:numPr>
          <w:ilvl w:val="0"/>
          <w:numId w:val="4"/>
        </w:numPr>
      </w:pPr>
      <w:r>
        <w:rPr>
          <w:b/>
          <w:bCs/>
        </w:rPr>
        <w:t>Net Income Model:</w:t>
      </w:r>
      <w:r>
        <w:br/>
      </w:r>
    </w:p>
    <w:p w14:paraId="3B263FE0" w14:textId="77777777" w:rsidR="00155E40" w:rsidRDefault="00000000">
      <w:pPr>
        <w:pStyle w:val="Compact"/>
        <w:numPr>
          <w:ilvl w:val="0"/>
          <w:numId w:val="1"/>
        </w:numPr>
      </w:pPr>
      <m:oMath>
        <m:sSub>
          <m:sSubPr>
            <m:ctrlPr>
              <w:rPr>
                <w:rFonts w:ascii="Cambria Math" w:hAnsi="Cambria Math"/>
              </w:rPr>
            </m:ctrlPr>
          </m:sSubPr>
          <m:e>
            <m:r>
              <m:rPr>
                <m:nor/>
              </m:rPr>
              <m:t>NetIncome</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ERVol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HedgeDummy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m:t>
        </m:r>
        <m:sSub>
          <m:sSubPr>
            <m:ctrlPr>
              <w:rPr>
                <w:rFonts w:ascii="Cambria Math" w:hAnsi="Cambria Math"/>
              </w:rPr>
            </m:ctrlPr>
          </m:sSubPr>
          <m:e>
            <m:r>
              <m:rPr>
                <m:nor/>
              </m:rPr>
              <m:t>DER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TotalAssets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 </m:t>
        </m:r>
        <m:sSub>
          <m:sSubPr>
            <m:ctrlPr>
              <w:rPr>
                <w:rFonts w:ascii="Cambria Math" w:hAnsi="Cambria Math"/>
              </w:rPr>
            </m:ctrlPr>
          </m:sSubPr>
          <m:e>
            <m:r>
              <m:rPr>
                <m:nor/>
              </m:rPr>
              <m:t>CurrentRatio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w:p>
    <w:p w14:paraId="456D3BEE" w14:textId="77777777" w:rsidR="00155E40" w:rsidRDefault="00000000">
      <w:pPr>
        <w:numPr>
          <w:ilvl w:val="0"/>
          <w:numId w:val="1"/>
        </w:numPr>
      </w:pPr>
      <w:r>
        <w:lastRenderedPageBreak/>
        <w:br/>
        <w:t>Similar to the ROA model, except the dependent variable is the level (or log) of net income. Controls and independent variables are the same. One could scale Net Income by assets if heteroscedasticity is a concern.</w:t>
      </w:r>
    </w:p>
    <w:p w14:paraId="0AA10536" w14:textId="77777777" w:rsidR="00155E40" w:rsidRDefault="00000000">
      <w:pPr>
        <w:numPr>
          <w:ilvl w:val="0"/>
          <w:numId w:val="4"/>
        </w:numPr>
      </w:pPr>
      <w:r>
        <w:rPr>
          <w:b/>
          <w:bCs/>
        </w:rPr>
        <w:t>Cash Flow Volatility Model:</w:t>
      </w:r>
      <w:r>
        <w:br/>
      </w:r>
    </w:p>
    <w:p w14:paraId="5E51A3BC" w14:textId="77777777" w:rsidR="00155E40" w:rsidRDefault="00000000">
      <w:pPr>
        <w:pStyle w:val="Compact"/>
        <w:numPr>
          <w:ilvl w:val="0"/>
          <w:numId w:val="1"/>
        </w:numPr>
      </w:pPr>
      <m:oMath>
        <m:sSub>
          <m:sSubPr>
            <m:ctrlPr>
              <w:rPr>
                <w:rFonts w:ascii="Cambria Math" w:hAnsi="Cambria Math"/>
              </w:rPr>
            </m:ctrlPr>
          </m:sSubPr>
          <m:e>
            <m:r>
              <m:rPr>
                <m:nor/>
              </m:rPr>
              <m:t>CFV</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ERVol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HedgeDummy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m:t>
        </m:r>
        <m:sSub>
          <m:sSubPr>
            <m:ctrlPr>
              <w:rPr>
                <w:rFonts w:ascii="Cambria Math" w:hAnsi="Cambria Math"/>
              </w:rPr>
            </m:ctrlPr>
          </m:sSubPr>
          <m:e>
            <m:r>
              <m:rPr>
                <m:nor/>
              </m:rPr>
              <m:t>DER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TotalAssets</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 </m:t>
        </m:r>
        <m:sSub>
          <m:sSubPr>
            <m:ctrlPr>
              <w:rPr>
                <w:rFonts w:ascii="Cambria Math" w:hAnsi="Cambria Math"/>
              </w:rPr>
            </m:ctrlPr>
          </m:sSubPr>
          <m:e>
            <m:r>
              <m:rPr>
                <m:nor/>
              </m:rPr>
              <m:t>CurrentRatio</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w:p>
    <w:p w14:paraId="7D034932" w14:textId="77777777" w:rsidR="00155E40" w:rsidRDefault="00000000">
      <w:pPr>
        <w:numPr>
          <w:ilvl w:val="0"/>
          <w:numId w:val="1"/>
        </w:numPr>
      </w:pPr>
      <w:r>
        <w:br/>
        <w:t xml:space="preserve">Here </w:t>
      </w:r>
      <m:oMath>
        <m:sSub>
          <m:sSubPr>
            <m:ctrlPr>
              <w:rPr>
                <w:rFonts w:ascii="Cambria Math" w:hAnsi="Cambria Math"/>
              </w:rPr>
            </m:ctrlPr>
          </m:sSubPr>
          <m:e>
            <m:r>
              <m:rPr>
                <m:nor/>
              </m:rPr>
              <m:t>CFV</m:t>
            </m:r>
          </m:e>
          <m:sub>
            <m:r>
              <w:rPr>
                <w:rFonts w:ascii="Cambria Math" w:hAnsi="Cambria Math"/>
              </w:rPr>
              <m:t>t</m:t>
            </m:r>
          </m:sub>
        </m:sSub>
      </m:oMath>
      <w:r>
        <w:t xml:space="preserve"> is the computed cash-flow volatility (as in the previous section) for quarter </w:t>
      </w:r>
      <m:oMath>
        <m:r>
          <w:rPr>
            <w:rFonts w:ascii="Cambria Math" w:hAnsi="Cambria Math"/>
          </w:rPr>
          <m:t>t</m:t>
        </m:r>
      </m:oMath>
      <w:r>
        <w:t xml:space="preserve"> . We regress it on the same set of regressors. (Since CFV already aggregates past flow variability, one might not include lags of CFV, but seasonality dummies could be added.)</w:t>
      </w:r>
    </w:p>
    <w:p w14:paraId="021C0492" w14:textId="77777777" w:rsidR="00155E40" w:rsidRDefault="00000000">
      <w:pPr>
        <w:pStyle w:val="FirstParagraph"/>
      </w:pPr>
      <w:r>
        <w:t xml:space="preserve">In all models, we can use </w:t>
      </w:r>
      <w:r>
        <w:rPr>
          <w:i/>
          <w:iCs/>
        </w:rPr>
        <w:t>quarterly panel regression</w:t>
      </w:r>
      <w:r>
        <w:t xml:space="preserve"> techniques. If data for multiple firms or periods were available, one would estimate a panel with firm fixed effects and quarter dummies, and use robust (clustered) standard errors. For a single firm, one can estimate these equations via time-series OLS with Newey–West standard errors or an AR(1) correction. The specification above follows standard practice in corporate finance panel studies of currency risk (see, e.g., Allayannis et al.)</w:t>
      </w:r>
      <w:hyperlink r:id="rId34" w:anchor=":~:text=positive%20and%20sometimes%20negative,22">
        <w:r>
          <w:rPr>
            <w:rStyle w:val="Hyperlink"/>
          </w:rPr>
          <w:t>[6]</w:t>
        </w:r>
      </w:hyperlink>
      <w:r>
        <w:t>.</w:t>
      </w:r>
    </w:p>
    <w:p w14:paraId="07E7FCD4" w14:textId="77777777" w:rsidR="00155E40" w:rsidRDefault="00000000">
      <w:pPr>
        <w:pStyle w:val="BodyText"/>
      </w:pPr>
      <w:r>
        <w:t>The table below summarizes the regressions:</w:t>
      </w:r>
    </w:p>
    <w:tbl>
      <w:tblPr>
        <w:tblStyle w:val="Table"/>
        <w:tblW w:w="0" w:type="auto"/>
        <w:tblLook w:val="0020" w:firstRow="1" w:lastRow="0" w:firstColumn="0" w:lastColumn="0" w:noHBand="0" w:noVBand="0"/>
      </w:tblPr>
      <w:tblGrid>
        <w:gridCol w:w="1549"/>
        <w:gridCol w:w="3871"/>
        <w:gridCol w:w="4156"/>
      </w:tblGrid>
      <w:tr w:rsidR="00155E40" w14:paraId="49543C25" w14:textId="77777777" w:rsidTr="00155E40">
        <w:trPr>
          <w:cnfStyle w:val="100000000000" w:firstRow="1" w:lastRow="0" w:firstColumn="0" w:lastColumn="0" w:oddVBand="0" w:evenVBand="0" w:oddHBand="0" w:evenHBand="0" w:firstRowFirstColumn="0" w:firstRowLastColumn="0" w:lastRowFirstColumn="0" w:lastRowLastColumn="0"/>
          <w:tblHeader/>
        </w:trPr>
        <w:tc>
          <w:tcPr>
            <w:tcW w:w="0" w:type="auto"/>
          </w:tcPr>
          <w:p w14:paraId="69DB15CD" w14:textId="77777777" w:rsidR="00155E40" w:rsidRDefault="00000000">
            <w:pPr>
              <w:pStyle w:val="Compact"/>
            </w:pPr>
            <w:r>
              <w:rPr>
                <w:b/>
                <w:bCs/>
              </w:rPr>
              <w:t>Dependent Variable</w:t>
            </w:r>
          </w:p>
        </w:tc>
        <w:tc>
          <w:tcPr>
            <w:tcW w:w="0" w:type="auto"/>
          </w:tcPr>
          <w:p w14:paraId="14E04091" w14:textId="77777777" w:rsidR="00155E40" w:rsidRDefault="00000000">
            <w:pPr>
              <w:pStyle w:val="Compact"/>
            </w:pPr>
            <w:r>
              <w:rPr>
                <w:b/>
                <w:bCs/>
              </w:rPr>
              <w:t>Regression Specification</w:t>
            </w:r>
          </w:p>
        </w:tc>
        <w:tc>
          <w:tcPr>
            <w:tcW w:w="0" w:type="auto"/>
          </w:tcPr>
          <w:p w14:paraId="7A19C2D4" w14:textId="77777777" w:rsidR="00155E40" w:rsidRDefault="00000000">
            <w:pPr>
              <w:pStyle w:val="Compact"/>
            </w:pPr>
            <w:r>
              <w:rPr>
                <w:b/>
                <w:bCs/>
              </w:rPr>
              <w:t>Comments</w:t>
            </w:r>
          </w:p>
        </w:tc>
      </w:tr>
      <w:tr w:rsidR="00155E40" w14:paraId="1D6195B2" w14:textId="77777777">
        <w:tc>
          <w:tcPr>
            <w:tcW w:w="0" w:type="auto"/>
          </w:tcPr>
          <w:p w14:paraId="3F943E78" w14:textId="77777777" w:rsidR="00155E40" w:rsidRDefault="00000000">
            <w:pPr>
              <w:pStyle w:val="Compact"/>
            </w:pPr>
            <w:r>
              <w:rPr>
                <w:b/>
                <w:bCs/>
              </w:rPr>
              <w:t>ROA</w:t>
            </w:r>
            <m:oMath>
              <m:sSub>
                <m:sSubPr>
                  <m:ctrlPr>
                    <w:rPr>
                      <w:rFonts w:ascii="Cambria Math" w:hAnsi="Cambria Math"/>
                    </w:rPr>
                  </m:ctrlPr>
                </m:sSubPr>
                <m:e>
                  <m:r>
                    <w:rPr>
                      <w:rFonts w:ascii="Cambria Math" w:hAnsi="Cambria Math"/>
                    </w:rPr>
                    <m:t>​</m:t>
                  </m:r>
                </m:e>
                <m:sub>
                  <m:r>
                    <w:rPr>
                      <w:rFonts w:ascii="Cambria Math" w:hAnsi="Cambria Math"/>
                    </w:rPr>
                    <m:t>t</m:t>
                  </m:r>
                </m:sub>
              </m:sSub>
            </m:oMath>
          </w:p>
        </w:tc>
        <w:tc>
          <w:tcPr>
            <w:tcW w:w="0" w:type="auto"/>
          </w:tcPr>
          <w:p w14:paraId="352D5211" w14:textId="77777777" w:rsidR="00155E40" w:rsidRDefault="00000000">
            <w:pPr>
              <w:pStyle w:val="Compact"/>
            </w:pPr>
            <m:oMathPara>
              <m:oMath>
                <m:sSub>
                  <m:sSubPr>
                    <m:ctrlPr>
                      <w:rPr>
                        <w:rFonts w:ascii="Cambria Math" w:hAnsi="Cambria Math"/>
                      </w:rPr>
                    </m:ctrlPr>
                  </m:sSubPr>
                  <m:e>
                    <m:r>
                      <m:rPr>
                        <m:nor/>
                      </m:rPr>
                      <m:t>ROA</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ERVol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HedgeDummy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m:t>
                </m:r>
                <m:sSub>
                  <m:sSubPr>
                    <m:ctrlPr>
                      <w:rPr>
                        <w:rFonts w:ascii="Cambria Math" w:hAnsi="Cambria Math"/>
                      </w:rPr>
                    </m:ctrlPr>
                  </m:sSubPr>
                  <m:e>
                    <m:r>
                      <m:rPr>
                        <m:nor/>
                      </m:rPr>
                      <m:t>DER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 </m:t>
                </m:r>
                <m:sSub>
                  <m:sSubPr>
                    <m:ctrlPr>
                      <w:rPr>
                        <w:rFonts w:ascii="Cambria Math" w:hAnsi="Cambria Math"/>
                      </w:rPr>
                    </m:ctrlPr>
                  </m:sSubPr>
                  <m:e>
                    <m:r>
                      <m:rPr>
                        <m:nor/>
                      </m:rPr>
                      <m:t>CR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tc>
        <w:tc>
          <w:tcPr>
            <w:tcW w:w="0" w:type="auto"/>
          </w:tcPr>
          <w:p w14:paraId="26B2332A" w14:textId="77777777" w:rsidR="00155E40" w:rsidRDefault="00000000">
            <w:pPr>
              <w:pStyle w:val="Compact"/>
            </w:pPr>
            <w:r>
              <w:t>Include quarter fixed effects or AR(1) if needed. Controls: DER, log(Total Assets), Current Ratio.</w:t>
            </w:r>
          </w:p>
        </w:tc>
      </w:tr>
      <w:tr w:rsidR="00155E40" w14:paraId="131452C8" w14:textId="77777777">
        <w:tc>
          <w:tcPr>
            <w:tcW w:w="0" w:type="auto"/>
          </w:tcPr>
          <w:p w14:paraId="43B8936C" w14:textId="77777777" w:rsidR="00155E40" w:rsidRDefault="00000000">
            <w:pPr>
              <w:pStyle w:val="Compact"/>
            </w:pPr>
            <w:r>
              <w:rPr>
                <w:b/>
                <w:bCs/>
              </w:rPr>
              <w:t>Net Income</w:t>
            </w:r>
            <m:oMath>
              <m:sSub>
                <m:sSubPr>
                  <m:ctrlPr>
                    <w:rPr>
                      <w:rFonts w:ascii="Cambria Math" w:hAnsi="Cambria Math"/>
                    </w:rPr>
                  </m:ctrlPr>
                </m:sSubPr>
                <m:e>
                  <m:r>
                    <w:rPr>
                      <w:rFonts w:ascii="Cambria Math" w:hAnsi="Cambria Math"/>
                    </w:rPr>
                    <m:t>​</m:t>
                  </m:r>
                </m:e>
                <m:sub>
                  <m:r>
                    <w:rPr>
                      <w:rFonts w:ascii="Cambria Math" w:hAnsi="Cambria Math"/>
                    </w:rPr>
                    <m:t>t</m:t>
                  </m:r>
                </m:sub>
              </m:sSub>
            </m:oMath>
          </w:p>
        </w:tc>
        <w:tc>
          <w:tcPr>
            <w:tcW w:w="0" w:type="auto"/>
          </w:tcPr>
          <w:p w14:paraId="1AFC7432" w14:textId="77777777" w:rsidR="00155E40" w:rsidRDefault="00000000">
            <w:pPr>
              <w:pStyle w:val="Compact"/>
            </w:pPr>
            <m:oMathPara>
              <m:oMath>
                <m:sSub>
                  <m:sSubPr>
                    <m:ctrlPr>
                      <w:rPr>
                        <w:rFonts w:ascii="Cambria Math" w:hAnsi="Cambria Math"/>
                      </w:rPr>
                    </m:ctrlPr>
                  </m:sSubPr>
                  <m:e>
                    <m:r>
                      <m:rPr>
                        <m:nor/>
                      </m:rPr>
                      <m:t>NetIncome</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ERVol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HedgeDummy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m:t>
                </m:r>
                <m:sSub>
                  <m:sSubPr>
                    <m:ctrlPr>
                      <w:rPr>
                        <w:rFonts w:ascii="Cambria Math" w:hAnsi="Cambria Math"/>
                      </w:rPr>
                    </m:ctrlPr>
                  </m:sSubPr>
                  <m:e>
                    <m:r>
                      <m:rPr>
                        <m:nor/>
                      </m:rPr>
                      <m:t>DER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 </m:t>
                </m:r>
                <m:sSub>
                  <m:sSubPr>
                    <m:ctrlPr>
                      <w:rPr>
                        <w:rFonts w:ascii="Cambria Math" w:hAnsi="Cambria Math"/>
                      </w:rPr>
                    </m:ctrlPr>
                  </m:sSubPr>
                  <m:e>
                    <m:r>
                      <m:rPr>
                        <m:nor/>
                      </m:rPr>
                      <m:t>CR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tc>
        <w:tc>
          <w:tcPr>
            <w:tcW w:w="0" w:type="auto"/>
          </w:tcPr>
          <w:p w14:paraId="62027376" w14:textId="77777777" w:rsidR="00155E40" w:rsidRDefault="00000000">
            <w:pPr>
              <w:pStyle w:val="Compact"/>
            </w:pPr>
            <w:r>
              <w:t>Same independent vars as ROA model. Possibly use logged Net Income to stabilize variance.</w:t>
            </w:r>
          </w:p>
        </w:tc>
      </w:tr>
      <w:tr w:rsidR="00155E40" w14:paraId="38DDB2AC" w14:textId="77777777">
        <w:tc>
          <w:tcPr>
            <w:tcW w:w="0" w:type="auto"/>
          </w:tcPr>
          <w:p w14:paraId="0DB87F20" w14:textId="77777777" w:rsidR="00155E40" w:rsidRDefault="00000000">
            <w:pPr>
              <w:pStyle w:val="Compact"/>
            </w:pPr>
            <w:r>
              <w:rPr>
                <w:b/>
                <w:bCs/>
              </w:rPr>
              <w:t>CF Volatility</w:t>
            </w:r>
            <m:oMath>
              <m:sSub>
                <m:sSubPr>
                  <m:ctrlPr>
                    <w:rPr>
                      <w:rFonts w:ascii="Cambria Math" w:hAnsi="Cambria Math"/>
                    </w:rPr>
                  </m:ctrlPr>
                </m:sSubPr>
                <m:e>
                  <m:r>
                    <w:rPr>
                      <w:rFonts w:ascii="Cambria Math" w:hAnsi="Cambria Math"/>
                    </w:rPr>
                    <m:t>​</m:t>
                  </m:r>
                </m:e>
                <m:sub>
                  <m:r>
                    <w:rPr>
                      <w:rFonts w:ascii="Cambria Math" w:hAnsi="Cambria Math"/>
                    </w:rPr>
                    <m:t>t</m:t>
                  </m:r>
                </m:sub>
              </m:sSub>
            </m:oMath>
          </w:p>
        </w:tc>
        <w:tc>
          <w:tcPr>
            <w:tcW w:w="0" w:type="auto"/>
          </w:tcPr>
          <w:p w14:paraId="79F1B880" w14:textId="77777777" w:rsidR="00155E40" w:rsidRDefault="00000000">
            <w:pPr>
              <w:pStyle w:val="Compact"/>
            </w:pPr>
            <m:oMathPara>
              <m:oMath>
                <m:sSub>
                  <m:sSubPr>
                    <m:ctrlPr>
                      <w:rPr>
                        <w:rFonts w:ascii="Cambria Math" w:hAnsi="Cambria Math"/>
                      </w:rPr>
                    </m:ctrlPr>
                  </m:sSubPr>
                  <m:e>
                    <m:r>
                      <m:rPr>
                        <m:nor/>
                      </m:rPr>
                      <m:t>CFV</m:t>
                    </m:r>
                  </m:e>
                  <m:sub>
                    <m:r>
                      <w:rPr>
                        <w:rFonts w:ascii="Cambria Math" w:hAnsi="Cambria Math"/>
                      </w:rPr>
                      <m:t>t</m:t>
                    </m:r>
                  </m:sub>
                </m:sSub>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m:rPr>
                        <m:nor/>
                      </m:rPr>
                      <m:t>ERVol</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m:rPr>
                        <m:nor/>
                      </m:rPr>
                      <m:t>HedgeDummy</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m:t>
                </m:r>
                <m:sSub>
                  <m:sSubPr>
                    <m:ctrlPr>
                      <w:rPr>
                        <w:rFonts w:ascii="Cambria Math" w:hAnsi="Cambria Math"/>
                      </w:rPr>
                    </m:ctrlPr>
                  </m:sSubPr>
                  <m:e>
                    <m:r>
                      <m:rPr>
                        <m:nor/>
                      </m:rPr>
                      <m:t>DER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4</m:t>
                    </m:r>
                  </m:sub>
                </m:sSub>
                <m:r>
                  <w:rPr>
                    <w:rFonts w:ascii="Cambria Math" w:hAnsi="Cambria Math"/>
                  </w:rPr>
                  <m:t> </m:t>
                </m:r>
                <m:r>
                  <m:rPr>
                    <m:sty m:val="p"/>
                  </m:rPr>
                  <w:rPr>
                    <w:rFonts w:ascii="Cambria Math" w:hAnsi="Cambria Math"/>
                  </w:rPr>
                  <m:t>ln</m:t>
                </m:r>
                <m:d>
                  <m:dPr>
                    <m:ctrlPr>
                      <w:rPr>
                        <w:rFonts w:ascii="Cambria Math" w:hAnsi="Cambria Math"/>
                      </w:rPr>
                    </m:ctrlPr>
                  </m:dPr>
                  <m:e>
                    <m:sSub>
                      <m:sSubPr>
                        <m:ctrlPr>
                          <w:rPr>
                            <w:rFonts w:ascii="Cambria Math" w:hAnsi="Cambria Math"/>
                          </w:rPr>
                        </m:ctrlPr>
                      </m:sSubPr>
                      <m:e>
                        <m:r>
                          <m:rPr>
                            <m:nor/>
                          </m:rPr>
                          <m:t>TA</m:t>
                        </m:r>
                      </m:e>
                      <m:sub>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5</m:t>
                    </m:r>
                  </m:sub>
                </m:sSub>
                <m:r>
                  <w:rPr>
                    <w:rFonts w:ascii="Cambria Math" w:hAnsi="Cambria Math"/>
                  </w:rPr>
                  <m:t> </m:t>
                </m:r>
                <m:sSub>
                  <m:sSubPr>
                    <m:ctrlPr>
                      <w:rPr>
                        <w:rFonts w:ascii="Cambria Math" w:hAnsi="Cambria Math"/>
                      </w:rPr>
                    </m:ctrlPr>
                  </m:sSubPr>
                  <m:e>
                    <m:r>
                      <m:rPr>
                        <m:nor/>
                      </m:rPr>
                      <m:t>CR</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oMath>
            </m:oMathPara>
          </w:p>
        </w:tc>
        <w:tc>
          <w:tcPr>
            <w:tcW w:w="0" w:type="auto"/>
          </w:tcPr>
          <w:p w14:paraId="49400A73" w14:textId="77777777" w:rsidR="00155E40" w:rsidRDefault="00000000">
            <w:pPr>
              <w:pStyle w:val="Compact"/>
            </w:pPr>
            <w:r>
              <w:t>CFV is the rolling-SD of cash flows (previous section). Regress on same set of regressors. Time effects recommended.</w:t>
            </w:r>
          </w:p>
        </w:tc>
      </w:tr>
    </w:tbl>
    <w:p w14:paraId="2C1C429B" w14:textId="77777777" w:rsidR="00155E40" w:rsidRDefault="00000000">
      <w:pPr>
        <w:pStyle w:val="BodyText"/>
      </w:pPr>
      <w:r>
        <w:rPr>
          <w:b/>
          <w:bCs/>
        </w:rPr>
        <w:t>Notes:</w:t>
      </w:r>
      <w:r>
        <w:t xml:space="preserve"> These specifications align with empirical corporate finance practice. For example, researchers commonly use panel regressions (with fixed effects) linking firm performance </w:t>
      </w:r>
      <w:r>
        <w:lastRenderedPageBreak/>
        <w:t>measures (ROA, profits, volatility) to exchange-rate measures and hedging variables</w:t>
      </w:r>
      <w:hyperlink r:id="rId35" w:anchor=":~:text=positive%20and%20sometimes%20negative,22">
        <w:r>
          <w:rPr>
            <w:rStyle w:val="Hyperlink"/>
          </w:rPr>
          <w:t>[6]</w:t>
        </w:r>
      </w:hyperlink>
      <w:r>
        <w:t>. Here we adapt that framework to quarterly data. It is important to check for autocorrelation (e.g. include lagged DV or use AR(1) errors) and potentially include year-quarter dummies to capture seasonality.</w:t>
      </w:r>
    </w:p>
    <w:p w14:paraId="53341125" w14:textId="77777777" w:rsidR="00155E40" w:rsidRDefault="00000000">
      <w:pPr>
        <w:pStyle w:val="BodyText"/>
      </w:pPr>
      <w:r>
        <w:rPr>
          <w:b/>
          <w:bCs/>
        </w:rPr>
        <w:t>Sources:</w:t>
      </w:r>
      <w:r>
        <w:t xml:space="preserve"> Definitions and methods above are drawn from standard financial texts and research. In particular, exchange-rate volatility and cash-flow volatility measures follow practice in IMF/Federal Reserve studies</w:t>
      </w:r>
      <w:hyperlink r:id="rId36" w:anchor=":~:text=positive%20and%20sometimes%20negative,22">
        <w:r>
          <w:rPr>
            <w:rStyle w:val="Hyperlink"/>
          </w:rPr>
          <w:t>[6]</w:t>
        </w:r>
      </w:hyperlink>
      <w:r>
        <w:t>, and ratios (ROA, DER, Current Ratio) follow corporate finance textbooks/CFI resources</w:t>
      </w:r>
      <w:hyperlink r:id="rId37" w:anchor=":~:text=What%20Is%20Return%20on%20Assets%3F">
        <w:r>
          <w:rPr>
            <w:rStyle w:val="Hyperlink"/>
          </w:rPr>
          <w:t>[3]</w:t>
        </w:r>
      </w:hyperlink>
      <w:hyperlink r:id="rId38" w:anchor=":~:text=Short%20formula%3A">
        <w:r>
          <w:rPr>
            <w:rStyle w:val="Hyperlink"/>
          </w:rPr>
          <w:t>[8]</w:t>
        </w:r>
      </w:hyperlink>
      <w:hyperlink r:id="rId39" w:anchor=":~:text=The%20Current%20Ratio%20formula%20is%3A">
        <w:r>
          <w:rPr>
            <w:rStyle w:val="Hyperlink"/>
          </w:rPr>
          <w:t>[10]</w:t>
        </w:r>
      </w:hyperlink>
      <w:r>
        <w:t>.</w:t>
      </w:r>
    </w:p>
    <w:bookmarkEnd w:id="1"/>
    <w:bookmarkEnd w:id="2"/>
    <w:bookmarkEnd w:id="4"/>
    <w:p w14:paraId="0F82944F" w14:textId="77777777" w:rsidR="00155E40" w:rsidRDefault="00000000">
      <w:r>
        <w:pict w14:anchorId="7825D1D2">
          <v:rect id="_x0000_i1025" style="width:0;height:1.5pt" o:hralign="center" o:hrstd="t" o:hr="t"/>
        </w:pict>
      </w:r>
    </w:p>
    <w:bookmarkStart w:id="5" w:name="citations"/>
    <w:p w14:paraId="1F804257" w14:textId="77777777" w:rsidR="00155E40" w:rsidRDefault="00000000">
      <w:pPr>
        <w:pStyle w:val="FirstParagraph"/>
      </w:pPr>
      <w:r>
        <w:fldChar w:fldCharType="begin"/>
      </w:r>
      <w:r>
        <w:instrText>HYPERLINK "https://web-docs.stern.nyu.edu/salomon/docs/conferences/bartram_brown_conrad.pdf" \l ":~:text=called%20Hedging%20Intensity%20equal%20to,over%20measures%20using%20notional%20values" \h</w:instrText>
      </w:r>
      <w:r>
        <w:fldChar w:fldCharType="separate"/>
      </w:r>
      <w:r>
        <w:rPr>
          <w:rStyle w:val="Hyperlink"/>
        </w:rPr>
        <w:t>[1]</w:t>
      </w:r>
      <w:r>
        <w:fldChar w:fldCharType="end"/>
      </w:r>
      <w:r>
        <w:t xml:space="preserve"> </w:t>
      </w:r>
      <w:hyperlink r:id="rId40" w:anchor=":~:text=Hedging%20Intensity%204%2C167%201,0.711%201.221%20%3C0.001">
        <w:r>
          <w:rPr>
            <w:rStyle w:val="Hyperlink"/>
          </w:rPr>
          <w:t>[2]</w:t>
        </w:r>
      </w:hyperlink>
      <w:r>
        <w:t xml:space="preserve"> Although the use of derivative contracts by firms has increased in the past two decades, the effect of derivatives on the risks and values of firms is still unknown</w:t>
      </w:r>
    </w:p>
    <w:p w14:paraId="167DBA75" w14:textId="77777777" w:rsidR="00155E40" w:rsidRDefault="00000000">
      <w:pPr>
        <w:pStyle w:val="BodyText"/>
      </w:pPr>
      <w:hyperlink r:id="rId41">
        <w:r>
          <w:rPr>
            <w:rStyle w:val="Hyperlink"/>
          </w:rPr>
          <w:t>https://web-docs.stern.nyu.edu/salomon/docs/conferences/bartram_brown_conrad.pdf</w:t>
        </w:r>
      </w:hyperlink>
    </w:p>
    <w:p w14:paraId="7066CC7A" w14:textId="77777777" w:rsidR="00155E40" w:rsidRDefault="00000000">
      <w:pPr>
        <w:pStyle w:val="BodyText"/>
      </w:pPr>
      <w:hyperlink r:id="rId42" w:anchor=":~:text=What%20Is%20Return%20on%20Assets%3F">
        <w:r>
          <w:rPr>
            <w:rStyle w:val="Hyperlink"/>
          </w:rPr>
          <w:t>[3]</w:t>
        </w:r>
      </w:hyperlink>
      <w:r>
        <w:t xml:space="preserve"> </w:t>
      </w:r>
      <w:hyperlink r:id="rId43" w:anchor=":~:text=The%20return%20on%20assets%20formula,result%20expressed%20as%20a%20percentage">
        <w:r>
          <w:rPr>
            <w:rStyle w:val="Hyperlink"/>
          </w:rPr>
          <w:t>[4]</w:t>
        </w:r>
      </w:hyperlink>
      <w:r>
        <w:t xml:space="preserve"> Return on Assets - ROA Formula, Calculation, and Examples</w:t>
      </w:r>
    </w:p>
    <w:p w14:paraId="32BF6A71" w14:textId="77777777" w:rsidR="00155E40" w:rsidRDefault="00000000">
      <w:pPr>
        <w:pStyle w:val="BodyText"/>
      </w:pPr>
      <w:hyperlink r:id="rId44">
        <w:r>
          <w:rPr>
            <w:rStyle w:val="Hyperlink"/>
          </w:rPr>
          <w:t>https://corporatefinanceinstitute.com/resources/accounting/return-on-assets-roa-formula/</w:t>
        </w:r>
      </w:hyperlink>
    </w:p>
    <w:p w14:paraId="74635048" w14:textId="77777777" w:rsidR="00155E40" w:rsidRDefault="00000000">
      <w:pPr>
        <w:pStyle w:val="BodyText"/>
      </w:pPr>
      <w:hyperlink r:id="rId45" w:anchor=":~:text=Net%20income%20,making%20it%20a%20key%20performance">
        <w:r>
          <w:rPr>
            <w:rStyle w:val="Hyperlink"/>
          </w:rPr>
          <w:t>[5]</w:t>
        </w:r>
      </w:hyperlink>
      <w:r>
        <w:t xml:space="preserve"> Net Income: Definition, Calculation, and Business Impact</w:t>
      </w:r>
    </w:p>
    <w:p w14:paraId="210BD531" w14:textId="77777777" w:rsidR="00155E40" w:rsidRDefault="00000000">
      <w:pPr>
        <w:pStyle w:val="BodyText"/>
      </w:pPr>
      <w:hyperlink r:id="rId46">
        <w:r>
          <w:rPr>
            <w:rStyle w:val="Hyperlink"/>
          </w:rPr>
          <w:t>https://www.investopedia.com/terms/n/netincome.asp</w:t>
        </w:r>
      </w:hyperlink>
    </w:p>
    <w:p w14:paraId="5DFE762A" w14:textId="77777777" w:rsidR="00155E40" w:rsidRDefault="00000000">
      <w:pPr>
        <w:pStyle w:val="BodyText"/>
      </w:pPr>
      <w:hyperlink r:id="rId47" w:anchor=":~:text=positive%20and%20sometimes%20negative,22">
        <w:r>
          <w:rPr>
            <w:rStyle w:val="Hyperlink"/>
          </w:rPr>
          <w:t>[6]</w:t>
        </w:r>
      </w:hyperlink>
      <w:r>
        <w:t xml:space="preserve"> The Fed - Assessing the size of the risks posed by life insurers' nontraditional liabilities</w:t>
      </w:r>
    </w:p>
    <w:p w14:paraId="06082066" w14:textId="77777777" w:rsidR="00155E40" w:rsidRDefault="00000000">
      <w:pPr>
        <w:pStyle w:val="BodyText"/>
      </w:pPr>
      <w:hyperlink r:id="rId48">
        <w:r>
          <w:rPr>
            <w:rStyle w:val="Hyperlink"/>
          </w:rPr>
          <w:t>https://www.federalreserve.gov/econres/notes/feds-notes/assessing-the-size-of-the-risks-posed-by-life-insurers-nontraditional-liabilities-20190521.html</w:t>
        </w:r>
      </w:hyperlink>
    </w:p>
    <w:p w14:paraId="00CF9531" w14:textId="77777777" w:rsidR="00155E40" w:rsidRDefault="00000000">
      <w:pPr>
        <w:pStyle w:val="BodyText"/>
      </w:pPr>
      <w:hyperlink r:id="rId49" w:anchor=":~:text=Cash%20flow%20volatility%20is%20the,for%20a%20given%20firm%20quarter">
        <w:r>
          <w:rPr>
            <w:rStyle w:val="Hyperlink"/>
          </w:rPr>
          <w:t>[7]</w:t>
        </w:r>
      </w:hyperlink>
      <w:r>
        <w:t xml:space="preserve"> faculty.tuck.dartmouth.edu</w:t>
      </w:r>
    </w:p>
    <w:p w14:paraId="369B2BC1" w14:textId="77777777" w:rsidR="00155E40" w:rsidRDefault="00000000">
      <w:pPr>
        <w:pStyle w:val="BodyText"/>
      </w:pPr>
      <w:hyperlink r:id="rId50">
        <w:r>
          <w:rPr>
            <w:rStyle w:val="Hyperlink"/>
          </w:rPr>
          <w:t>https://faculty.tuck.dartmouth.edu/images/uploads/faculty/gordon-phillips/Outsourcing_through_Purchase_Contracts_and_Firm_Capital_Structure.pdf</w:t>
        </w:r>
      </w:hyperlink>
    </w:p>
    <w:p w14:paraId="79EA525E" w14:textId="77777777" w:rsidR="00155E40" w:rsidRDefault="00000000">
      <w:pPr>
        <w:pStyle w:val="BodyText"/>
      </w:pPr>
      <w:hyperlink r:id="rId51" w:anchor=":~:text=Short%20formula%3A">
        <w:r>
          <w:rPr>
            <w:rStyle w:val="Hyperlink"/>
          </w:rPr>
          <w:t>[8]</w:t>
        </w:r>
      </w:hyperlink>
      <w:r>
        <w:t xml:space="preserve"> Debt to Equity Ratio - How to Calculate Leverage, Formula, Examples</w:t>
      </w:r>
    </w:p>
    <w:p w14:paraId="2D66E1DA" w14:textId="77777777" w:rsidR="00155E40" w:rsidRDefault="00000000">
      <w:pPr>
        <w:pStyle w:val="BodyText"/>
      </w:pPr>
      <w:hyperlink r:id="rId52">
        <w:r>
          <w:rPr>
            <w:rStyle w:val="Hyperlink"/>
          </w:rPr>
          <w:t>https://corporatefinanceinstitute.com/resources/commercial-lending/debt-to-equity-ratio-formula/</w:t>
        </w:r>
      </w:hyperlink>
    </w:p>
    <w:p w14:paraId="5EF32BDB" w14:textId="77777777" w:rsidR="00155E40" w:rsidRDefault="00000000">
      <w:pPr>
        <w:pStyle w:val="BodyText"/>
      </w:pPr>
      <w:hyperlink r:id="rId53" w:anchor=":~:text=The%20formula%20is%20Assets%20%3D,sum%20of%20net%20income%2C%20retained">
        <w:r>
          <w:rPr>
            <w:rStyle w:val="Hyperlink"/>
          </w:rPr>
          <w:t>[9]</w:t>
        </w:r>
      </w:hyperlink>
      <w:r>
        <w:t xml:space="preserve"> Balance Sheet: Explanation, Components, and Examples</w:t>
      </w:r>
    </w:p>
    <w:p w14:paraId="31E64B39" w14:textId="77777777" w:rsidR="00155E40" w:rsidRDefault="00000000">
      <w:pPr>
        <w:pStyle w:val="BodyText"/>
      </w:pPr>
      <w:hyperlink r:id="rId54">
        <w:r>
          <w:rPr>
            <w:rStyle w:val="Hyperlink"/>
          </w:rPr>
          <w:t>https://www.investopedia.com/terms/b/balancesheet.asp</w:t>
        </w:r>
      </w:hyperlink>
    </w:p>
    <w:p w14:paraId="6AE09B4D" w14:textId="77777777" w:rsidR="00155E40" w:rsidRDefault="00000000">
      <w:pPr>
        <w:pStyle w:val="BodyText"/>
      </w:pPr>
      <w:hyperlink r:id="rId55" w:anchor=":~:text=The%20Current%20Ratio%20formula%20is%3A">
        <w:r>
          <w:rPr>
            <w:rStyle w:val="Hyperlink"/>
          </w:rPr>
          <w:t>[10]</w:t>
        </w:r>
      </w:hyperlink>
      <w:r>
        <w:t xml:space="preserve"> </w:t>
      </w:r>
      <w:hyperlink r:id="rId56" w:anchor=":~:text=,Accounts%20payables%20%3D%20%2415%20million">
        <w:r>
          <w:rPr>
            <w:rStyle w:val="Hyperlink"/>
          </w:rPr>
          <w:t>[11]</w:t>
        </w:r>
      </w:hyperlink>
      <w:r>
        <w:t xml:space="preserve"> Current Ratio Formula</w:t>
      </w:r>
    </w:p>
    <w:p w14:paraId="45B2D1C2" w14:textId="77777777" w:rsidR="00155E40" w:rsidRDefault="00000000">
      <w:pPr>
        <w:pStyle w:val="BodyText"/>
      </w:pPr>
      <w:hyperlink r:id="rId57">
        <w:r>
          <w:rPr>
            <w:rStyle w:val="Hyperlink"/>
          </w:rPr>
          <w:t>https://corporatefinanceinstitute.com/resources/accounting/current-ratio-formula/</w:t>
        </w:r>
      </w:hyperlink>
    </w:p>
    <w:p w14:paraId="4F5F5FBF" w14:textId="483B7124" w:rsidR="00A01880" w:rsidRDefault="00A01880">
      <w:pPr>
        <w:pStyle w:val="BodyText"/>
      </w:pPr>
      <w:r w:rsidRPr="00A01880">
        <w:t>https://www.elibrary.imf.org/view/journals/007/2004/023/article-A001-en.xml</w:t>
      </w:r>
      <w:bookmarkEnd w:id="5"/>
    </w:p>
    <w:sectPr w:rsidR="00A0188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60D0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7F2E6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89351197">
    <w:abstractNumId w:val="0"/>
  </w:num>
  <w:num w:numId="2" w16cid:durableId="664936584">
    <w:abstractNumId w:val="1"/>
  </w:num>
  <w:num w:numId="3" w16cid:durableId="551238462">
    <w:abstractNumId w:val="1"/>
  </w:num>
  <w:num w:numId="4" w16cid:durableId="11257780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55E40"/>
    <w:rsid w:val="00155E40"/>
    <w:rsid w:val="00607043"/>
    <w:rsid w:val="00A018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303B6"/>
  <w15:docId w15:val="{D10A9ABF-62B3-4DCE-89BB-07BDF24D2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orporatefinanceinstitute.com/resources/commercial-lending/debt-to-equity-ratio-formula/" TargetMode="External"/><Relationship Id="rId18" Type="http://schemas.openxmlformats.org/officeDocument/2006/relationships/hyperlink" Target="https://corporatefinanceinstitute.com/resources/accounting/current-ratio-formula/" TargetMode="External"/><Relationship Id="rId26" Type="http://schemas.openxmlformats.org/officeDocument/2006/relationships/hyperlink" Target="https://www.federalreserve.gov/econres/notes/feds-notes/assessing-the-size-of-the-risks-posed-by-life-insurers-nontraditional-liabilities-20190521.html" TargetMode="External"/><Relationship Id="rId39" Type="http://schemas.openxmlformats.org/officeDocument/2006/relationships/hyperlink" Target="https://corporatefinanceinstitute.com/resources/accounting/current-ratio-formula/" TargetMode="External"/><Relationship Id="rId21" Type="http://schemas.openxmlformats.org/officeDocument/2006/relationships/hyperlink" Target="https://www.investopedia.com/terms/b/balancesheet.asp" TargetMode="External"/><Relationship Id="rId34" Type="http://schemas.openxmlformats.org/officeDocument/2006/relationships/hyperlink" Target="https://www.federalreserve.gov/econres/notes/feds-notes/assessing-the-size-of-the-risks-posed-by-life-insurers-nontraditional-liabilities-20190521.html" TargetMode="External"/><Relationship Id="rId42" Type="http://schemas.openxmlformats.org/officeDocument/2006/relationships/hyperlink" Target="https://corporatefinanceinstitute.com/resources/accounting/return-on-assets-roa-formula/" TargetMode="External"/><Relationship Id="rId47" Type="http://schemas.openxmlformats.org/officeDocument/2006/relationships/hyperlink" Target="https://www.federalreserve.gov/econres/notes/feds-notes/assessing-the-size-of-the-risks-posed-by-life-insurers-nontraditional-liabilities-20190521.html" TargetMode="External"/><Relationship Id="rId50" Type="http://schemas.openxmlformats.org/officeDocument/2006/relationships/hyperlink" Target="https://faculty.tuck.dartmouth.edu/images/uploads/faculty/gordon-phillips/Outsourcing_through_Purchase_Contracts_and_Firm_Capital_Structure.pdf" TargetMode="External"/><Relationship Id="rId55" Type="http://schemas.openxmlformats.org/officeDocument/2006/relationships/hyperlink" Target="https://corporatefinanceinstitute.com/resources/accounting/current-ratio-formula/" TargetMode="External"/><Relationship Id="rId7" Type="http://schemas.openxmlformats.org/officeDocument/2006/relationships/hyperlink" Target="https://corporatefinanceinstitute.com/resources/accounting/return-on-assets-roa-formula/" TargetMode="External"/><Relationship Id="rId2" Type="http://schemas.openxmlformats.org/officeDocument/2006/relationships/styles" Target="styles.xml"/><Relationship Id="rId16" Type="http://schemas.openxmlformats.org/officeDocument/2006/relationships/hyperlink" Target="https://www.investopedia.com/terms/b/balancesheet.asp" TargetMode="External"/><Relationship Id="rId29" Type="http://schemas.openxmlformats.org/officeDocument/2006/relationships/hyperlink" Target="https://corporatefinanceinstitute.com/resources/accounting/current-ratio-formula/" TargetMode="External"/><Relationship Id="rId11" Type="http://schemas.openxmlformats.org/officeDocument/2006/relationships/hyperlink" Target="https://www.federalreserve.gov/econres/notes/feds-notes/assessing-the-size-of-the-risks-posed-by-life-insurers-nontraditional-liabilities-20190521.html" TargetMode="External"/><Relationship Id="rId24" Type="http://schemas.openxmlformats.org/officeDocument/2006/relationships/hyperlink" Target="https://corporatefinanceinstitute.com/resources/accounting/return-on-assets-roa-formula/" TargetMode="External"/><Relationship Id="rId32" Type="http://schemas.openxmlformats.org/officeDocument/2006/relationships/hyperlink" Target="https://www.federalreserve.gov/econres/notes/feds-notes/assessing-the-size-of-the-risks-posed-by-life-insurers-nontraditional-liabilities-20190521.html" TargetMode="External"/><Relationship Id="rId37" Type="http://schemas.openxmlformats.org/officeDocument/2006/relationships/hyperlink" Target="https://corporatefinanceinstitute.com/resources/accounting/return-on-assets-roa-formula/" TargetMode="External"/><Relationship Id="rId40" Type="http://schemas.openxmlformats.org/officeDocument/2006/relationships/hyperlink" Target="https://web-docs.stern.nyu.edu/salomon/docs/conferences/bartram_brown_conrad.pdf" TargetMode="External"/><Relationship Id="rId45" Type="http://schemas.openxmlformats.org/officeDocument/2006/relationships/hyperlink" Target="https://www.investopedia.com/terms/n/netincome.asp" TargetMode="External"/><Relationship Id="rId53" Type="http://schemas.openxmlformats.org/officeDocument/2006/relationships/hyperlink" Target="https://www.investopedia.com/terms/b/balancesheet.asp" TargetMode="External"/><Relationship Id="rId58" Type="http://schemas.openxmlformats.org/officeDocument/2006/relationships/fontTable" Target="fontTable.xml"/><Relationship Id="rId5" Type="http://schemas.openxmlformats.org/officeDocument/2006/relationships/hyperlink" Target="https://web-docs.stern.nyu.edu/salomon/docs/conferences/bartram_brown_conrad.pdf" TargetMode="External"/><Relationship Id="rId19" Type="http://schemas.openxmlformats.org/officeDocument/2006/relationships/hyperlink" Target="https://corporatefinanceinstitute.com/resources/accounting/return-on-assets-roa-formula/" TargetMode="External"/><Relationship Id="rId4" Type="http://schemas.openxmlformats.org/officeDocument/2006/relationships/webSettings" Target="webSettings.xml"/><Relationship Id="rId9" Type="http://schemas.openxmlformats.org/officeDocument/2006/relationships/hyperlink" Target="https://www.investopedia.com/terms/n/netincome.asp" TargetMode="External"/><Relationship Id="rId14" Type="http://schemas.openxmlformats.org/officeDocument/2006/relationships/hyperlink" Target="https://corporatefinanceinstitute.com/resources/commercial-lending/debt-to-equity-ratio-formula/" TargetMode="External"/><Relationship Id="rId22" Type="http://schemas.openxmlformats.org/officeDocument/2006/relationships/hyperlink" Target="https://www.federalreserve.gov/econres/notes/feds-notes/assessing-the-size-of-the-risks-posed-by-life-insurers-nontraditional-liabilities-20190521.html" TargetMode="External"/><Relationship Id="rId27" Type="http://schemas.openxmlformats.org/officeDocument/2006/relationships/hyperlink" Target="https://corporatefinanceinstitute.com/resources/commercial-lending/debt-to-equity-ratio-formula/" TargetMode="External"/><Relationship Id="rId30" Type="http://schemas.openxmlformats.org/officeDocument/2006/relationships/hyperlink" Target="https://faculty.tuck.dartmouth.edu/images/uploads/faculty/gordon-phillips/Outsourcing_through_Purchase_Contracts_and_Firm_Capital_Structure.pdf" TargetMode="External"/><Relationship Id="rId35" Type="http://schemas.openxmlformats.org/officeDocument/2006/relationships/hyperlink" Target="https://www.federalreserve.gov/econres/notes/feds-notes/assessing-the-size-of-the-risks-posed-by-life-insurers-nontraditional-liabilities-20190521.html" TargetMode="External"/><Relationship Id="rId43" Type="http://schemas.openxmlformats.org/officeDocument/2006/relationships/hyperlink" Target="https://corporatefinanceinstitute.com/resources/accounting/return-on-assets-roa-formula/" TargetMode="External"/><Relationship Id="rId48" Type="http://schemas.openxmlformats.org/officeDocument/2006/relationships/hyperlink" Target="https://www.federalreserve.gov/econres/notes/feds-notes/assessing-the-size-of-the-risks-posed-by-life-insurers-nontraditional-liabilities-20190521.html" TargetMode="External"/><Relationship Id="rId56" Type="http://schemas.openxmlformats.org/officeDocument/2006/relationships/hyperlink" Target="https://corporatefinanceinstitute.com/resources/accounting/current-ratio-formula/" TargetMode="External"/><Relationship Id="rId8" Type="http://schemas.openxmlformats.org/officeDocument/2006/relationships/hyperlink" Target="https://corporatefinanceinstitute.com/resources/accounting/return-on-assets-roa-formula/" TargetMode="External"/><Relationship Id="rId51" Type="http://schemas.openxmlformats.org/officeDocument/2006/relationships/hyperlink" Target="https://corporatefinanceinstitute.com/resources/commercial-lending/debt-to-equity-ratio-formula/" TargetMode="External"/><Relationship Id="rId3" Type="http://schemas.openxmlformats.org/officeDocument/2006/relationships/settings" Target="settings.xml"/><Relationship Id="rId12" Type="http://schemas.openxmlformats.org/officeDocument/2006/relationships/hyperlink" Target="https://faculty.tuck.dartmouth.edu/images/uploads/faculty/gordon-phillips/Outsourcing_through_Purchase_Contracts_and_Firm_Capital_Structure.pdf" TargetMode="External"/><Relationship Id="rId17" Type="http://schemas.openxmlformats.org/officeDocument/2006/relationships/hyperlink" Target="https://corporatefinanceinstitute.com/resources/accounting/current-ratio-formula/" TargetMode="External"/><Relationship Id="rId25" Type="http://schemas.openxmlformats.org/officeDocument/2006/relationships/hyperlink" Target="https://www.investopedia.com/terms/n/netincome.asp" TargetMode="External"/><Relationship Id="rId33" Type="http://schemas.openxmlformats.org/officeDocument/2006/relationships/hyperlink" Target="https://faculty.tuck.dartmouth.edu/images/uploads/faculty/gordon-phillips/Outsourcing_through_Purchase_Contracts_and_Firm_Capital_Structure.pdf" TargetMode="External"/><Relationship Id="rId38" Type="http://schemas.openxmlformats.org/officeDocument/2006/relationships/hyperlink" Target="https://corporatefinanceinstitute.com/resources/commercial-lending/debt-to-equity-ratio-formula/" TargetMode="External"/><Relationship Id="rId46" Type="http://schemas.openxmlformats.org/officeDocument/2006/relationships/hyperlink" Target="https://www.investopedia.com/terms/n/netincome.asp" TargetMode="External"/><Relationship Id="rId59" Type="http://schemas.openxmlformats.org/officeDocument/2006/relationships/theme" Target="theme/theme1.xml"/><Relationship Id="rId20" Type="http://schemas.openxmlformats.org/officeDocument/2006/relationships/hyperlink" Target="https://corporatefinanceinstitute.com/resources/commercial-lending/debt-to-equity-ratio-formula/" TargetMode="External"/><Relationship Id="rId41" Type="http://schemas.openxmlformats.org/officeDocument/2006/relationships/hyperlink" Target="https://web-docs.stern.nyu.edu/salomon/docs/conferences/bartram_brown_conrad.pdf" TargetMode="External"/><Relationship Id="rId54" Type="http://schemas.openxmlformats.org/officeDocument/2006/relationships/hyperlink" Target="https://www.investopedia.com/terms/b/balancesheet.asp" TargetMode="External"/><Relationship Id="rId1" Type="http://schemas.openxmlformats.org/officeDocument/2006/relationships/numbering" Target="numbering.xml"/><Relationship Id="rId6" Type="http://schemas.openxmlformats.org/officeDocument/2006/relationships/hyperlink" Target="https://web-docs.stern.nyu.edu/salomon/docs/conferences/bartram_brown_conrad.pdf" TargetMode="External"/><Relationship Id="rId15" Type="http://schemas.openxmlformats.org/officeDocument/2006/relationships/hyperlink" Target="https://www.investopedia.com/terms/b/balancesheet.asp" TargetMode="External"/><Relationship Id="rId23" Type="http://schemas.openxmlformats.org/officeDocument/2006/relationships/hyperlink" Target="https://web-docs.stern.nyu.edu/salomon/docs/conferences/bartram_brown_conrad.pdf" TargetMode="External"/><Relationship Id="rId28" Type="http://schemas.openxmlformats.org/officeDocument/2006/relationships/hyperlink" Target="https://www.investopedia.com/terms/b/balancesheet.asp" TargetMode="External"/><Relationship Id="rId36" Type="http://schemas.openxmlformats.org/officeDocument/2006/relationships/hyperlink" Target="https://www.federalreserve.gov/econres/notes/feds-notes/assessing-the-size-of-the-risks-posed-by-life-insurers-nontraditional-liabilities-20190521.html" TargetMode="External"/><Relationship Id="rId49" Type="http://schemas.openxmlformats.org/officeDocument/2006/relationships/hyperlink" Target="https://faculty.tuck.dartmouth.edu/images/uploads/faculty/gordon-phillips/Outsourcing_through_Purchase_Contracts_and_Firm_Capital_Structure.pdf" TargetMode="External"/><Relationship Id="rId57" Type="http://schemas.openxmlformats.org/officeDocument/2006/relationships/hyperlink" Target="https://corporatefinanceinstitute.com/resources/accounting/current-ratio-formula/" TargetMode="External"/><Relationship Id="rId10" Type="http://schemas.openxmlformats.org/officeDocument/2006/relationships/hyperlink" Target="https://www.investopedia.com/terms/n/netincome.asp" TargetMode="External"/><Relationship Id="rId31" Type="http://schemas.openxmlformats.org/officeDocument/2006/relationships/hyperlink" Target="https://www.federalreserve.gov/econres/notes/feds-notes/assessing-the-size-of-the-risks-posed-by-life-insurers-nontraditional-liabilities-20190521.html" TargetMode="External"/><Relationship Id="rId44" Type="http://schemas.openxmlformats.org/officeDocument/2006/relationships/hyperlink" Target="https://corporatefinanceinstitute.com/resources/accounting/return-on-assets-roa-formula/" TargetMode="External"/><Relationship Id="rId52" Type="http://schemas.openxmlformats.org/officeDocument/2006/relationships/hyperlink" Target="https://corporatefinanceinstitute.com/resources/commercial-lending/debt-to-equity-ratio-formu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6</Pages>
  <Words>3409</Words>
  <Characters>19436</Characters>
  <Application>Microsoft Office Word</Application>
  <DocSecurity>0</DocSecurity>
  <Lines>161</Lines>
  <Paragraphs>45</Paragraphs>
  <ScaleCrop>false</ScaleCrop>
  <Company/>
  <LinksUpToDate>false</LinksUpToDate>
  <CharactersWithSpaces>22800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Pika</cp:lastModifiedBy>
  <cp:revision>2</cp:revision>
  <dcterms:created xsi:type="dcterms:W3CDTF">2025-10-13T04:20:00Z</dcterms:created>
  <dcterms:modified xsi:type="dcterms:W3CDTF">2025-10-27T09:04:00Z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