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2D492" w14:textId="77777777" w:rsidR="00503020" w:rsidRDefault="00503020" w:rsidP="005F6154">
      <w:pPr>
        <w:jc w:val="center"/>
        <w:rPr>
          <w:rFonts w:ascii="Times New Roman" w:hAnsi="Times New Roman" w:cs="Times New Roman"/>
          <w:b/>
          <w:bCs/>
          <w:sz w:val="28"/>
          <w:szCs w:val="28"/>
          <w:lang w:val="en-US"/>
        </w:rPr>
      </w:pPr>
    </w:p>
    <w:p w14:paraId="1322D9F6" w14:textId="77777777" w:rsidR="00503020" w:rsidRDefault="00503020" w:rsidP="005F6154">
      <w:pPr>
        <w:jc w:val="center"/>
        <w:rPr>
          <w:rFonts w:ascii="Times New Roman" w:hAnsi="Times New Roman" w:cs="Times New Roman"/>
          <w:b/>
          <w:bCs/>
          <w:sz w:val="28"/>
          <w:szCs w:val="28"/>
          <w:lang w:val="en-US"/>
        </w:rPr>
      </w:pPr>
    </w:p>
    <w:p w14:paraId="01088B29" w14:textId="77777777" w:rsidR="00503020" w:rsidRDefault="00503020" w:rsidP="005F6154">
      <w:pPr>
        <w:jc w:val="center"/>
        <w:rPr>
          <w:rFonts w:ascii="Times New Roman" w:hAnsi="Times New Roman" w:cs="Times New Roman"/>
          <w:b/>
          <w:bCs/>
          <w:sz w:val="28"/>
          <w:szCs w:val="28"/>
          <w:lang w:val="en-US"/>
        </w:rPr>
      </w:pPr>
    </w:p>
    <w:p w14:paraId="5036196A" w14:textId="3B107295" w:rsidR="00D340F6" w:rsidRPr="005F6154" w:rsidRDefault="00D54796" w:rsidP="00503020">
      <w:pPr>
        <w:spacing w:line="480" w:lineRule="auto"/>
        <w:jc w:val="center"/>
        <w:rPr>
          <w:rFonts w:ascii="Times New Roman" w:hAnsi="Times New Roman" w:cs="Times New Roman"/>
          <w:b/>
          <w:bCs/>
          <w:sz w:val="28"/>
          <w:szCs w:val="28"/>
        </w:rPr>
      </w:pPr>
      <w:r w:rsidRPr="005F6154">
        <w:rPr>
          <w:rFonts w:ascii="Times New Roman" w:hAnsi="Times New Roman" w:cs="Times New Roman"/>
          <w:b/>
          <w:bCs/>
          <w:sz w:val="28"/>
          <w:szCs w:val="28"/>
          <w:lang w:val="en-US"/>
        </w:rPr>
        <w:t xml:space="preserve">Foreign Exchange Risk Management and </w:t>
      </w:r>
      <w:r w:rsidR="00C22D8F" w:rsidRPr="005F6154">
        <w:rPr>
          <w:rFonts w:ascii="Times New Roman" w:hAnsi="Times New Roman" w:cs="Times New Roman"/>
          <w:b/>
          <w:bCs/>
          <w:sz w:val="28"/>
          <w:szCs w:val="28"/>
          <w:lang w:val="en-US"/>
        </w:rPr>
        <w:t xml:space="preserve">Its Impact on </w:t>
      </w:r>
      <w:r w:rsidRPr="005F6154">
        <w:rPr>
          <w:rFonts w:ascii="Times New Roman" w:hAnsi="Times New Roman" w:cs="Times New Roman"/>
          <w:b/>
          <w:bCs/>
          <w:sz w:val="28"/>
          <w:szCs w:val="28"/>
          <w:lang w:val="en-US"/>
        </w:rPr>
        <w:t>Financial Performance</w:t>
      </w:r>
      <w:r w:rsidR="00D6367F" w:rsidRPr="005F6154">
        <w:rPr>
          <w:rFonts w:ascii="Times New Roman" w:hAnsi="Times New Roman" w:cs="Times New Roman"/>
          <w:b/>
          <w:bCs/>
          <w:sz w:val="28"/>
          <w:szCs w:val="28"/>
          <w:lang w:val="en-US"/>
        </w:rPr>
        <w:t xml:space="preserve"> in Indonesia Steel Industry</w:t>
      </w:r>
      <w:r w:rsidRPr="005F6154">
        <w:rPr>
          <w:rFonts w:ascii="Times New Roman" w:hAnsi="Times New Roman" w:cs="Times New Roman"/>
          <w:b/>
          <w:bCs/>
          <w:sz w:val="28"/>
          <w:szCs w:val="28"/>
          <w:lang w:val="en-US"/>
        </w:rPr>
        <w:t xml:space="preserve">: A Case Study of PT Krakatau </w:t>
      </w:r>
      <w:r w:rsidR="00C22D8F" w:rsidRPr="005F6154">
        <w:rPr>
          <w:rFonts w:ascii="Times New Roman" w:hAnsi="Times New Roman" w:cs="Times New Roman"/>
          <w:b/>
          <w:bCs/>
          <w:sz w:val="28"/>
          <w:szCs w:val="28"/>
          <w:lang w:val="en-US"/>
        </w:rPr>
        <w:t>Steel (Persero) Tbk</w:t>
      </w:r>
    </w:p>
    <w:p w14:paraId="62B7DFDF" w14:textId="77777777" w:rsidR="00503020" w:rsidRDefault="00503020" w:rsidP="005F6154">
      <w:pPr>
        <w:jc w:val="both"/>
        <w:rPr>
          <w:rFonts w:ascii="Times New Roman" w:hAnsi="Times New Roman" w:cs="Times New Roman"/>
        </w:rPr>
      </w:pPr>
    </w:p>
    <w:p w14:paraId="3D94472B" w14:textId="77777777" w:rsidR="00503020" w:rsidRDefault="00503020" w:rsidP="005F6154">
      <w:pPr>
        <w:jc w:val="both"/>
        <w:rPr>
          <w:rFonts w:ascii="Times New Roman" w:hAnsi="Times New Roman" w:cs="Times New Roman"/>
        </w:rPr>
      </w:pPr>
    </w:p>
    <w:p w14:paraId="7C37C650" w14:textId="77777777" w:rsidR="00503020" w:rsidRDefault="00503020" w:rsidP="005F6154">
      <w:pPr>
        <w:jc w:val="both"/>
        <w:rPr>
          <w:rFonts w:ascii="Times New Roman" w:hAnsi="Times New Roman" w:cs="Times New Roman"/>
        </w:rPr>
      </w:pPr>
    </w:p>
    <w:p w14:paraId="15F6B55E" w14:textId="77777777" w:rsidR="00503020" w:rsidRDefault="00503020" w:rsidP="005F6154">
      <w:pPr>
        <w:jc w:val="both"/>
        <w:rPr>
          <w:rFonts w:ascii="Times New Roman" w:hAnsi="Times New Roman" w:cs="Times New Roman"/>
        </w:rPr>
      </w:pPr>
    </w:p>
    <w:p w14:paraId="5F243598" w14:textId="77777777" w:rsidR="00503020" w:rsidRPr="005F6154" w:rsidRDefault="00503020" w:rsidP="005F6154">
      <w:pPr>
        <w:jc w:val="both"/>
        <w:rPr>
          <w:rFonts w:ascii="Times New Roman" w:hAnsi="Times New Roman" w:cs="Times New Roman"/>
        </w:rPr>
      </w:pPr>
    </w:p>
    <w:p w14:paraId="1724B8C0" w14:textId="49B5CA1A" w:rsidR="00D340F6" w:rsidRPr="00503020" w:rsidRDefault="00D340F6" w:rsidP="00503020">
      <w:pPr>
        <w:spacing w:after="0" w:line="480" w:lineRule="auto"/>
        <w:jc w:val="center"/>
        <w:rPr>
          <w:rFonts w:ascii="Times New Roman" w:eastAsiaTheme="majorEastAsia" w:hAnsi="Times New Roman" w:cs="Times New Roman"/>
          <w:b/>
          <w:bCs/>
          <w:sz w:val="28"/>
          <w:szCs w:val="28"/>
        </w:rPr>
      </w:pPr>
      <w:r w:rsidRPr="00503020">
        <w:rPr>
          <w:rFonts w:ascii="Times New Roman" w:eastAsiaTheme="majorEastAsia" w:hAnsi="Times New Roman" w:cs="Times New Roman"/>
          <w:b/>
          <w:bCs/>
          <w:sz w:val="28"/>
          <w:szCs w:val="28"/>
        </w:rPr>
        <w:t>Astragina, Kalapie</w:t>
      </w:r>
    </w:p>
    <w:p w14:paraId="3ABAA44B" w14:textId="090CFFE5" w:rsidR="00D340F6" w:rsidRPr="00503020" w:rsidRDefault="00D340F6" w:rsidP="00503020">
      <w:pPr>
        <w:spacing w:after="0" w:line="480" w:lineRule="auto"/>
        <w:jc w:val="center"/>
        <w:rPr>
          <w:rFonts w:ascii="Times New Roman" w:eastAsiaTheme="majorEastAsia" w:hAnsi="Times New Roman" w:cs="Times New Roman"/>
          <w:sz w:val="28"/>
          <w:szCs w:val="28"/>
        </w:rPr>
      </w:pPr>
      <w:r w:rsidRPr="00503020">
        <w:rPr>
          <w:rFonts w:ascii="Times New Roman" w:eastAsiaTheme="majorEastAsia" w:hAnsi="Times New Roman" w:cs="Times New Roman"/>
          <w:sz w:val="28"/>
          <w:szCs w:val="28"/>
        </w:rPr>
        <w:t>M.S. In Management in the Steel Industry</w:t>
      </w:r>
    </w:p>
    <w:p w14:paraId="6BEDC9E9" w14:textId="53E39FC6" w:rsidR="00D340F6" w:rsidRPr="00503020" w:rsidRDefault="00D340F6" w:rsidP="00503020">
      <w:pPr>
        <w:spacing w:after="0" w:line="480" w:lineRule="auto"/>
        <w:jc w:val="center"/>
        <w:rPr>
          <w:rFonts w:ascii="Times New Roman" w:eastAsiaTheme="majorEastAsia" w:hAnsi="Times New Roman" w:cs="Times New Roman"/>
          <w:sz w:val="28"/>
          <w:szCs w:val="28"/>
        </w:rPr>
      </w:pPr>
      <w:r w:rsidRPr="00503020">
        <w:rPr>
          <w:rFonts w:ascii="Times New Roman" w:eastAsiaTheme="majorEastAsia" w:hAnsi="Times New Roman" w:cs="Times New Roman"/>
          <w:sz w:val="28"/>
          <w:szCs w:val="28"/>
        </w:rPr>
        <w:t>Pohang University of Science and Technology</w:t>
      </w:r>
    </w:p>
    <w:p w14:paraId="543C01D3" w14:textId="10CEF146" w:rsidR="00D340F6" w:rsidRPr="00503020" w:rsidRDefault="00D340F6" w:rsidP="00503020">
      <w:pPr>
        <w:spacing w:after="0" w:line="480" w:lineRule="auto"/>
        <w:jc w:val="center"/>
        <w:rPr>
          <w:rFonts w:ascii="Times New Roman" w:eastAsiaTheme="majorEastAsia" w:hAnsi="Times New Roman" w:cs="Times New Roman"/>
          <w:sz w:val="28"/>
          <w:szCs w:val="28"/>
        </w:rPr>
      </w:pPr>
      <w:r w:rsidRPr="00503020">
        <w:rPr>
          <w:rFonts w:ascii="Times New Roman" w:eastAsiaTheme="majorEastAsia" w:hAnsi="Times New Roman" w:cs="Times New Roman"/>
          <w:sz w:val="28"/>
          <w:szCs w:val="28"/>
        </w:rPr>
        <w:t xml:space="preserve">e-mail : </w:t>
      </w:r>
      <w:hyperlink r:id="rId5" w:history="1">
        <w:r w:rsidRPr="00503020">
          <w:rPr>
            <w:rStyle w:val="Hyperlink"/>
            <w:rFonts w:ascii="Times New Roman" w:eastAsiaTheme="majorEastAsia" w:hAnsi="Times New Roman" w:cs="Times New Roman"/>
            <w:sz w:val="28"/>
            <w:szCs w:val="28"/>
          </w:rPr>
          <w:t>kalapieka@postech.ac.kr</w:t>
        </w:r>
      </w:hyperlink>
    </w:p>
    <w:p w14:paraId="3BF24A70" w14:textId="77777777" w:rsidR="00D340F6" w:rsidRDefault="00D340F6" w:rsidP="005F6154">
      <w:pPr>
        <w:spacing w:after="0"/>
        <w:jc w:val="both"/>
        <w:rPr>
          <w:rFonts w:ascii="Times New Roman" w:eastAsiaTheme="majorEastAsia" w:hAnsi="Times New Roman" w:cs="Times New Roman"/>
        </w:rPr>
      </w:pPr>
    </w:p>
    <w:p w14:paraId="2599CA18" w14:textId="77777777" w:rsidR="00503020" w:rsidRDefault="00503020" w:rsidP="005F6154">
      <w:pPr>
        <w:spacing w:after="0"/>
        <w:jc w:val="both"/>
        <w:rPr>
          <w:rFonts w:ascii="Times New Roman" w:eastAsiaTheme="majorEastAsia" w:hAnsi="Times New Roman" w:cs="Times New Roman"/>
        </w:rPr>
      </w:pPr>
    </w:p>
    <w:p w14:paraId="256814F4" w14:textId="77777777" w:rsidR="00503020" w:rsidRDefault="00503020" w:rsidP="005F6154">
      <w:pPr>
        <w:spacing w:after="0"/>
        <w:jc w:val="both"/>
        <w:rPr>
          <w:rFonts w:ascii="Times New Roman" w:eastAsiaTheme="majorEastAsia" w:hAnsi="Times New Roman" w:cs="Times New Roman"/>
        </w:rPr>
      </w:pPr>
    </w:p>
    <w:p w14:paraId="6FBE1F38" w14:textId="77777777" w:rsidR="00503020" w:rsidRDefault="00503020" w:rsidP="005F6154">
      <w:pPr>
        <w:spacing w:after="0"/>
        <w:jc w:val="both"/>
        <w:rPr>
          <w:rFonts w:ascii="Times New Roman" w:eastAsiaTheme="majorEastAsia" w:hAnsi="Times New Roman" w:cs="Times New Roman"/>
        </w:rPr>
      </w:pPr>
    </w:p>
    <w:p w14:paraId="5886BC01" w14:textId="77777777" w:rsidR="00503020" w:rsidRDefault="00503020" w:rsidP="005F6154">
      <w:pPr>
        <w:spacing w:after="0"/>
        <w:jc w:val="both"/>
        <w:rPr>
          <w:rFonts w:ascii="Times New Roman" w:eastAsiaTheme="majorEastAsia" w:hAnsi="Times New Roman" w:cs="Times New Roman"/>
        </w:rPr>
      </w:pPr>
    </w:p>
    <w:p w14:paraId="1A608434" w14:textId="77777777" w:rsidR="00503020" w:rsidRDefault="00503020" w:rsidP="005F6154">
      <w:pPr>
        <w:spacing w:after="0"/>
        <w:jc w:val="both"/>
        <w:rPr>
          <w:rFonts w:ascii="Times New Roman" w:eastAsiaTheme="majorEastAsia" w:hAnsi="Times New Roman" w:cs="Times New Roman"/>
        </w:rPr>
      </w:pPr>
    </w:p>
    <w:p w14:paraId="4531187C" w14:textId="77777777" w:rsidR="00503020" w:rsidRDefault="00503020" w:rsidP="005F6154">
      <w:pPr>
        <w:spacing w:after="0"/>
        <w:jc w:val="both"/>
        <w:rPr>
          <w:rFonts w:ascii="Times New Roman" w:eastAsiaTheme="majorEastAsia" w:hAnsi="Times New Roman" w:cs="Times New Roman"/>
        </w:rPr>
      </w:pPr>
    </w:p>
    <w:p w14:paraId="17E73E86" w14:textId="77777777" w:rsidR="00503020" w:rsidRDefault="00503020" w:rsidP="005F6154">
      <w:pPr>
        <w:spacing w:after="0"/>
        <w:jc w:val="both"/>
        <w:rPr>
          <w:rFonts w:ascii="Times New Roman" w:eastAsiaTheme="majorEastAsia" w:hAnsi="Times New Roman" w:cs="Times New Roman"/>
        </w:rPr>
      </w:pPr>
    </w:p>
    <w:p w14:paraId="12716CAC" w14:textId="77777777" w:rsidR="00503020" w:rsidRDefault="00503020" w:rsidP="005F6154">
      <w:pPr>
        <w:spacing w:after="0"/>
        <w:jc w:val="both"/>
        <w:rPr>
          <w:rFonts w:ascii="Times New Roman" w:eastAsiaTheme="majorEastAsia" w:hAnsi="Times New Roman" w:cs="Times New Roman"/>
        </w:rPr>
      </w:pPr>
    </w:p>
    <w:p w14:paraId="7BFC583D" w14:textId="77777777" w:rsidR="00503020" w:rsidRDefault="00503020" w:rsidP="005F6154">
      <w:pPr>
        <w:spacing w:after="0"/>
        <w:jc w:val="both"/>
        <w:rPr>
          <w:rFonts w:ascii="Times New Roman" w:eastAsiaTheme="majorEastAsia" w:hAnsi="Times New Roman" w:cs="Times New Roman"/>
        </w:rPr>
      </w:pPr>
    </w:p>
    <w:p w14:paraId="0ADE9ECB" w14:textId="77777777" w:rsidR="00503020" w:rsidRDefault="00503020" w:rsidP="005F6154">
      <w:pPr>
        <w:spacing w:after="0"/>
        <w:jc w:val="both"/>
        <w:rPr>
          <w:rFonts w:ascii="Times New Roman" w:eastAsiaTheme="majorEastAsia" w:hAnsi="Times New Roman" w:cs="Times New Roman"/>
        </w:rPr>
      </w:pPr>
    </w:p>
    <w:p w14:paraId="2559926D" w14:textId="77777777" w:rsidR="00503020" w:rsidRDefault="00503020" w:rsidP="005F6154">
      <w:pPr>
        <w:spacing w:after="0"/>
        <w:jc w:val="both"/>
        <w:rPr>
          <w:rFonts w:ascii="Times New Roman" w:eastAsiaTheme="majorEastAsia" w:hAnsi="Times New Roman" w:cs="Times New Roman"/>
        </w:rPr>
      </w:pPr>
    </w:p>
    <w:p w14:paraId="271525CF" w14:textId="77777777" w:rsidR="00503020" w:rsidRDefault="00503020" w:rsidP="005F6154">
      <w:pPr>
        <w:spacing w:after="0"/>
        <w:jc w:val="both"/>
        <w:rPr>
          <w:rFonts w:ascii="Times New Roman" w:eastAsiaTheme="majorEastAsia" w:hAnsi="Times New Roman" w:cs="Times New Roman"/>
        </w:rPr>
      </w:pPr>
    </w:p>
    <w:p w14:paraId="4DD6AA48" w14:textId="461CCF9F" w:rsidR="00503020" w:rsidRDefault="00503020" w:rsidP="00503020">
      <w:pPr>
        <w:spacing w:after="0"/>
        <w:jc w:val="right"/>
        <w:rPr>
          <w:rFonts w:ascii="Times New Roman" w:eastAsiaTheme="majorEastAsia" w:hAnsi="Times New Roman" w:cs="Times New Roman"/>
        </w:rPr>
      </w:pPr>
      <w:r>
        <w:rPr>
          <w:rFonts w:hint="eastAsia"/>
          <w:noProof/>
        </w:rPr>
        <w:drawing>
          <wp:inline distT="0" distB="0" distL="0" distR="0" wp14:anchorId="2F3FAE57" wp14:editId="3910061E">
            <wp:extent cx="2778760" cy="235822"/>
            <wp:effectExtent l="0" t="0" r="2540" b="0"/>
            <wp:docPr id="1807738287"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738287" name="Graphic 1807738287"/>
                    <pic:cNvPicPr/>
                  </pic:nvPicPr>
                  <pic:blipFill>
                    <a:blip r:embed="rId6">
                      <a:extLst>
                        <a:ext uri="{96DAC541-7B7A-43D3-8B79-37D633B846F1}">
                          <asvg:svgBlip xmlns:asvg="http://schemas.microsoft.com/office/drawing/2016/SVG/main" r:embed="rId7"/>
                        </a:ext>
                      </a:extLst>
                    </a:blip>
                    <a:stretch>
                      <a:fillRect/>
                    </a:stretch>
                  </pic:blipFill>
                  <pic:spPr>
                    <a:xfrm>
                      <a:off x="0" y="0"/>
                      <a:ext cx="2819878" cy="239312"/>
                    </a:xfrm>
                    <a:prstGeom prst="rect">
                      <a:avLst/>
                    </a:prstGeom>
                  </pic:spPr>
                </pic:pic>
              </a:graphicData>
            </a:graphic>
          </wp:inline>
        </w:drawing>
      </w:r>
    </w:p>
    <w:p w14:paraId="0371BCAD" w14:textId="77777777" w:rsidR="00503020" w:rsidRDefault="00503020" w:rsidP="005F6154">
      <w:pPr>
        <w:spacing w:after="0"/>
        <w:jc w:val="both"/>
        <w:rPr>
          <w:rFonts w:ascii="Times New Roman" w:eastAsiaTheme="majorEastAsia" w:hAnsi="Times New Roman" w:cs="Times New Roman"/>
        </w:rPr>
      </w:pPr>
    </w:p>
    <w:p w14:paraId="2AA4D07B" w14:textId="77777777" w:rsidR="00503020" w:rsidRPr="005F6154" w:rsidRDefault="00503020" w:rsidP="005F6154">
      <w:pPr>
        <w:spacing w:after="0"/>
        <w:jc w:val="both"/>
        <w:rPr>
          <w:rFonts w:ascii="Times New Roman" w:eastAsiaTheme="majorEastAsia" w:hAnsi="Times New Roman" w:cs="Times New Roman"/>
        </w:rPr>
      </w:pPr>
    </w:p>
    <w:p w14:paraId="3F835009" w14:textId="01CE6EAF" w:rsidR="00D340F6" w:rsidRDefault="00503020" w:rsidP="005F6154">
      <w:pPr>
        <w:pStyle w:val="ListParagraph"/>
        <w:numPr>
          <w:ilvl w:val="0"/>
          <w:numId w:val="1"/>
        </w:numPr>
        <w:spacing w:after="0"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lastRenderedPageBreak/>
        <w:t>Executive Summary</w:t>
      </w:r>
    </w:p>
    <w:p w14:paraId="23943C6F" w14:textId="1EFD2937" w:rsidR="00503020" w:rsidRDefault="00503020" w:rsidP="005F6154">
      <w:pPr>
        <w:pStyle w:val="ListParagraph"/>
        <w:numPr>
          <w:ilvl w:val="0"/>
          <w:numId w:val="1"/>
        </w:numPr>
        <w:spacing w:after="0"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Introduction</w:t>
      </w:r>
    </w:p>
    <w:p w14:paraId="2A6537C2" w14:textId="484C0411" w:rsidR="00A72354" w:rsidRPr="00A72354" w:rsidRDefault="00A72354" w:rsidP="00A72354">
      <w:pPr>
        <w:pStyle w:val="ListParagraph"/>
        <w:numPr>
          <w:ilvl w:val="1"/>
          <w:numId w:val="1"/>
        </w:numPr>
        <w:spacing w:after="0" w:line="480" w:lineRule="auto"/>
        <w:jc w:val="both"/>
        <w:rPr>
          <w:rFonts w:ascii="Times New Roman" w:eastAsiaTheme="majorEastAsia" w:hAnsi="Times New Roman" w:cs="Times New Roman"/>
          <w:b/>
          <w:bCs/>
          <w:sz w:val="26"/>
          <w:szCs w:val="26"/>
        </w:rPr>
      </w:pPr>
      <w:r w:rsidRPr="00A72354">
        <w:rPr>
          <w:rFonts w:ascii="Times New Roman" w:eastAsiaTheme="majorEastAsia" w:hAnsi="Times New Roman" w:cs="Times New Roman"/>
          <w:b/>
          <w:bCs/>
          <w:sz w:val="26"/>
          <w:szCs w:val="26"/>
        </w:rPr>
        <w:t xml:space="preserve">Background </w:t>
      </w:r>
      <w:r>
        <w:rPr>
          <w:rFonts w:ascii="Times New Roman" w:eastAsiaTheme="majorEastAsia" w:hAnsi="Times New Roman" w:cs="Times New Roman"/>
          <w:b/>
          <w:bCs/>
          <w:sz w:val="26"/>
          <w:szCs w:val="26"/>
        </w:rPr>
        <w:t>and Rationale</w:t>
      </w:r>
    </w:p>
    <w:p w14:paraId="5FA31D2A" w14:textId="26422AE8" w:rsidR="00C14C7C" w:rsidRPr="003F3FEB" w:rsidRDefault="00C14C7C" w:rsidP="003F3FEB">
      <w:pPr>
        <w:spacing w:after="0" w:line="480" w:lineRule="auto"/>
        <w:ind w:left="360" w:firstLine="360"/>
        <w:jc w:val="both"/>
        <w:rPr>
          <w:rFonts w:ascii="Times New Roman" w:hAnsi="Times New Roman" w:cs="Times New Roman"/>
        </w:rPr>
      </w:pPr>
      <w:r w:rsidRPr="003F3FEB">
        <w:rPr>
          <w:rFonts w:ascii="Times New Roman" w:hAnsi="Times New Roman" w:cs="Times New Roman"/>
        </w:rPr>
        <w:t xml:space="preserve">The steel industry serves as the backbone of key sectors such as infrastructure, construction, manufacturing, and automotive, playing a critical role in global economic development. In developing countries like Indonesia, the steel industry is not only a fundamental pillar of national development but also a strategic sector targeted for industrial growth and downstream metal processing under national policy initiatives such as </w:t>
      </w:r>
      <w:r w:rsidRPr="003F3FEB">
        <w:rPr>
          <w:rFonts w:ascii="Times New Roman" w:hAnsi="Times New Roman" w:cs="Times New Roman"/>
          <w:i/>
          <w:iCs/>
        </w:rPr>
        <w:t>Making Indonesia 4.0</w:t>
      </w:r>
      <w:r w:rsidRPr="003F3FEB">
        <w:rPr>
          <w:rFonts w:ascii="Times New Roman" w:hAnsi="Times New Roman" w:cs="Times New Roman"/>
        </w:rPr>
        <w:t xml:space="preserve"> and the </w:t>
      </w:r>
      <w:r w:rsidRPr="003F3FEB">
        <w:rPr>
          <w:rFonts w:ascii="Times New Roman" w:hAnsi="Times New Roman" w:cs="Times New Roman"/>
          <w:i/>
          <w:iCs/>
        </w:rPr>
        <w:t>Down</w:t>
      </w:r>
      <w:r w:rsidR="00766913">
        <w:rPr>
          <w:rFonts w:ascii="Times New Roman" w:hAnsi="Times New Roman" w:cs="Times New Roman"/>
          <w:i/>
          <w:iCs/>
        </w:rPr>
        <w:t>-</w:t>
      </w:r>
      <w:r w:rsidRPr="003F3FEB">
        <w:rPr>
          <w:rFonts w:ascii="Times New Roman" w:hAnsi="Times New Roman" w:cs="Times New Roman"/>
          <w:i/>
          <w:iCs/>
        </w:rPr>
        <w:t>streaming Minerals Policy</w:t>
      </w:r>
      <w:r w:rsidRPr="003F3FEB">
        <w:rPr>
          <w:rFonts w:ascii="Times New Roman" w:hAnsi="Times New Roman" w:cs="Times New Roman"/>
        </w:rPr>
        <w:t xml:space="preserve"> </w:t>
      </w:r>
      <w:r w:rsidR="008B7782" w:rsidRPr="008B7782">
        <w:t>(Institute for Essential Services Reform [IESR], 2025)</w:t>
      </w:r>
      <w:r w:rsidRPr="003F3FEB">
        <w:rPr>
          <w:rFonts w:ascii="Times New Roman" w:hAnsi="Times New Roman" w:cs="Times New Roman"/>
        </w:rPr>
        <w:t>. As a result, the domestic demand for steel is projected to increase significantly in the coming decade, driven by large-scale infrastructure projects and rising urbanization</w:t>
      </w:r>
      <w:r w:rsidR="00635B02">
        <w:rPr>
          <w:rFonts w:ascii="Times New Roman" w:hAnsi="Times New Roman" w:cs="Times New Roman"/>
        </w:rPr>
        <w:t xml:space="preserve">, </w:t>
      </w:r>
      <w:r w:rsidR="00635B02" w:rsidRPr="00635B02">
        <w:rPr>
          <w:rFonts w:ascii="Times New Roman" w:hAnsi="Times New Roman" w:cs="Times New Roman"/>
        </w:rPr>
        <w:t>Indonesian Iron &amp; Steel Industry Association (IISIA) noted that Indonesian steel production has shown a consistent upward trend.</w:t>
      </w:r>
      <w:r w:rsidRPr="003F3FEB">
        <w:rPr>
          <w:rFonts w:ascii="Times New Roman" w:hAnsi="Times New Roman" w:cs="Times New Roman"/>
        </w:rPr>
        <w:t xml:space="preserve"> </w:t>
      </w:r>
      <w:r w:rsidR="00635B02" w:rsidRPr="009C1DF3">
        <w:rPr>
          <w:rFonts w:ascii="Times New Roman" w:hAnsi="Times New Roman" w:cs="Times New Roman"/>
        </w:rPr>
        <w:t>(Kredit Rating Indonesia, 2024)</w:t>
      </w:r>
      <w:r w:rsidRPr="003F3FEB">
        <w:rPr>
          <w:rFonts w:ascii="Times New Roman" w:hAnsi="Times New Roman" w:cs="Times New Roman"/>
        </w:rPr>
        <w:t>.</w:t>
      </w:r>
    </w:p>
    <w:p w14:paraId="0FA2AE40" w14:textId="453E8FA4" w:rsidR="00C14C7C" w:rsidRPr="003F3FEB" w:rsidRDefault="00C14C7C" w:rsidP="003F3FEB">
      <w:pPr>
        <w:spacing w:after="0" w:line="480" w:lineRule="auto"/>
        <w:ind w:left="360" w:firstLine="360"/>
        <w:jc w:val="both"/>
        <w:rPr>
          <w:rFonts w:ascii="Times New Roman" w:hAnsi="Times New Roman" w:cs="Times New Roman"/>
        </w:rPr>
      </w:pPr>
      <w:r w:rsidRPr="003F3FEB">
        <w:rPr>
          <w:rFonts w:ascii="Times New Roman" w:hAnsi="Times New Roman" w:cs="Times New Roman"/>
        </w:rPr>
        <w:t xml:space="preserve">Despite this growing domestic demand, </w:t>
      </w:r>
      <w:r w:rsidR="009B1838">
        <w:rPr>
          <w:rFonts w:ascii="Times New Roman" w:hAnsi="Times New Roman" w:cs="Times New Roman"/>
        </w:rPr>
        <w:t>the iron</w:t>
      </w:r>
      <w:r w:rsidR="009B1838" w:rsidRPr="009B1838">
        <w:rPr>
          <w:rFonts w:ascii="Times New Roman" w:hAnsi="Times New Roman" w:cs="Times New Roman"/>
        </w:rPr>
        <w:t xml:space="preserve"> </w:t>
      </w:r>
      <w:r w:rsidR="009B1838">
        <w:rPr>
          <w:rFonts w:ascii="Times New Roman" w:hAnsi="Times New Roman" w:cs="Times New Roman"/>
        </w:rPr>
        <w:t>production</w:t>
      </w:r>
      <w:r w:rsidR="009B1838" w:rsidRPr="009B1838">
        <w:rPr>
          <w:rFonts w:ascii="Times New Roman" w:hAnsi="Times New Roman" w:cs="Times New Roman"/>
        </w:rPr>
        <w:t xml:space="preserve"> in Indonesia is </w:t>
      </w:r>
      <w:r w:rsidR="009B1838">
        <w:rPr>
          <w:rFonts w:ascii="Times New Roman" w:hAnsi="Times New Roman" w:cs="Times New Roman"/>
        </w:rPr>
        <w:t>lower than its demand</w:t>
      </w:r>
      <w:r w:rsidR="009B1838" w:rsidRPr="009B1838">
        <w:rPr>
          <w:rFonts w:ascii="Times New Roman" w:hAnsi="Times New Roman" w:cs="Times New Roman"/>
        </w:rPr>
        <w:t>. Therefore, Indonesia has to import to fulfill</w:t>
      </w:r>
      <w:r w:rsidR="00B46F07">
        <w:rPr>
          <w:rFonts w:ascii="Times New Roman" w:hAnsi="Times New Roman" w:cs="Times New Roman"/>
        </w:rPr>
        <w:t>ing</w:t>
      </w:r>
      <w:r w:rsidR="009B1838" w:rsidRPr="009B1838">
        <w:rPr>
          <w:rFonts w:ascii="Times New Roman" w:hAnsi="Times New Roman" w:cs="Times New Roman"/>
        </w:rPr>
        <w:t xml:space="preserve"> this high demand. It is because the lack of technology in Indonesia to produce</w:t>
      </w:r>
      <w:r w:rsidR="00B46F07">
        <w:rPr>
          <w:rFonts w:ascii="Times New Roman" w:hAnsi="Times New Roman" w:cs="Times New Roman"/>
        </w:rPr>
        <w:t xml:space="preserve"> </w:t>
      </w:r>
      <w:r w:rsidR="00B46F07" w:rsidRPr="00B46F07">
        <w:rPr>
          <w:rFonts w:ascii="Times New Roman" w:hAnsi="Times New Roman" w:cs="Times New Roman"/>
        </w:rPr>
        <w:t>(Sudipta &amp; Wiryono, 2012)</w:t>
      </w:r>
      <w:r w:rsidR="009B1838">
        <w:rPr>
          <w:rFonts w:ascii="Times New Roman" w:hAnsi="Times New Roman" w:cs="Times New Roman"/>
        </w:rPr>
        <w:t xml:space="preserve">. </w:t>
      </w:r>
      <w:r w:rsidRPr="003F3FEB">
        <w:rPr>
          <w:rFonts w:ascii="Times New Roman" w:hAnsi="Times New Roman" w:cs="Times New Roman"/>
        </w:rPr>
        <w:t>Indonesia’s steel sector remains heavily reliant on imported raw materials, capital equipment, and advanced technology</w:t>
      </w:r>
      <w:r w:rsidR="009B1838">
        <w:rPr>
          <w:rFonts w:ascii="Times New Roman" w:hAnsi="Times New Roman" w:cs="Times New Roman"/>
        </w:rPr>
        <w:t xml:space="preserve"> </w:t>
      </w:r>
      <w:r w:rsidRPr="003F3FEB">
        <w:rPr>
          <w:rFonts w:ascii="Times New Roman" w:hAnsi="Times New Roman" w:cs="Times New Roman"/>
        </w:rPr>
        <w:t>most of which are priced and transacted in foreign currencies, predominantly the U.S. dollar (USD)</w:t>
      </w:r>
      <w:r w:rsidR="009C1DF3">
        <w:rPr>
          <w:rFonts w:ascii="Times New Roman" w:hAnsi="Times New Roman" w:cs="Times New Roman"/>
        </w:rPr>
        <w:t xml:space="preserve"> </w:t>
      </w:r>
      <w:r w:rsidR="009C1DF3" w:rsidRPr="009C1DF3">
        <w:rPr>
          <w:rFonts w:ascii="Times New Roman" w:hAnsi="Times New Roman" w:cs="Times New Roman"/>
        </w:rPr>
        <w:t>(Kredit Rating Indonesia, 2024)</w:t>
      </w:r>
      <w:r w:rsidRPr="003F3FEB">
        <w:rPr>
          <w:rFonts w:ascii="Times New Roman" w:hAnsi="Times New Roman" w:cs="Times New Roman"/>
        </w:rPr>
        <w:t xml:space="preserve">. In contrast, </w:t>
      </w:r>
      <w:r w:rsidR="0013198C" w:rsidRPr="0013198C">
        <w:rPr>
          <w:rFonts w:ascii="Times New Roman" w:hAnsi="Times New Roman" w:cs="Times New Roman"/>
        </w:rPr>
        <w:t xml:space="preserve">following the </w:t>
      </w:r>
      <w:r w:rsidR="0013198C">
        <w:rPr>
          <w:rFonts w:ascii="Times New Roman" w:hAnsi="Times New Roman" w:cs="Times New Roman"/>
        </w:rPr>
        <w:t xml:space="preserve">steel </w:t>
      </w:r>
      <w:r w:rsidR="0013198C" w:rsidRPr="0013198C">
        <w:rPr>
          <w:rFonts w:ascii="Times New Roman" w:hAnsi="Times New Roman" w:cs="Times New Roman"/>
        </w:rPr>
        <w:t>consumption growth trend during 2020 to 2023 periods</w:t>
      </w:r>
      <w:r w:rsidR="0013198C">
        <w:rPr>
          <w:rFonts w:ascii="Times New Roman" w:hAnsi="Times New Roman" w:cs="Times New Roman"/>
        </w:rPr>
        <w:t>,</w:t>
      </w:r>
      <w:r w:rsidR="0013198C" w:rsidRPr="0013198C">
        <w:rPr>
          <w:rFonts w:ascii="Times New Roman" w:hAnsi="Times New Roman" w:cs="Times New Roman"/>
        </w:rPr>
        <w:t xml:space="preserve"> </w:t>
      </w:r>
      <w:r w:rsidRPr="003F3FEB">
        <w:rPr>
          <w:rFonts w:ascii="Times New Roman" w:hAnsi="Times New Roman" w:cs="Times New Roman"/>
        </w:rPr>
        <w:t>the majority of revenue generated by Indonesian steel producers comes from local sales and is denominated in the Indonesian Rupiah (IDR). This creates a structural foreign exchange (forex) mismatch between cost outflows and revenue inflows, posing significant financial risks, especially during periods of sharp IDR/USD fluctuations</w:t>
      </w:r>
      <w:r w:rsidR="003329D7">
        <w:rPr>
          <w:rFonts w:ascii="Times New Roman" w:hAnsi="Times New Roman" w:cs="Times New Roman"/>
        </w:rPr>
        <w:t xml:space="preserve">. </w:t>
      </w:r>
      <w:r w:rsidR="003329D7" w:rsidRPr="003329D7">
        <w:rPr>
          <w:rFonts w:ascii="Times New Roman" w:hAnsi="Times New Roman" w:cs="Times New Roman"/>
        </w:rPr>
        <w:t xml:space="preserve">The uncertainty introduced by </w:t>
      </w:r>
      <w:r w:rsidR="003329D7" w:rsidRPr="003329D7">
        <w:rPr>
          <w:rFonts w:ascii="Times New Roman" w:hAnsi="Times New Roman" w:cs="Times New Roman"/>
          <w:i/>
          <w:iCs/>
        </w:rPr>
        <w:t xml:space="preserve">exchange rate volatility </w:t>
      </w:r>
      <w:r w:rsidR="003329D7" w:rsidRPr="003329D7">
        <w:rPr>
          <w:rFonts w:ascii="Times New Roman" w:hAnsi="Times New Roman" w:cs="Times New Roman"/>
        </w:rPr>
        <w:t xml:space="preserve">can adversely impact profitability, especially for companies </w:t>
      </w:r>
      <w:r w:rsidR="003329D7" w:rsidRPr="003329D7">
        <w:rPr>
          <w:rFonts w:ascii="Times New Roman" w:hAnsi="Times New Roman" w:cs="Times New Roman"/>
        </w:rPr>
        <w:lastRenderedPageBreak/>
        <w:t>with significant exposure to international transactions (Bambang et al., 2018; Chen et al., 2016; Sufandi &amp; Rahayu, 2019; Zayed et al., 2021).</w:t>
      </w:r>
    </w:p>
    <w:p w14:paraId="6F03867E" w14:textId="149E4087" w:rsidR="00C14C7C" w:rsidRPr="003F3FEB" w:rsidRDefault="00C14C7C" w:rsidP="0047652B">
      <w:pPr>
        <w:spacing w:after="0" w:line="480" w:lineRule="auto"/>
        <w:ind w:left="360" w:firstLine="360"/>
        <w:jc w:val="both"/>
        <w:rPr>
          <w:rFonts w:ascii="Times New Roman" w:hAnsi="Times New Roman" w:cs="Times New Roman"/>
        </w:rPr>
      </w:pPr>
      <w:r w:rsidRPr="003F3FEB">
        <w:rPr>
          <w:rFonts w:ascii="Times New Roman" w:hAnsi="Times New Roman" w:cs="Times New Roman"/>
        </w:rPr>
        <w:t xml:space="preserve">This forex risk is particularly pronounced for PT Krakatau Steel (Persero) Tbk (“Krakatau Steel”), one of Indonesia’s largest state-owned integrated steel manufacturers. Headquartered in Cilegon, Banten, and listed on the Indonesia Stock Exchange (IDX: KRAS), the company holds a central role in the nation’s industrial ecosystem. </w:t>
      </w:r>
      <w:r w:rsidR="0047652B" w:rsidRPr="0047652B">
        <w:rPr>
          <w:rFonts w:ascii="Times New Roman" w:hAnsi="Times New Roman" w:cs="Times New Roman"/>
        </w:rPr>
        <w:t>PT Krakatau Steel (Persero) Tbk (KRAS) accounted for approximately 23% of Indonesian steel production in</w:t>
      </w:r>
      <w:r w:rsidR="0047652B">
        <w:rPr>
          <w:rFonts w:ascii="Times New Roman" w:hAnsi="Times New Roman" w:cs="Times New Roman"/>
        </w:rPr>
        <w:t xml:space="preserve"> </w:t>
      </w:r>
      <w:r w:rsidR="0047652B" w:rsidRPr="0047652B">
        <w:rPr>
          <w:rFonts w:ascii="Times New Roman" w:hAnsi="Times New Roman" w:cs="Times New Roman"/>
        </w:rPr>
        <w:t>average during 2019 to 2022 periods. KRAS’ steel production volume has generally increased during 2019</w:t>
      </w:r>
      <w:r w:rsidR="0047652B">
        <w:rPr>
          <w:rFonts w:ascii="Times New Roman" w:hAnsi="Times New Roman" w:cs="Times New Roman"/>
        </w:rPr>
        <w:t xml:space="preserve"> </w:t>
      </w:r>
      <w:r w:rsidR="0047652B" w:rsidRPr="0047652B">
        <w:rPr>
          <w:rFonts w:ascii="Times New Roman" w:hAnsi="Times New Roman" w:cs="Times New Roman"/>
        </w:rPr>
        <w:t>to 2021 periods which is in line with Indonesian steel production volume trend</w:t>
      </w:r>
      <w:r w:rsidR="0047652B">
        <w:rPr>
          <w:rFonts w:ascii="Times New Roman" w:hAnsi="Times New Roman" w:cs="Times New Roman"/>
        </w:rPr>
        <w:t xml:space="preserve"> </w:t>
      </w:r>
      <w:r w:rsidR="0047652B" w:rsidRPr="009C1DF3">
        <w:rPr>
          <w:rFonts w:ascii="Times New Roman" w:hAnsi="Times New Roman" w:cs="Times New Roman"/>
        </w:rPr>
        <w:t>(Kredit Rating Indonesia, 2024)</w:t>
      </w:r>
      <w:r w:rsidR="0047652B">
        <w:rPr>
          <w:rFonts w:ascii="Times New Roman" w:hAnsi="Times New Roman" w:cs="Times New Roman"/>
        </w:rPr>
        <w:t>.</w:t>
      </w:r>
      <w:r w:rsidR="0047652B" w:rsidRPr="0047652B">
        <w:rPr>
          <w:rFonts w:ascii="Times New Roman" w:hAnsi="Times New Roman" w:cs="Times New Roman"/>
        </w:rPr>
        <w:t xml:space="preserve"> </w:t>
      </w:r>
      <w:r w:rsidRPr="003F3FEB">
        <w:rPr>
          <w:rFonts w:ascii="Times New Roman" w:hAnsi="Times New Roman" w:cs="Times New Roman"/>
        </w:rPr>
        <w:t>As a commodity-intensive and import-dependent enterprise, Krakatau Steel sources key raw materials</w:t>
      </w:r>
      <w:r w:rsidR="0047652B">
        <w:rPr>
          <w:rFonts w:ascii="Times New Roman" w:hAnsi="Times New Roman" w:cs="Times New Roman"/>
        </w:rPr>
        <w:t xml:space="preserve"> </w:t>
      </w:r>
      <w:r w:rsidRPr="003F3FEB">
        <w:rPr>
          <w:rFonts w:ascii="Times New Roman" w:hAnsi="Times New Roman" w:cs="Times New Roman"/>
        </w:rPr>
        <w:t>including iron ore, coking coal, scrap metal, and specialized steel equipment</w:t>
      </w:r>
      <w:r w:rsidR="0047652B">
        <w:rPr>
          <w:rFonts w:ascii="Times New Roman" w:hAnsi="Times New Roman" w:cs="Times New Roman"/>
        </w:rPr>
        <w:t xml:space="preserve"> </w:t>
      </w:r>
      <w:r w:rsidRPr="003F3FEB">
        <w:rPr>
          <w:rFonts w:ascii="Times New Roman" w:hAnsi="Times New Roman" w:cs="Times New Roman"/>
        </w:rPr>
        <w:t xml:space="preserve">primarily from international suppliers </w:t>
      </w:r>
      <w:r w:rsidR="007F1051" w:rsidRPr="007F1051">
        <w:t>(PT Krakatau Steel (Persero) Tbk, 2023)</w:t>
      </w:r>
      <w:r w:rsidRPr="003F3FEB">
        <w:rPr>
          <w:rFonts w:ascii="Times New Roman" w:hAnsi="Times New Roman" w:cs="Times New Roman"/>
        </w:rPr>
        <w:t xml:space="preserve">. These imports are invoiced in USD or other hard currencies, exposing the firm directly to exchange rate volatility. For instance, in 2023, the company reported that over 80% of its total procurement costs were related to imported inputs, most of which were settled in U.S. dollars, while approximately 70% of its revenue was generated domestically in IDR </w:t>
      </w:r>
      <w:r w:rsidR="007F1051" w:rsidRPr="007F1051">
        <w:t>(PT Krakatau Steel (Persero) Tbk, 2023)</w:t>
      </w:r>
      <w:r w:rsidRPr="003F3FEB">
        <w:rPr>
          <w:rFonts w:ascii="Times New Roman" w:hAnsi="Times New Roman" w:cs="Times New Roman"/>
        </w:rPr>
        <w:t>.</w:t>
      </w:r>
    </w:p>
    <w:p w14:paraId="754B8748" w14:textId="07667D8D" w:rsidR="00C14C7C" w:rsidRPr="003F3FEB" w:rsidRDefault="00C14C7C" w:rsidP="003F3FEB">
      <w:pPr>
        <w:spacing w:after="0" w:line="480" w:lineRule="auto"/>
        <w:ind w:left="360" w:firstLine="360"/>
        <w:jc w:val="both"/>
        <w:rPr>
          <w:rFonts w:ascii="Times New Roman" w:hAnsi="Times New Roman" w:cs="Times New Roman"/>
        </w:rPr>
      </w:pPr>
      <w:r w:rsidRPr="003F3FEB">
        <w:rPr>
          <w:rFonts w:ascii="Times New Roman" w:hAnsi="Times New Roman" w:cs="Times New Roman"/>
        </w:rPr>
        <w:t>The Indonesian rupiah has experienced significant volatility over the past decade, influenced by a confluence of global and domestic factors, including changes in U.S. Federal Reserve monetary policy, fluctuations in global commodity prices, capital outflow pressures, and domestic macroeconomic imbalances. According to Bank Indonesia (202</w:t>
      </w:r>
      <w:r w:rsidR="00470CF7">
        <w:rPr>
          <w:rFonts w:ascii="Times New Roman" w:hAnsi="Times New Roman" w:cs="Times New Roman"/>
        </w:rPr>
        <w:t>5</w:t>
      </w:r>
      <w:r w:rsidRPr="003F3FEB">
        <w:rPr>
          <w:rFonts w:ascii="Times New Roman" w:hAnsi="Times New Roman" w:cs="Times New Roman"/>
        </w:rPr>
        <w:t>), the IDR/USD exchange rate depreciated sharply from approximately IDR 9,700/USD in early 2013 to exceed IDR 14,500/USD by 2015, briefly surpassed IDR 15,000/USD during the 2020 pandemic crisis, stabilized around IDR 14,000–14,800/USD between 2021 and</w:t>
      </w:r>
      <w:r w:rsidR="00470CF7">
        <w:rPr>
          <w:rFonts w:ascii="Times New Roman" w:hAnsi="Times New Roman" w:cs="Times New Roman"/>
        </w:rPr>
        <w:t xml:space="preserve"> third quarter of</w:t>
      </w:r>
      <w:r w:rsidRPr="003F3FEB">
        <w:rPr>
          <w:rFonts w:ascii="Times New Roman" w:hAnsi="Times New Roman" w:cs="Times New Roman"/>
        </w:rPr>
        <w:t xml:space="preserve"> 202</w:t>
      </w:r>
      <w:r w:rsidR="00470CF7">
        <w:rPr>
          <w:rFonts w:ascii="Times New Roman" w:hAnsi="Times New Roman" w:cs="Times New Roman"/>
        </w:rPr>
        <w:t xml:space="preserve">2, and then depreciated again around IDR 14,800-16,700/USD from last </w:t>
      </w:r>
      <w:r w:rsidR="00470CF7">
        <w:rPr>
          <w:rFonts w:ascii="Times New Roman" w:hAnsi="Times New Roman" w:cs="Times New Roman"/>
        </w:rPr>
        <w:lastRenderedPageBreak/>
        <w:t>quarter of 2022 until second quarter of 2025</w:t>
      </w:r>
      <w:r w:rsidRPr="003F3FEB">
        <w:rPr>
          <w:rFonts w:ascii="Times New Roman" w:hAnsi="Times New Roman" w:cs="Times New Roman"/>
        </w:rPr>
        <w:t xml:space="preserve">. </w:t>
      </w:r>
      <w:r w:rsidR="00D943F6" w:rsidRPr="00D943F6">
        <w:rPr>
          <w:rFonts w:ascii="Times New Roman" w:hAnsi="Times New Roman" w:cs="Times New Roman"/>
        </w:rPr>
        <w:t xml:space="preserve">The exchange rate </w:t>
      </w:r>
      <w:r w:rsidR="00D943F6">
        <w:rPr>
          <w:rFonts w:ascii="Times New Roman" w:hAnsi="Times New Roman" w:cs="Times New Roman"/>
        </w:rPr>
        <w:t xml:space="preserve">fluctuation </w:t>
      </w:r>
      <w:r w:rsidR="00D943F6" w:rsidRPr="00D943F6">
        <w:rPr>
          <w:rFonts w:ascii="Times New Roman" w:hAnsi="Times New Roman" w:cs="Times New Roman"/>
        </w:rPr>
        <w:t>significantly influences Indonesia’s economic growth by affecting trade competitiveness and investment flows (Supriyadi, Yanfitri, Arimurti, &amp; Atharinanda, 2025).</w:t>
      </w:r>
      <w:r w:rsidRPr="003F3FEB">
        <w:rPr>
          <w:rFonts w:ascii="Times New Roman" w:hAnsi="Times New Roman" w:cs="Times New Roman"/>
        </w:rPr>
        <w:t xml:space="preserve"> </w:t>
      </w:r>
      <w:r w:rsidR="003F3AA5">
        <w:rPr>
          <w:rFonts w:ascii="Times New Roman" w:hAnsi="Times New Roman" w:cs="Times New Roman"/>
        </w:rPr>
        <w:t>As an</w:t>
      </w:r>
      <w:r w:rsidRPr="003F3FEB">
        <w:rPr>
          <w:rFonts w:ascii="Times New Roman" w:hAnsi="Times New Roman" w:cs="Times New Roman"/>
        </w:rPr>
        <w:t xml:space="preserve"> example, </w:t>
      </w:r>
      <w:r w:rsidR="003F3AA5" w:rsidRPr="003F3AA5">
        <w:rPr>
          <w:rFonts w:ascii="Times New Roman" w:hAnsi="Times New Roman" w:cs="Times New Roman"/>
        </w:rPr>
        <w:t xml:space="preserve">The depreciation of the Rupiah </w:t>
      </w:r>
      <w:r w:rsidR="003F3AA5">
        <w:rPr>
          <w:rFonts w:ascii="Times New Roman" w:hAnsi="Times New Roman" w:cs="Times New Roman"/>
        </w:rPr>
        <w:t xml:space="preserve">until IDR </w:t>
      </w:r>
      <w:r w:rsidR="003F3AA5" w:rsidRPr="003F3AA5">
        <w:rPr>
          <w:rFonts w:ascii="Times New Roman" w:hAnsi="Times New Roman" w:cs="Times New Roman"/>
        </w:rPr>
        <w:t>16,412</w:t>
      </w:r>
      <w:r w:rsidR="003F3AA5">
        <w:rPr>
          <w:rFonts w:ascii="Times New Roman" w:hAnsi="Times New Roman" w:cs="Times New Roman"/>
        </w:rPr>
        <w:t xml:space="preserve">/USD in June 2025 </w:t>
      </w:r>
      <w:r w:rsidR="003F3AA5" w:rsidRPr="003F3AA5">
        <w:rPr>
          <w:rFonts w:ascii="Times New Roman" w:hAnsi="Times New Roman" w:cs="Times New Roman"/>
        </w:rPr>
        <w:t>has raised serious concerns for Indonesia’s manufacturing sector, particularly regarding import costs and operational stability (APINDO, 2025)</w:t>
      </w:r>
      <w:r w:rsidRPr="003F3FEB">
        <w:rPr>
          <w:rFonts w:ascii="Times New Roman" w:hAnsi="Times New Roman" w:cs="Times New Roman"/>
        </w:rPr>
        <w:t>.</w:t>
      </w:r>
    </w:p>
    <w:p w14:paraId="15E9B39F" w14:textId="1E06AA02" w:rsidR="00C14C7C" w:rsidRPr="003F3FEB" w:rsidRDefault="00C14C7C" w:rsidP="003F3FEB">
      <w:pPr>
        <w:spacing w:after="0" w:line="480" w:lineRule="auto"/>
        <w:ind w:left="360" w:firstLine="360"/>
        <w:jc w:val="both"/>
        <w:rPr>
          <w:rFonts w:ascii="Times New Roman" w:eastAsiaTheme="majorEastAsia" w:hAnsi="Times New Roman" w:cs="Times New Roman"/>
          <w:lang w:val="en-US"/>
        </w:rPr>
      </w:pPr>
      <w:r w:rsidRPr="003F3FEB">
        <w:rPr>
          <w:rFonts w:ascii="Times New Roman" w:hAnsi="Times New Roman" w:cs="Times New Roman"/>
        </w:rPr>
        <w:t xml:space="preserve">Krakatau Steel has been particularly vulnerable to these currency movements. The company reported net losses in multiple years, including </w:t>
      </w:r>
      <w:r w:rsidR="00596E4F">
        <w:rPr>
          <w:rFonts w:ascii="Times New Roman" w:hAnsi="Times New Roman" w:cs="Times New Roman"/>
        </w:rPr>
        <w:t>USD 315 million</w:t>
      </w:r>
      <w:r w:rsidRPr="003F3FEB">
        <w:rPr>
          <w:rFonts w:ascii="Times New Roman" w:hAnsi="Times New Roman" w:cs="Times New Roman"/>
        </w:rPr>
        <w:t xml:space="preserve"> in 2015 and </w:t>
      </w:r>
      <w:r w:rsidR="00596E4F">
        <w:rPr>
          <w:rFonts w:ascii="Times New Roman" w:hAnsi="Times New Roman" w:cs="Times New Roman"/>
        </w:rPr>
        <w:t>USD 495 million</w:t>
      </w:r>
      <w:r w:rsidRPr="003F3FEB">
        <w:rPr>
          <w:rFonts w:ascii="Times New Roman" w:hAnsi="Times New Roman" w:cs="Times New Roman"/>
        </w:rPr>
        <w:t xml:space="preserve"> in 20</w:t>
      </w:r>
      <w:r w:rsidR="00596E4F">
        <w:rPr>
          <w:rFonts w:ascii="Times New Roman" w:hAnsi="Times New Roman" w:cs="Times New Roman"/>
        </w:rPr>
        <w:t>19</w:t>
      </w:r>
      <w:r w:rsidRPr="003F3FEB">
        <w:rPr>
          <w:rFonts w:ascii="Times New Roman" w:hAnsi="Times New Roman" w:cs="Times New Roman"/>
        </w:rPr>
        <w:t xml:space="preserve">, which were partly attributed to increased financial pressures from forex volatility and rising input costs </w:t>
      </w:r>
      <w:r w:rsidR="00596E4F" w:rsidRPr="007F1051">
        <w:t>(PT Krakatau Steel (Persero) Tbk, 20</w:t>
      </w:r>
      <w:r w:rsidR="00596E4F">
        <w:t>15 and 2019</w:t>
      </w:r>
      <w:r w:rsidR="00596E4F" w:rsidRPr="007F1051">
        <w:t>)</w:t>
      </w:r>
      <w:r w:rsidR="00596E4F" w:rsidRPr="003F3FEB">
        <w:rPr>
          <w:rFonts w:ascii="Times New Roman" w:hAnsi="Times New Roman" w:cs="Times New Roman"/>
        </w:rPr>
        <w:t xml:space="preserve">. </w:t>
      </w:r>
      <w:r w:rsidRPr="003F3FEB">
        <w:rPr>
          <w:rFonts w:ascii="Times New Roman" w:hAnsi="Times New Roman" w:cs="Times New Roman"/>
        </w:rPr>
        <w:t>To mitigate these risks, firms may employ financial hedging instruments</w:t>
      </w:r>
      <w:r w:rsidR="00596E4F">
        <w:rPr>
          <w:rFonts w:ascii="Times New Roman" w:hAnsi="Times New Roman" w:cs="Times New Roman"/>
        </w:rPr>
        <w:t xml:space="preserve"> </w:t>
      </w:r>
      <w:r w:rsidRPr="003F3FEB">
        <w:rPr>
          <w:rFonts w:ascii="Times New Roman" w:hAnsi="Times New Roman" w:cs="Times New Roman"/>
        </w:rPr>
        <w:t>such as forward contracts, options, or swaps</w:t>
      </w:r>
      <w:r w:rsidR="00596E4F">
        <w:rPr>
          <w:rFonts w:ascii="Times New Roman" w:hAnsi="Times New Roman" w:cs="Times New Roman"/>
        </w:rPr>
        <w:t xml:space="preserve"> </w:t>
      </w:r>
      <w:r w:rsidRPr="003F3FEB">
        <w:rPr>
          <w:rFonts w:ascii="Times New Roman" w:hAnsi="Times New Roman" w:cs="Times New Roman"/>
        </w:rPr>
        <w:t>or adopt operational strategies like natural hedging, pricing adjustments, or debt denomination management</w:t>
      </w:r>
      <w:r w:rsidR="001F0A8F">
        <w:rPr>
          <w:rFonts w:ascii="Times New Roman" w:hAnsi="Times New Roman" w:cs="Times New Roman"/>
        </w:rPr>
        <w:t xml:space="preserve"> </w:t>
      </w:r>
      <w:r w:rsidR="001F0A8F" w:rsidRPr="001F0A8F">
        <w:rPr>
          <w:rFonts w:ascii="Times New Roman" w:hAnsi="Times New Roman" w:cs="Times New Roman"/>
        </w:rPr>
        <w:t>(Li, Rao, &amp; Stoltz, 2025)</w:t>
      </w:r>
      <w:r w:rsidRPr="003F3FEB">
        <w:rPr>
          <w:rFonts w:ascii="Times New Roman" w:hAnsi="Times New Roman" w:cs="Times New Roman"/>
        </w:rPr>
        <w:t xml:space="preserve">. However, the adoption of formal hedging mechanisms remains low among Indonesian firms, particularly in the state-owned and industrial sectors, due to limited access, financial constraints, and insufficient risk management expertise </w:t>
      </w:r>
      <w:r w:rsidR="00830CF3" w:rsidRPr="00830CF3">
        <w:rPr>
          <w:rFonts w:ascii="Times New Roman" w:hAnsi="Times New Roman" w:cs="Times New Roman"/>
        </w:rPr>
        <w:t>(Nasriani, 2024)</w:t>
      </w:r>
      <w:r w:rsidR="00830CF3">
        <w:rPr>
          <w:rFonts w:ascii="Times New Roman" w:hAnsi="Times New Roman" w:cs="Times New Roman"/>
        </w:rPr>
        <w:t>.</w:t>
      </w:r>
    </w:p>
    <w:p w14:paraId="0365EABD" w14:textId="7ACA4D56" w:rsidR="00C14C7C" w:rsidRDefault="00C14C7C" w:rsidP="003F3FEB">
      <w:pPr>
        <w:spacing w:after="0" w:line="480" w:lineRule="auto"/>
        <w:ind w:left="360" w:firstLine="360"/>
        <w:jc w:val="both"/>
        <w:rPr>
          <w:rFonts w:ascii="Times New Roman" w:eastAsiaTheme="majorEastAsia" w:hAnsi="Times New Roman" w:cs="Times New Roman"/>
        </w:rPr>
      </w:pPr>
      <w:r w:rsidRPr="003F3FEB">
        <w:rPr>
          <w:rFonts w:ascii="Times New Roman" w:eastAsiaTheme="majorEastAsia" w:hAnsi="Times New Roman" w:cs="Times New Roman"/>
        </w:rPr>
        <w:t>While various financial instruments and natural hedging strategies are available to manage forex risk, the effectiveness and adoption of these tools vary across firms</w:t>
      </w:r>
      <w:r w:rsidR="00885993">
        <w:rPr>
          <w:rFonts w:ascii="Times New Roman" w:eastAsiaTheme="majorEastAsia" w:hAnsi="Times New Roman" w:cs="Times New Roman"/>
        </w:rPr>
        <w:t xml:space="preserve"> </w:t>
      </w:r>
      <w:r w:rsidR="009E6F8F" w:rsidRPr="009E6F8F">
        <w:rPr>
          <w:rFonts w:ascii="Times New Roman" w:eastAsiaTheme="majorEastAsia" w:hAnsi="Times New Roman" w:cs="Times New Roman"/>
        </w:rPr>
        <w:t>(Zai &amp; Mansur, 2024)</w:t>
      </w:r>
      <w:r w:rsidR="009E6F8F">
        <w:rPr>
          <w:rFonts w:ascii="Times New Roman" w:eastAsiaTheme="majorEastAsia" w:hAnsi="Times New Roman" w:cs="Times New Roman"/>
        </w:rPr>
        <w:t xml:space="preserve">. </w:t>
      </w:r>
      <w:r w:rsidRPr="003F3FEB">
        <w:rPr>
          <w:rFonts w:ascii="Times New Roman" w:eastAsiaTheme="majorEastAsia" w:hAnsi="Times New Roman" w:cs="Times New Roman"/>
        </w:rPr>
        <w:t>Particularly in Indonesia, there is limited empirical research on how steel companies implement forex risk management and whether such strategies significantly influence its financial performance indicators such as return on assets (ROA), net income, or cash flow stability. This study aims to fill this gap through an in-depth case study of company like PT. Krakatau Steel (Persero), investigating the relationship between forex exposure, hedging practices, and firm performance.</w:t>
      </w:r>
    </w:p>
    <w:p w14:paraId="535E31DA" w14:textId="36DBA222" w:rsidR="00A72354" w:rsidRPr="00A72354" w:rsidRDefault="00A72354" w:rsidP="00A72354">
      <w:pPr>
        <w:pStyle w:val="ListParagraph"/>
        <w:numPr>
          <w:ilvl w:val="1"/>
          <w:numId w:val="1"/>
        </w:numPr>
        <w:spacing w:after="0" w:line="480" w:lineRule="auto"/>
        <w:jc w:val="both"/>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Motivation of the Research</w:t>
      </w:r>
    </w:p>
    <w:p w14:paraId="267A3C6F" w14:textId="1686919A" w:rsidR="00112390" w:rsidRDefault="00112390" w:rsidP="00032623">
      <w:pPr>
        <w:spacing w:after="0" w:line="480" w:lineRule="auto"/>
        <w:ind w:left="360" w:firstLine="360"/>
        <w:jc w:val="both"/>
        <w:rPr>
          <w:rFonts w:ascii="Times New Roman" w:eastAsia="Times New Roman" w:hAnsi="Times New Roman" w:cs="Times New Roman"/>
        </w:rPr>
      </w:pPr>
      <w:r>
        <w:rPr>
          <w:rFonts w:ascii="Times New Roman" w:eastAsia="Times New Roman" w:hAnsi="Times New Roman" w:cs="Times New Roman"/>
        </w:rPr>
        <w:lastRenderedPageBreak/>
        <w:t xml:space="preserve">Although there are a lot of research focusing on foreign exchange volatility, </w:t>
      </w:r>
      <w:r w:rsidR="00CD63BF">
        <w:rPr>
          <w:rFonts w:ascii="Times New Roman" w:eastAsia="Times New Roman" w:hAnsi="Times New Roman" w:cs="Times New Roman"/>
        </w:rPr>
        <w:t xml:space="preserve">but </w:t>
      </w:r>
      <w:r w:rsidR="00CD63BF" w:rsidRPr="00112390">
        <w:rPr>
          <w:rFonts w:ascii="Times New Roman" w:eastAsia="Times New Roman" w:hAnsi="Times New Roman" w:cs="Times New Roman"/>
        </w:rPr>
        <w:t>there are still several gaps in the literature that need to be further explored</w:t>
      </w:r>
      <w:r w:rsidR="00CD63BF">
        <w:rPr>
          <w:rFonts w:ascii="Times New Roman" w:eastAsia="Times New Roman" w:hAnsi="Times New Roman" w:cs="Times New Roman"/>
        </w:rPr>
        <w:t xml:space="preserve">. </w:t>
      </w:r>
      <w:r w:rsidR="00D14F6F">
        <w:rPr>
          <w:rFonts w:ascii="Times New Roman" w:eastAsia="Times New Roman" w:hAnsi="Times New Roman" w:cs="Times New Roman"/>
        </w:rPr>
        <w:t>Most</w:t>
      </w:r>
      <w:r>
        <w:rPr>
          <w:rFonts w:ascii="Times New Roman" w:eastAsia="Times New Roman" w:hAnsi="Times New Roman" w:cs="Times New Roman"/>
        </w:rPr>
        <w:t xml:space="preserve"> </w:t>
      </w:r>
      <w:r w:rsidR="00CD63BF">
        <w:rPr>
          <w:rFonts w:ascii="Times New Roman" w:eastAsia="Times New Roman" w:hAnsi="Times New Roman" w:cs="Times New Roman"/>
        </w:rPr>
        <w:t>studies</w:t>
      </w:r>
      <w:r>
        <w:rPr>
          <w:rFonts w:ascii="Times New Roman" w:eastAsia="Times New Roman" w:hAnsi="Times New Roman" w:cs="Times New Roman"/>
        </w:rPr>
        <w:t xml:space="preserve"> focused on how to managing that foreign exchange volatility by using hedging strategies and tendencies to perform hedging</w:t>
      </w:r>
      <w:r w:rsidR="00032623">
        <w:rPr>
          <w:rFonts w:ascii="Times New Roman" w:eastAsia="Times New Roman" w:hAnsi="Times New Roman" w:cs="Times New Roman"/>
        </w:rPr>
        <w:t xml:space="preserve">, </w:t>
      </w:r>
      <w:r w:rsidR="00032623" w:rsidRPr="00032623">
        <w:rPr>
          <w:rFonts w:ascii="Times New Roman" w:eastAsia="Times New Roman" w:hAnsi="Times New Roman" w:cs="Times New Roman"/>
        </w:rPr>
        <w:t>some report inconsistent results, suggesting that hedging effectiveness can vary depending on various factors</w:t>
      </w:r>
      <w:r w:rsidR="00032623">
        <w:rPr>
          <w:rFonts w:ascii="Times New Roman" w:eastAsia="Times New Roman" w:hAnsi="Times New Roman" w:cs="Times New Roman"/>
        </w:rPr>
        <w:t xml:space="preserve"> </w:t>
      </w:r>
      <w:r w:rsidR="00032623" w:rsidRPr="009E6F8F">
        <w:rPr>
          <w:rFonts w:ascii="Times New Roman" w:eastAsiaTheme="majorEastAsia" w:hAnsi="Times New Roman" w:cs="Times New Roman"/>
        </w:rPr>
        <w:t>(Zai &amp; Mansur, 2024)</w:t>
      </w:r>
      <w:r w:rsidR="00032623">
        <w:rPr>
          <w:rFonts w:ascii="Times New Roman" w:eastAsiaTheme="majorEastAsia" w:hAnsi="Times New Roman" w:cs="Times New Roman"/>
        </w:rPr>
        <w:t>.</w:t>
      </w:r>
      <w:r w:rsidR="00D14F6F">
        <w:rPr>
          <w:rFonts w:ascii="Times New Roman" w:eastAsiaTheme="majorEastAsia" w:hAnsi="Times New Roman" w:cs="Times New Roman"/>
        </w:rPr>
        <w:t xml:space="preserve"> Companies need to consider factor such as policy maker and resource availability, there is an importance to integrating financial and operational hedging strategies to maximize the hedging </w:t>
      </w:r>
      <w:r w:rsidR="00DB0CB6">
        <w:rPr>
          <w:rFonts w:ascii="Times New Roman" w:eastAsiaTheme="majorEastAsia" w:hAnsi="Times New Roman" w:cs="Times New Roman"/>
        </w:rPr>
        <w:t>effectiveness. Further research is needed to examine dynamic nature of FX risk exposure and long-term impact of hedging practices on firm performances (Nasriani, 2024)</w:t>
      </w:r>
      <w:r w:rsidR="00D14F6F">
        <w:rPr>
          <w:rFonts w:ascii="Times New Roman" w:eastAsiaTheme="majorEastAsia" w:hAnsi="Times New Roman" w:cs="Times New Roman"/>
        </w:rPr>
        <w:t>.</w:t>
      </w:r>
      <w:r w:rsidR="00DB0CB6">
        <w:rPr>
          <w:rFonts w:ascii="Times New Roman" w:eastAsiaTheme="majorEastAsia" w:hAnsi="Times New Roman" w:cs="Times New Roman"/>
        </w:rPr>
        <w:t xml:space="preserve"> </w:t>
      </w:r>
    </w:p>
    <w:p w14:paraId="5EF98872" w14:textId="2C64D64C" w:rsidR="00C14055" w:rsidRPr="003F3FEB" w:rsidRDefault="00C14055" w:rsidP="003F3FEB">
      <w:pPr>
        <w:spacing w:after="0" w:line="480" w:lineRule="auto"/>
        <w:ind w:left="360" w:firstLine="360"/>
        <w:jc w:val="both"/>
        <w:rPr>
          <w:rFonts w:ascii="Times New Roman" w:hAnsi="Times New Roman" w:cs="Times New Roman"/>
        </w:rPr>
      </w:pPr>
      <w:r w:rsidRPr="003F3FEB">
        <w:rPr>
          <w:rFonts w:ascii="Times New Roman" w:eastAsia="Times New Roman" w:hAnsi="Times New Roman" w:cs="Times New Roman"/>
        </w:rPr>
        <w:t xml:space="preserve">This study is motivated by three main reasons. First, </w:t>
      </w:r>
      <w:r w:rsidR="00AC2E47" w:rsidRPr="0047652B">
        <w:rPr>
          <w:rFonts w:ascii="Times New Roman" w:hAnsi="Times New Roman" w:cs="Times New Roman"/>
        </w:rPr>
        <w:t>accounted for approximately 23% of Indonesian steel production in</w:t>
      </w:r>
      <w:r w:rsidR="00AC2E47">
        <w:rPr>
          <w:rFonts w:ascii="Times New Roman" w:hAnsi="Times New Roman" w:cs="Times New Roman"/>
        </w:rPr>
        <w:t xml:space="preserve"> </w:t>
      </w:r>
      <w:r w:rsidR="00AC2E47" w:rsidRPr="0047652B">
        <w:rPr>
          <w:rFonts w:ascii="Times New Roman" w:hAnsi="Times New Roman" w:cs="Times New Roman"/>
        </w:rPr>
        <w:t>average</w:t>
      </w:r>
      <w:r w:rsidR="00AC2E47">
        <w:rPr>
          <w:rFonts w:ascii="Times New Roman" w:hAnsi="Times New Roman" w:cs="Times New Roman"/>
        </w:rPr>
        <w:t xml:space="preserve">, </w:t>
      </w:r>
      <w:r w:rsidRPr="003F3FEB">
        <w:rPr>
          <w:rFonts w:ascii="Times New Roman" w:eastAsia="Times New Roman" w:hAnsi="Times New Roman" w:cs="Times New Roman"/>
        </w:rPr>
        <w:t>PT Krakatau Steel’s financial performance has implications for Indonesia’s broader industrial and economic stability, given its position as a strategic state-owned enterprise. Second, prior studies on Indonesian firms’ FX risk management tend to be descriptive, with limited use of long-term quantitative approaches. There is a need to test empirically the effect of</w:t>
      </w:r>
      <w:r w:rsidR="00AC2E47">
        <w:rPr>
          <w:rFonts w:ascii="Times New Roman" w:eastAsia="Times New Roman" w:hAnsi="Times New Roman" w:cs="Times New Roman"/>
        </w:rPr>
        <w:t xml:space="preserve"> </w:t>
      </w:r>
      <w:r w:rsidRPr="003F3FEB">
        <w:rPr>
          <w:rFonts w:ascii="Times New Roman" w:eastAsia="Times New Roman" w:hAnsi="Times New Roman" w:cs="Times New Roman"/>
        </w:rPr>
        <w:t xml:space="preserve">FX volatility </w:t>
      </w:r>
      <w:r w:rsidR="00EA3779">
        <w:rPr>
          <w:rFonts w:ascii="Times New Roman" w:eastAsia="Times New Roman" w:hAnsi="Times New Roman" w:cs="Times New Roman"/>
        </w:rPr>
        <w:t xml:space="preserve">and hedging existence </w:t>
      </w:r>
      <w:r w:rsidRPr="003F3FEB">
        <w:rPr>
          <w:rFonts w:ascii="Times New Roman" w:eastAsia="Times New Roman" w:hAnsi="Times New Roman" w:cs="Times New Roman"/>
        </w:rPr>
        <w:t xml:space="preserve">on financial performance using regression analysis. Third, by analysing the relationship between FX volatility </w:t>
      </w:r>
      <w:r w:rsidR="00EA3779">
        <w:rPr>
          <w:rFonts w:ascii="Times New Roman" w:eastAsia="Times New Roman" w:hAnsi="Times New Roman" w:cs="Times New Roman"/>
        </w:rPr>
        <w:t xml:space="preserve">hedging existence </w:t>
      </w:r>
      <w:r w:rsidR="00EA3779" w:rsidRPr="003F3FEB">
        <w:rPr>
          <w:rFonts w:ascii="Times New Roman" w:eastAsia="Times New Roman" w:hAnsi="Times New Roman" w:cs="Times New Roman"/>
        </w:rPr>
        <w:t xml:space="preserve">on </w:t>
      </w:r>
      <w:r w:rsidRPr="003F3FEB">
        <w:rPr>
          <w:rFonts w:ascii="Times New Roman" w:eastAsia="Times New Roman" w:hAnsi="Times New Roman" w:cs="Times New Roman"/>
        </w:rPr>
        <w:t>firm performance, this research can provide guidance for corporate financial strategy and policymaking in managing exchange rate risks in strategic sectors.</w:t>
      </w:r>
    </w:p>
    <w:p w14:paraId="346494A9" w14:textId="0F24D1F9" w:rsidR="007D538D" w:rsidRDefault="007D538D" w:rsidP="003F3FEB">
      <w:pPr>
        <w:spacing w:after="0" w:line="480" w:lineRule="auto"/>
        <w:ind w:left="360" w:firstLine="360"/>
        <w:jc w:val="both"/>
        <w:rPr>
          <w:rFonts w:ascii="Times New Roman" w:hAnsi="Times New Roman" w:cs="Times New Roman"/>
        </w:rPr>
      </w:pPr>
      <w:r w:rsidRPr="003F3FEB">
        <w:rPr>
          <w:rFonts w:ascii="Times New Roman" w:eastAsia="Times New Roman" w:hAnsi="Times New Roman" w:cs="Times New Roman"/>
        </w:rPr>
        <w:t>Therefore</w:t>
      </w:r>
      <w:r w:rsidRPr="003F3FEB">
        <w:rPr>
          <w:rFonts w:ascii="Times New Roman" w:hAnsi="Times New Roman" w:cs="Times New Roman"/>
        </w:rPr>
        <w:t xml:space="preserve">, this research seeks to fill these gaps by conducting an in-depth, single-firm case study of PT Krakatau Steel </w:t>
      </w:r>
      <w:r w:rsidR="00EA3779">
        <w:rPr>
          <w:rFonts w:ascii="Times New Roman" w:hAnsi="Times New Roman" w:cs="Times New Roman"/>
        </w:rPr>
        <w:t xml:space="preserve">with long-term period </w:t>
      </w:r>
      <w:r w:rsidRPr="003F3FEB">
        <w:rPr>
          <w:rFonts w:ascii="Times New Roman" w:hAnsi="Times New Roman" w:cs="Times New Roman"/>
        </w:rPr>
        <w:t xml:space="preserve">(2013–2025), analysing the relationship between IDR/USD exchange rate volatility </w:t>
      </w:r>
      <w:r w:rsidR="00AC2E47">
        <w:rPr>
          <w:rFonts w:ascii="Times New Roman" w:hAnsi="Times New Roman" w:cs="Times New Roman"/>
        </w:rPr>
        <w:t>and hedging existence to</w:t>
      </w:r>
      <w:r w:rsidRPr="003F3FEB">
        <w:rPr>
          <w:rFonts w:ascii="Times New Roman" w:hAnsi="Times New Roman" w:cs="Times New Roman"/>
        </w:rPr>
        <w:t xml:space="preserve"> key financial performance metrics</w:t>
      </w:r>
      <w:r w:rsidR="00AC2E47">
        <w:rPr>
          <w:rFonts w:ascii="Times New Roman" w:hAnsi="Times New Roman" w:cs="Times New Roman"/>
        </w:rPr>
        <w:t xml:space="preserve"> indicators: </w:t>
      </w:r>
      <w:r w:rsidRPr="003F3FEB">
        <w:rPr>
          <w:rFonts w:ascii="Times New Roman" w:hAnsi="Times New Roman" w:cs="Times New Roman"/>
        </w:rPr>
        <w:t>ROA, net income, and cash flow volatility</w:t>
      </w:r>
      <w:r w:rsidR="00AC2E47">
        <w:rPr>
          <w:rFonts w:ascii="Times New Roman" w:hAnsi="Times New Roman" w:cs="Times New Roman"/>
        </w:rPr>
        <w:t xml:space="preserve">, </w:t>
      </w:r>
      <w:r w:rsidRPr="003F3FEB">
        <w:rPr>
          <w:rFonts w:ascii="Times New Roman" w:hAnsi="Times New Roman" w:cs="Times New Roman"/>
        </w:rPr>
        <w:t xml:space="preserve">while controlling for leverage (DER), firm size (total assets), and liquidity (current ratio). By </w:t>
      </w:r>
      <w:r w:rsidRPr="003F3FEB">
        <w:rPr>
          <w:rFonts w:ascii="Times New Roman" w:hAnsi="Times New Roman" w:cs="Times New Roman"/>
        </w:rPr>
        <w:lastRenderedPageBreak/>
        <w:t xml:space="preserve">using quarterly time-series data, the study will </w:t>
      </w:r>
      <w:r w:rsidRPr="00F124FA">
        <w:rPr>
          <w:rFonts w:ascii="Times New Roman" w:hAnsi="Times New Roman" w:cs="Times New Roman"/>
        </w:rPr>
        <w:t>identify patterns and correlations over a decade marked by significant macroeconomic volatility.</w:t>
      </w:r>
    </w:p>
    <w:p w14:paraId="7E84C1F4" w14:textId="09D3225E" w:rsidR="00A72354" w:rsidRPr="00A72354" w:rsidRDefault="00A72354" w:rsidP="00A72354">
      <w:pPr>
        <w:pStyle w:val="ListParagraph"/>
        <w:numPr>
          <w:ilvl w:val="1"/>
          <w:numId w:val="1"/>
        </w:numPr>
        <w:spacing w:after="0" w:line="480" w:lineRule="auto"/>
        <w:jc w:val="both"/>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Research Objectives</w:t>
      </w:r>
    </w:p>
    <w:p w14:paraId="44F71B06" w14:textId="483B8C1E" w:rsidR="007D538D" w:rsidRPr="00F124FA" w:rsidRDefault="007D538D" w:rsidP="003F3FEB">
      <w:pPr>
        <w:spacing w:after="0" w:line="480" w:lineRule="auto"/>
        <w:ind w:left="360" w:firstLine="360"/>
        <w:jc w:val="both"/>
        <w:rPr>
          <w:rFonts w:ascii="Times New Roman" w:hAnsi="Times New Roman" w:cs="Times New Roman"/>
        </w:rPr>
      </w:pPr>
      <w:r w:rsidRPr="00F124FA">
        <w:rPr>
          <w:rFonts w:ascii="Times New Roman" w:hAnsi="Times New Roman" w:cs="Times New Roman"/>
        </w:rPr>
        <w:t>Academically, the study contributes to the literature on corporate risk management in emerging markets by providing a detailed, firm-level analysis that complements broader panel studies</w:t>
      </w:r>
      <w:r w:rsidR="00DB6CF9">
        <w:rPr>
          <w:rFonts w:ascii="Times New Roman" w:hAnsi="Times New Roman" w:cs="Times New Roman"/>
        </w:rPr>
        <w:t xml:space="preserve"> with long-term observation period</w:t>
      </w:r>
      <w:r w:rsidRPr="00F124FA">
        <w:rPr>
          <w:rFonts w:ascii="Times New Roman" w:hAnsi="Times New Roman" w:cs="Times New Roman"/>
        </w:rPr>
        <w:t>. It also demonstrates how research can proceed in the absence of hedging disclosures by focusing on direct exposure effects.</w:t>
      </w:r>
    </w:p>
    <w:p w14:paraId="1EE3E9F9" w14:textId="7151A864" w:rsidR="007D538D" w:rsidRDefault="007D538D" w:rsidP="003F3FEB">
      <w:pPr>
        <w:spacing w:after="0" w:line="480" w:lineRule="auto"/>
        <w:ind w:left="360" w:firstLine="360"/>
        <w:jc w:val="both"/>
        <w:rPr>
          <w:rFonts w:ascii="Times New Roman" w:hAnsi="Times New Roman" w:cs="Times New Roman"/>
        </w:rPr>
      </w:pPr>
      <w:r w:rsidRPr="00F124FA">
        <w:rPr>
          <w:rFonts w:ascii="Times New Roman" w:hAnsi="Times New Roman" w:cs="Times New Roman"/>
        </w:rPr>
        <w:t xml:space="preserve">Practically, the results will inform risk management strategies for similar industrial firms in Indonesia, offering benchmark insights into how forex volatility </w:t>
      </w:r>
      <w:r w:rsidR="00DB6CF9">
        <w:rPr>
          <w:rFonts w:ascii="Times New Roman" w:hAnsi="Times New Roman" w:cs="Times New Roman"/>
        </w:rPr>
        <w:t xml:space="preserve">and hedging existence </w:t>
      </w:r>
      <w:r w:rsidRPr="00F124FA">
        <w:rPr>
          <w:rFonts w:ascii="Times New Roman" w:hAnsi="Times New Roman" w:cs="Times New Roman"/>
        </w:rPr>
        <w:t>translates into financial performance outcomes. It may also assist policymakers and regulators in formulating guidelines for sovereign firms operating in volatile macroeconomic environments.</w:t>
      </w:r>
    </w:p>
    <w:p w14:paraId="0DB9EF34" w14:textId="4996CE06" w:rsidR="00A72354" w:rsidRPr="00A72354" w:rsidRDefault="00A72354" w:rsidP="00A72354">
      <w:pPr>
        <w:pStyle w:val="ListParagraph"/>
        <w:numPr>
          <w:ilvl w:val="1"/>
          <w:numId w:val="1"/>
        </w:numPr>
        <w:spacing w:after="0" w:line="480" w:lineRule="auto"/>
        <w:jc w:val="both"/>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Research Questions</w:t>
      </w:r>
    </w:p>
    <w:p w14:paraId="1F793B74" w14:textId="599A4FE5" w:rsidR="00F124FA" w:rsidRDefault="003F3FEB" w:rsidP="003F3FEB">
      <w:pPr>
        <w:spacing w:after="0" w:line="480" w:lineRule="auto"/>
        <w:ind w:left="360" w:firstLine="360"/>
        <w:jc w:val="both"/>
        <w:rPr>
          <w:rFonts w:ascii="Times New Roman" w:eastAsia="Times New Roman" w:hAnsi="Times New Roman" w:cs="Times New Roman"/>
        </w:rPr>
      </w:pPr>
      <w:r w:rsidRPr="00F124FA">
        <w:rPr>
          <w:rFonts w:ascii="Times New Roman" w:eastAsiaTheme="majorEastAsia" w:hAnsi="Times New Roman" w:cs="Times New Roman"/>
        </w:rPr>
        <w:t xml:space="preserve">To address the core issues of this study, several research questions has been formulated. (1) </w:t>
      </w:r>
      <w:r w:rsidR="003359B6">
        <w:rPr>
          <w:rFonts w:ascii="Times New Roman" w:eastAsia="Times New Roman" w:hAnsi="Times New Roman" w:cs="Times New Roman"/>
        </w:rPr>
        <w:t xml:space="preserve">How does foreign exchange rate volatility affect the financial performance of PT. Krakatau Steel, as measured by ROA, Net Income, and Cash-flow volatility? (2) Does the existence of hedging activities </w:t>
      </w:r>
      <w:r w:rsidR="003359B6">
        <w:rPr>
          <w:rFonts w:ascii="Times New Roman" w:eastAsia="Times New Roman" w:hAnsi="Times New Roman" w:cs="Times New Roman"/>
        </w:rPr>
        <w:t xml:space="preserve">affect the </w:t>
      </w:r>
      <w:r w:rsidR="003359B6">
        <w:rPr>
          <w:rFonts w:ascii="Times New Roman" w:eastAsia="Times New Roman" w:hAnsi="Times New Roman" w:cs="Times New Roman"/>
        </w:rPr>
        <w:t xml:space="preserve">PT. Krakatau Steel financial performance, </w:t>
      </w:r>
      <w:r w:rsidR="003359B6">
        <w:rPr>
          <w:rFonts w:ascii="Times New Roman" w:eastAsia="Times New Roman" w:hAnsi="Times New Roman" w:cs="Times New Roman"/>
        </w:rPr>
        <w:t>as measured by ROA, Net Income, and Cash-flow volatility?</w:t>
      </w:r>
      <w:r w:rsidR="003359B6">
        <w:rPr>
          <w:rFonts w:ascii="Times New Roman" w:eastAsia="Times New Roman" w:hAnsi="Times New Roman" w:cs="Times New Roman"/>
        </w:rPr>
        <w:t xml:space="preserve"> (3) To what extent do firm-specific characteristics such as leverage (measured by DER), firm size (measured by Total Assets), and liquidity (measured by Current Ratio) influence the relationship between foreign exchange volatility, hedging, and firm performance?</w:t>
      </w:r>
    </w:p>
    <w:p w14:paraId="474F6368" w14:textId="6BC45B05" w:rsidR="00A72354" w:rsidRPr="00A72354" w:rsidRDefault="00A72354" w:rsidP="00A72354">
      <w:pPr>
        <w:pStyle w:val="ListParagraph"/>
        <w:numPr>
          <w:ilvl w:val="1"/>
          <w:numId w:val="1"/>
        </w:numPr>
        <w:spacing w:after="0" w:line="480" w:lineRule="auto"/>
        <w:jc w:val="both"/>
        <w:rPr>
          <w:rFonts w:ascii="Times New Roman" w:eastAsiaTheme="majorEastAsia" w:hAnsi="Times New Roman" w:cs="Times New Roman"/>
          <w:b/>
          <w:bCs/>
          <w:sz w:val="26"/>
          <w:szCs w:val="26"/>
        </w:rPr>
      </w:pPr>
      <w:r>
        <w:rPr>
          <w:rFonts w:ascii="Times New Roman" w:eastAsiaTheme="majorEastAsia" w:hAnsi="Times New Roman" w:cs="Times New Roman"/>
          <w:b/>
          <w:bCs/>
          <w:sz w:val="26"/>
          <w:szCs w:val="26"/>
        </w:rPr>
        <w:t>Research Hypothesis</w:t>
      </w:r>
    </w:p>
    <w:p w14:paraId="612B8E28" w14:textId="55A69FBB" w:rsidR="00C14055" w:rsidRPr="00F124FA" w:rsidRDefault="003F3FEB" w:rsidP="00F124FA">
      <w:pPr>
        <w:spacing w:after="0" w:line="480" w:lineRule="auto"/>
        <w:ind w:left="360" w:firstLine="360"/>
        <w:jc w:val="both"/>
        <w:rPr>
          <w:rFonts w:ascii="Times New Roman" w:hAnsi="Times New Roman" w:cs="Times New Roman"/>
        </w:rPr>
      </w:pPr>
      <w:r w:rsidRPr="00F124FA">
        <w:rPr>
          <w:rFonts w:ascii="Times New Roman" w:eastAsiaTheme="majorEastAsia" w:hAnsi="Times New Roman" w:cs="Times New Roman"/>
        </w:rPr>
        <w:t xml:space="preserve">Based on these questions, the study proposes several hypotheses to be tested using firm-level financial data and macroeconomic indicators. The first hypothesis (H1) </w:t>
      </w:r>
      <w:r w:rsidR="00F124FA" w:rsidRPr="00F124FA">
        <w:rPr>
          <w:rFonts w:ascii="Times New Roman" w:eastAsia="Times New Roman" w:hAnsi="Times New Roman" w:cs="Times New Roman"/>
        </w:rPr>
        <w:t xml:space="preserve">Exchange rate volatility has a negative and significant impact on PT Krakatau Steel’s financial </w:t>
      </w:r>
      <w:r w:rsidR="00F124FA" w:rsidRPr="00F124FA">
        <w:rPr>
          <w:rFonts w:ascii="Times New Roman" w:eastAsia="Times New Roman" w:hAnsi="Times New Roman" w:cs="Times New Roman"/>
        </w:rPr>
        <w:lastRenderedPageBreak/>
        <w:t>performance (ROA).</w:t>
      </w:r>
      <w:r w:rsidRPr="00F124FA">
        <w:rPr>
          <w:rFonts w:ascii="Times New Roman" w:eastAsiaTheme="majorEastAsia" w:hAnsi="Times New Roman" w:cs="Times New Roman"/>
        </w:rPr>
        <w:t xml:space="preserve"> The second hypothesis (H2) </w:t>
      </w:r>
      <w:r w:rsidR="00F124FA" w:rsidRPr="00F124FA">
        <w:rPr>
          <w:rFonts w:ascii="Times New Roman" w:eastAsia="Times New Roman" w:hAnsi="Times New Roman" w:cs="Times New Roman"/>
        </w:rPr>
        <w:t xml:space="preserve">Exchange rate volatility has a negative and significant impact on PT Krakatau Steel’s net income. </w:t>
      </w:r>
      <w:r w:rsidRPr="00F124FA">
        <w:rPr>
          <w:rFonts w:ascii="Times New Roman" w:eastAsiaTheme="majorEastAsia" w:hAnsi="Times New Roman" w:cs="Times New Roman"/>
        </w:rPr>
        <w:t xml:space="preserve">The third hypothesis (H3) </w:t>
      </w:r>
      <w:r w:rsidR="00F6215C">
        <w:rPr>
          <w:rFonts w:ascii="Times New Roman" w:eastAsia="Times New Roman" w:hAnsi="Times New Roman" w:cs="Times New Roman"/>
        </w:rPr>
        <w:t>Foreign exchange rate volatility has a positive</w:t>
      </w:r>
      <w:r w:rsidR="003E3428">
        <w:rPr>
          <w:rFonts w:ascii="Times New Roman" w:eastAsia="Times New Roman" w:hAnsi="Times New Roman" w:cs="Times New Roman"/>
        </w:rPr>
        <w:t xml:space="preserve"> effect on Cash Flow Volatility</w:t>
      </w:r>
      <w:r w:rsidR="00F124FA" w:rsidRPr="00F124FA">
        <w:rPr>
          <w:rFonts w:ascii="Times New Roman" w:eastAsia="Times New Roman" w:hAnsi="Times New Roman" w:cs="Times New Roman"/>
        </w:rPr>
        <w:t>. The fourth hypothesis (H4)</w:t>
      </w:r>
      <w:r w:rsidR="003E3428">
        <w:rPr>
          <w:rFonts w:ascii="Times New Roman" w:eastAsia="Times New Roman" w:hAnsi="Times New Roman" w:cs="Times New Roman"/>
        </w:rPr>
        <w:t xml:space="preserve"> The existence of hedging activities has a positive effect on ROA. </w:t>
      </w:r>
      <w:r w:rsidR="00F124FA" w:rsidRPr="00F124FA">
        <w:rPr>
          <w:rFonts w:ascii="Times New Roman" w:eastAsia="Times New Roman" w:hAnsi="Times New Roman" w:cs="Times New Roman"/>
        </w:rPr>
        <w:t xml:space="preserve"> </w:t>
      </w:r>
      <w:r w:rsidR="003E3428" w:rsidRPr="00F124FA">
        <w:rPr>
          <w:rFonts w:ascii="Times New Roman" w:eastAsia="Times New Roman" w:hAnsi="Times New Roman" w:cs="Times New Roman"/>
        </w:rPr>
        <w:t xml:space="preserve">The </w:t>
      </w:r>
      <w:r w:rsidR="003E3428">
        <w:rPr>
          <w:rFonts w:ascii="Times New Roman" w:eastAsia="Times New Roman" w:hAnsi="Times New Roman" w:cs="Times New Roman"/>
        </w:rPr>
        <w:t>fifth</w:t>
      </w:r>
      <w:r w:rsidR="003E3428" w:rsidRPr="00F124FA">
        <w:rPr>
          <w:rFonts w:ascii="Times New Roman" w:eastAsia="Times New Roman" w:hAnsi="Times New Roman" w:cs="Times New Roman"/>
        </w:rPr>
        <w:t xml:space="preserve"> hypothesis (H</w:t>
      </w:r>
      <w:r w:rsidR="003E3428">
        <w:rPr>
          <w:rFonts w:ascii="Times New Roman" w:eastAsia="Times New Roman" w:hAnsi="Times New Roman" w:cs="Times New Roman"/>
        </w:rPr>
        <w:t>5</w:t>
      </w:r>
      <w:r w:rsidR="003E3428" w:rsidRPr="00F124FA">
        <w:rPr>
          <w:rFonts w:ascii="Times New Roman" w:eastAsia="Times New Roman" w:hAnsi="Times New Roman" w:cs="Times New Roman"/>
        </w:rPr>
        <w:t>)</w:t>
      </w:r>
      <w:r w:rsidR="003E3428">
        <w:rPr>
          <w:rFonts w:ascii="Times New Roman" w:eastAsia="Times New Roman" w:hAnsi="Times New Roman" w:cs="Times New Roman"/>
        </w:rPr>
        <w:t xml:space="preserve"> The existence of hedging activities has a positive effect on </w:t>
      </w:r>
      <w:r w:rsidR="003E3428">
        <w:rPr>
          <w:rFonts w:ascii="Times New Roman" w:eastAsia="Times New Roman" w:hAnsi="Times New Roman" w:cs="Times New Roman"/>
        </w:rPr>
        <w:t>net income</w:t>
      </w:r>
      <w:r w:rsidR="003E3428">
        <w:rPr>
          <w:rFonts w:ascii="Times New Roman" w:eastAsia="Times New Roman" w:hAnsi="Times New Roman" w:cs="Times New Roman"/>
        </w:rPr>
        <w:t>.</w:t>
      </w:r>
      <w:r w:rsidR="003E3428">
        <w:rPr>
          <w:rFonts w:ascii="Times New Roman" w:eastAsia="Times New Roman" w:hAnsi="Times New Roman" w:cs="Times New Roman"/>
        </w:rPr>
        <w:t xml:space="preserve"> </w:t>
      </w:r>
      <w:r w:rsidR="003E3428" w:rsidRPr="00F124FA">
        <w:rPr>
          <w:rFonts w:ascii="Times New Roman" w:eastAsia="Times New Roman" w:hAnsi="Times New Roman" w:cs="Times New Roman"/>
        </w:rPr>
        <w:t xml:space="preserve">The </w:t>
      </w:r>
      <w:r w:rsidR="003E3428">
        <w:rPr>
          <w:rFonts w:ascii="Times New Roman" w:eastAsia="Times New Roman" w:hAnsi="Times New Roman" w:cs="Times New Roman"/>
        </w:rPr>
        <w:t>sixth</w:t>
      </w:r>
      <w:r w:rsidR="003E3428" w:rsidRPr="00F124FA">
        <w:rPr>
          <w:rFonts w:ascii="Times New Roman" w:eastAsia="Times New Roman" w:hAnsi="Times New Roman" w:cs="Times New Roman"/>
        </w:rPr>
        <w:t xml:space="preserve"> hypothesis (H</w:t>
      </w:r>
      <w:r w:rsidR="003E3428">
        <w:rPr>
          <w:rFonts w:ascii="Times New Roman" w:eastAsia="Times New Roman" w:hAnsi="Times New Roman" w:cs="Times New Roman"/>
        </w:rPr>
        <w:t>6</w:t>
      </w:r>
      <w:r w:rsidR="003E3428" w:rsidRPr="00F124FA">
        <w:rPr>
          <w:rFonts w:ascii="Times New Roman" w:eastAsia="Times New Roman" w:hAnsi="Times New Roman" w:cs="Times New Roman"/>
        </w:rPr>
        <w:t>)</w:t>
      </w:r>
      <w:r w:rsidR="003E3428">
        <w:rPr>
          <w:rFonts w:ascii="Times New Roman" w:eastAsia="Times New Roman" w:hAnsi="Times New Roman" w:cs="Times New Roman"/>
        </w:rPr>
        <w:t xml:space="preserve"> The existence of hedging activities has a </w:t>
      </w:r>
      <w:r w:rsidR="003E3428">
        <w:rPr>
          <w:rFonts w:ascii="Times New Roman" w:eastAsia="Times New Roman" w:hAnsi="Times New Roman" w:cs="Times New Roman"/>
        </w:rPr>
        <w:t>negative</w:t>
      </w:r>
      <w:r w:rsidR="003E3428">
        <w:rPr>
          <w:rFonts w:ascii="Times New Roman" w:eastAsia="Times New Roman" w:hAnsi="Times New Roman" w:cs="Times New Roman"/>
        </w:rPr>
        <w:t xml:space="preserve"> effect on </w:t>
      </w:r>
      <w:r w:rsidR="003E3428">
        <w:rPr>
          <w:rFonts w:ascii="Times New Roman" w:eastAsia="Times New Roman" w:hAnsi="Times New Roman" w:cs="Times New Roman"/>
        </w:rPr>
        <w:t>Cash Flow Volatility</w:t>
      </w:r>
      <w:r w:rsidR="003E3428">
        <w:rPr>
          <w:rFonts w:ascii="Times New Roman" w:eastAsia="Times New Roman" w:hAnsi="Times New Roman" w:cs="Times New Roman"/>
        </w:rPr>
        <w:t>.</w:t>
      </w:r>
      <w:r w:rsidR="003E3428">
        <w:rPr>
          <w:rFonts w:ascii="Times New Roman" w:eastAsia="Times New Roman" w:hAnsi="Times New Roman" w:cs="Times New Roman"/>
        </w:rPr>
        <w:t xml:space="preserve"> </w:t>
      </w:r>
      <w:r w:rsidR="003E3428" w:rsidRPr="00F124FA">
        <w:rPr>
          <w:rFonts w:ascii="Times New Roman" w:eastAsia="Times New Roman" w:hAnsi="Times New Roman" w:cs="Times New Roman"/>
        </w:rPr>
        <w:t xml:space="preserve">The </w:t>
      </w:r>
      <w:r w:rsidR="003E3428">
        <w:rPr>
          <w:rFonts w:ascii="Times New Roman" w:eastAsia="Times New Roman" w:hAnsi="Times New Roman" w:cs="Times New Roman"/>
        </w:rPr>
        <w:t>seventh</w:t>
      </w:r>
      <w:r w:rsidR="003E3428" w:rsidRPr="00F124FA">
        <w:rPr>
          <w:rFonts w:ascii="Times New Roman" w:eastAsia="Times New Roman" w:hAnsi="Times New Roman" w:cs="Times New Roman"/>
        </w:rPr>
        <w:t xml:space="preserve"> hypothesis (H</w:t>
      </w:r>
      <w:r w:rsidR="003E3428">
        <w:rPr>
          <w:rFonts w:ascii="Times New Roman" w:eastAsia="Times New Roman" w:hAnsi="Times New Roman" w:cs="Times New Roman"/>
        </w:rPr>
        <w:t>7</w:t>
      </w:r>
      <w:r w:rsidR="003E3428" w:rsidRPr="00F124FA">
        <w:rPr>
          <w:rFonts w:ascii="Times New Roman" w:eastAsia="Times New Roman" w:hAnsi="Times New Roman" w:cs="Times New Roman"/>
        </w:rPr>
        <w:t>)</w:t>
      </w:r>
      <w:r w:rsidR="003E3428">
        <w:rPr>
          <w:rFonts w:ascii="Times New Roman" w:eastAsia="Times New Roman" w:hAnsi="Times New Roman" w:cs="Times New Roman"/>
        </w:rPr>
        <w:t xml:space="preserve"> </w:t>
      </w:r>
      <w:r w:rsidR="00F124FA" w:rsidRPr="00F124FA">
        <w:rPr>
          <w:rFonts w:ascii="Times New Roman" w:eastAsia="Times New Roman" w:hAnsi="Times New Roman" w:cs="Times New Roman"/>
        </w:rPr>
        <w:t>Firm-specific factors (leverage, firm size, liquidity) significantly affect PT Krakatau Steel’s financial performance.</w:t>
      </w:r>
      <w:r w:rsidR="00F124FA" w:rsidRPr="00F124FA">
        <w:rPr>
          <w:rFonts w:ascii="Times New Roman" w:hAnsi="Times New Roman" w:cs="Times New Roman"/>
        </w:rPr>
        <w:t xml:space="preserve"> </w:t>
      </w:r>
      <w:r w:rsidRPr="00F124FA">
        <w:rPr>
          <w:rFonts w:ascii="Times New Roman" w:eastAsiaTheme="majorEastAsia" w:hAnsi="Times New Roman" w:cs="Times New Roman"/>
        </w:rPr>
        <w:t>These hypotheses will be evaluated through quantitative analysis over multiple time periods, particularly during phases of significant IDR depreciation, to determine the effectiveness and financial relevance of hedging strategies employed by the company.</w:t>
      </w:r>
    </w:p>
    <w:p w14:paraId="60BAF5FA" w14:textId="0604CF80" w:rsidR="00503020" w:rsidRDefault="001762F7" w:rsidP="005F6154">
      <w:pPr>
        <w:pStyle w:val="ListParagraph"/>
        <w:numPr>
          <w:ilvl w:val="0"/>
          <w:numId w:val="1"/>
        </w:numPr>
        <w:spacing w:after="0"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Literature Review</w:t>
      </w:r>
    </w:p>
    <w:p w14:paraId="66C123C5" w14:textId="4DC00E78" w:rsidR="001762F7" w:rsidRDefault="001762F7" w:rsidP="005F6154">
      <w:pPr>
        <w:pStyle w:val="ListParagraph"/>
        <w:numPr>
          <w:ilvl w:val="0"/>
          <w:numId w:val="1"/>
        </w:numPr>
        <w:spacing w:after="0"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Methods</w:t>
      </w:r>
    </w:p>
    <w:p w14:paraId="50A857A7" w14:textId="51222C83" w:rsidR="001762F7" w:rsidRDefault="001762F7" w:rsidP="005F6154">
      <w:pPr>
        <w:pStyle w:val="ListParagraph"/>
        <w:numPr>
          <w:ilvl w:val="0"/>
          <w:numId w:val="1"/>
        </w:numPr>
        <w:spacing w:after="0"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Results</w:t>
      </w:r>
    </w:p>
    <w:p w14:paraId="097CB425" w14:textId="695A0506" w:rsidR="001762F7" w:rsidRDefault="001762F7" w:rsidP="005F6154">
      <w:pPr>
        <w:pStyle w:val="ListParagraph"/>
        <w:numPr>
          <w:ilvl w:val="0"/>
          <w:numId w:val="1"/>
        </w:numPr>
        <w:spacing w:after="0"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Discussion and Conclusion</w:t>
      </w:r>
    </w:p>
    <w:p w14:paraId="6DA69ACB" w14:textId="3F2F7959" w:rsidR="001762F7" w:rsidRDefault="001762F7" w:rsidP="005F6154">
      <w:pPr>
        <w:pStyle w:val="ListParagraph"/>
        <w:numPr>
          <w:ilvl w:val="0"/>
          <w:numId w:val="1"/>
        </w:numPr>
        <w:spacing w:after="0"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References</w:t>
      </w:r>
    </w:p>
    <w:p w14:paraId="7C6EA009" w14:textId="57F4FC44" w:rsidR="00AF4851" w:rsidRDefault="00AF4851" w:rsidP="00AF4851">
      <w:pPr>
        <w:spacing w:after="0" w:line="480" w:lineRule="auto"/>
        <w:ind w:left="360"/>
        <w:jc w:val="both"/>
        <w:rPr>
          <w:rFonts w:ascii="Times New Roman" w:eastAsiaTheme="majorEastAsia" w:hAnsi="Times New Roman" w:cs="Times New Roman"/>
        </w:rPr>
      </w:pPr>
      <w:hyperlink r:id="rId8" w:anchor=":~:text=%22To%20maintain%20the%20sustainability%20of,the%20use%20of%20commodity%20balances" w:history="1">
        <w:r w:rsidRPr="00D14E79">
          <w:rPr>
            <w:rStyle w:val="Hyperlink"/>
            <w:rFonts w:ascii="Times New Roman" w:eastAsiaTheme="majorEastAsia" w:hAnsi="Times New Roman" w:cs="Times New Roman" w:hint="eastAsia"/>
          </w:rPr>
          <w:t>https://ekon.go.id/publikasi/detail/4990/having-impressive-performance-the-mother-of-industries-sector-is-supported-to-create-green-steel-based-on-technology-and-green-energy#:~:text=%22To%20maintain%20the%20sustainability%20of,the%20use%20of%20commodity%20balances</w:t>
        </w:r>
      </w:hyperlink>
      <w:r w:rsidRPr="00AF4851">
        <w:rPr>
          <w:rFonts w:ascii="Times New Roman" w:eastAsiaTheme="majorEastAsia" w:hAnsi="Times New Roman" w:cs="Times New Roman" w:hint="eastAsia"/>
        </w:rPr>
        <w:t>.</w:t>
      </w:r>
    </w:p>
    <w:p w14:paraId="1F251637" w14:textId="04561B99" w:rsidR="00AF4851" w:rsidRDefault="009C1DF3" w:rsidP="00AF4851">
      <w:pPr>
        <w:spacing w:after="0" w:line="480" w:lineRule="auto"/>
        <w:ind w:left="360"/>
        <w:jc w:val="both"/>
        <w:rPr>
          <w:rFonts w:ascii="Times New Roman" w:eastAsiaTheme="majorEastAsia" w:hAnsi="Times New Roman" w:cs="Times New Roman"/>
        </w:rPr>
      </w:pPr>
      <w:r w:rsidRPr="009C1DF3">
        <w:rPr>
          <w:rFonts w:ascii="Times New Roman" w:eastAsiaTheme="majorEastAsia" w:hAnsi="Times New Roman" w:cs="Times New Roman"/>
        </w:rPr>
        <w:t xml:space="preserve">Kredit Rating Indonesia. (2024). </w:t>
      </w:r>
      <w:r w:rsidRPr="009C1DF3">
        <w:rPr>
          <w:rFonts w:ascii="Times New Roman" w:eastAsiaTheme="majorEastAsia" w:hAnsi="Times New Roman" w:cs="Times New Roman"/>
          <w:i/>
          <w:iCs/>
        </w:rPr>
        <w:t>Steel sector review 2024</w:t>
      </w:r>
      <w:r w:rsidRPr="009C1DF3">
        <w:rPr>
          <w:rFonts w:ascii="Times New Roman" w:eastAsiaTheme="majorEastAsia" w:hAnsi="Times New Roman" w:cs="Times New Roman"/>
        </w:rPr>
        <w:t xml:space="preserve">. </w:t>
      </w:r>
      <w:hyperlink r:id="rId9" w:tgtFrame="_blank" w:history="1">
        <w:r w:rsidRPr="009C1DF3">
          <w:rPr>
            <w:rStyle w:val="Hyperlink"/>
            <w:rFonts w:ascii="Times New Roman" w:eastAsiaTheme="majorEastAsia" w:hAnsi="Times New Roman" w:cs="Times New Roman"/>
          </w:rPr>
          <w:t>https://www.kreditratingindonesia.com/wp-content/uploads/2024/11/Steel-Sector-Review-2024.pdf</w:t>
        </w:r>
      </w:hyperlink>
    </w:p>
    <w:p w14:paraId="2CE516BE" w14:textId="2E707479" w:rsidR="008B7782" w:rsidRDefault="008B7782" w:rsidP="00AF4851">
      <w:pPr>
        <w:spacing w:after="0" w:line="480" w:lineRule="auto"/>
        <w:ind w:left="360"/>
        <w:jc w:val="both"/>
        <w:rPr>
          <w:rFonts w:ascii="Times New Roman" w:eastAsiaTheme="majorEastAsia" w:hAnsi="Times New Roman" w:cs="Times New Roman"/>
        </w:rPr>
      </w:pPr>
      <w:r w:rsidRPr="008B7782">
        <w:rPr>
          <w:rFonts w:ascii="Times New Roman" w:eastAsiaTheme="majorEastAsia" w:hAnsi="Times New Roman" w:cs="Times New Roman"/>
        </w:rPr>
        <w:lastRenderedPageBreak/>
        <w:t xml:space="preserve">Institute for Essential Services Reform. (2025). </w:t>
      </w:r>
      <w:r w:rsidRPr="008B7782">
        <w:rPr>
          <w:rFonts w:ascii="Times New Roman" w:eastAsiaTheme="majorEastAsia" w:hAnsi="Times New Roman" w:cs="Times New Roman"/>
          <w:i/>
          <w:iCs/>
        </w:rPr>
        <w:t>Indonesia energy transition outlook 2025: Digital version</w:t>
      </w:r>
      <w:r w:rsidRPr="008B7782">
        <w:rPr>
          <w:rFonts w:ascii="Times New Roman" w:eastAsiaTheme="majorEastAsia" w:hAnsi="Times New Roman" w:cs="Times New Roman"/>
        </w:rPr>
        <w:t xml:space="preserve">. </w:t>
      </w:r>
      <w:hyperlink r:id="rId10" w:tgtFrame="_blank" w:history="1">
        <w:r w:rsidRPr="008B7782">
          <w:rPr>
            <w:rStyle w:val="Hyperlink"/>
            <w:rFonts w:ascii="Times New Roman" w:eastAsiaTheme="majorEastAsia" w:hAnsi="Times New Roman" w:cs="Times New Roman"/>
          </w:rPr>
          <w:t>https://iesr.or.id/wp-content/uploads/2024/12/Indonesia-Energy-Transition-Outlook-2025-Digital-Version.pdf</w:t>
        </w:r>
      </w:hyperlink>
    </w:p>
    <w:p w14:paraId="673B4B6E" w14:textId="22A78971" w:rsidR="00F36874" w:rsidRDefault="00F36874" w:rsidP="00AF4851">
      <w:pPr>
        <w:spacing w:after="0" w:line="480" w:lineRule="auto"/>
        <w:ind w:left="360"/>
        <w:jc w:val="both"/>
        <w:rPr>
          <w:rFonts w:ascii="Times New Roman" w:eastAsiaTheme="majorEastAsia" w:hAnsi="Times New Roman" w:cs="Times New Roman"/>
        </w:rPr>
      </w:pPr>
      <w:r w:rsidRPr="00F36874">
        <w:rPr>
          <w:rFonts w:ascii="Times New Roman" w:eastAsiaTheme="majorEastAsia" w:hAnsi="Times New Roman" w:cs="Times New Roman"/>
        </w:rPr>
        <w:t xml:space="preserve">PT Krakatau Steel (Persero) Tbk. (2023). </w:t>
      </w:r>
      <w:r w:rsidRPr="00F36874">
        <w:rPr>
          <w:rFonts w:ascii="Times New Roman" w:eastAsiaTheme="majorEastAsia" w:hAnsi="Times New Roman" w:cs="Times New Roman"/>
          <w:i/>
          <w:iCs/>
        </w:rPr>
        <w:t>Annual report and sustainability report 2023</w:t>
      </w:r>
      <w:r w:rsidRPr="00F36874">
        <w:rPr>
          <w:rFonts w:ascii="Times New Roman" w:eastAsiaTheme="majorEastAsia" w:hAnsi="Times New Roman" w:cs="Times New Roman"/>
        </w:rPr>
        <w:t xml:space="preserve">. </w:t>
      </w:r>
      <w:hyperlink r:id="rId11" w:tgtFrame="_blank" w:history="1">
        <w:r w:rsidRPr="00F36874">
          <w:rPr>
            <w:rStyle w:val="Hyperlink"/>
            <w:rFonts w:ascii="Times New Roman" w:eastAsiaTheme="majorEastAsia" w:hAnsi="Times New Roman" w:cs="Times New Roman"/>
          </w:rPr>
          <w:t>https://www.krakatausteel.com/pdf/Krakatau_Steel_AR_SR_2023_1.pdf</w:t>
        </w:r>
      </w:hyperlink>
    </w:p>
    <w:p w14:paraId="7BDF1C24" w14:textId="755A9C26" w:rsidR="00D943F6" w:rsidRDefault="00D943F6" w:rsidP="00AF4851">
      <w:pPr>
        <w:spacing w:after="0" w:line="480" w:lineRule="auto"/>
        <w:ind w:left="360"/>
        <w:jc w:val="both"/>
        <w:rPr>
          <w:rFonts w:ascii="Times New Roman" w:eastAsiaTheme="majorEastAsia" w:hAnsi="Times New Roman" w:cs="Times New Roman"/>
        </w:rPr>
      </w:pPr>
      <w:r w:rsidRPr="00D943F6">
        <w:rPr>
          <w:rFonts w:ascii="Times New Roman" w:eastAsiaTheme="majorEastAsia" w:hAnsi="Times New Roman" w:cs="Times New Roman"/>
        </w:rPr>
        <w:t xml:space="preserve">Supriyadi, A., Yanfitri, Y., Arimurti, T., &amp; Atharinanda, S. (2025). Exchange rate and Indonesia economic growth. </w:t>
      </w:r>
      <w:r w:rsidRPr="00D943F6">
        <w:rPr>
          <w:rFonts w:ascii="Times New Roman" w:eastAsiaTheme="majorEastAsia" w:hAnsi="Times New Roman" w:cs="Times New Roman"/>
          <w:i/>
          <w:iCs/>
        </w:rPr>
        <w:t>Bulletin of Monetary Economics and Banking, 28</w:t>
      </w:r>
      <w:r w:rsidRPr="00D943F6">
        <w:rPr>
          <w:rFonts w:ascii="Times New Roman" w:eastAsiaTheme="majorEastAsia" w:hAnsi="Times New Roman" w:cs="Times New Roman"/>
        </w:rPr>
        <w:t xml:space="preserve">(2), Article 5. </w:t>
      </w:r>
      <w:hyperlink r:id="rId12" w:tgtFrame="_blank" w:history="1">
        <w:r w:rsidRPr="00D943F6">
          <w:rPr>
            <w:rStyle w:val="Hyperlink"/>
            <w:rFonts w:ascii="Times New Roman" w:eastAsiaTheme="majorEastAsia" w:hAnsi="Times New Roman" w:cs="Times New Roman"/>
          </w:rPr>
          <w:t>https://doi.org/10.59091/2460-9196.1932</w:t>
        </w:r>
      </w:hyperlink>
    </w:p>
    <w:p w14:paraId="77065D41" w14:textId="78C5DEB6" w:rsidR="00FC38E3" w:rsidRDefault="00FC38E3" w:rsidP="00AF4851">
      <w:pPr>
        <w:spacing w:after="0" w:line="480" w:lineRule="auto"/>
        <w:ind w:left="360"/>
        <w:jc w:val="both"/>
        <w:rPr>
          <w:rFonts w:ascii="Times New Roman" w:eastAsiaTheme="majorEastAsia" w:hAnsi="Times New Roman" w:cs="Times New Roman"/>
        </w:rPr>
      </w:pPr>
      <w:r w:rsidRPr="00FC38E3">
        <w:rPr>
          <w:rFonts w:ascii="Times New Roman" w:eastAsiaTheme="majorEastAsia" w:hAnsi="Times New Roman" w:cs="Times New Roman"/>
        </w:rPr>
        <w:t xml:space="preserve">Li, X., Rao, P., &amp; Stoltz, D. (2025). Enterprise risk management and foreign currency derivatives usage. </w:t>
      </w:r>
      <w:r w:rsidRPr="00FC38E3">
        <w:rPr>
          <w:rFonts w:ascii="Times New Roman" w:eastAsiaTheme="majorEastAsia" w:hAnsi="Times New Roman" w:cs="Times New Roman"/>
          <w:i/>
          <w:iCs/>
        </w:rPr>
        <w:t>International Review of Economics &amp; Finance, 97</w:t>
      </w:r>
      <w:r w:rsidRPr="00FC38E3">
        <w:rPr>
          <w:rFonts w:ascii="Times New Roman" w:eastAsiaTheme="majorEastAsia" w:hAnsi="Times New Roman" w:cs="Times New Roman"/>
        </w:rPr>
        <w:t xml:space="preserve">, 104518. </w:t>
      </w:r>
      <w:hyperlink r:id="rId13" w:tgtFrame="_blank" w:history="1">
        <w:r w:rsidRPr="00FC38E3">
          <w:rPr>
            <w:rStyle w:val="Hyperlink"/>
            <w:rFonts w:ascii="Times New Roman" w:eastAsiaTheme="majorEastAsia" w:hAnsi="Times New Roman" w:cs="Times New Roman"/>
          </w:rPr>
          <w:t>https://doi.org/10.1016/j.iref.2025.104518</w:t>
        </w:r>
      </w:hyperlink>
    </w:p>
    <w:p w14:paraId="5DD271E1" w14:textId="0F8EAEA0" w:rsidR="00830CF3" w:rsidRDefault="00830CF3" w:rsidP="00AF4851">
      <w:pPr>
        <w:spacing w:after="0" w:line="480" w:lineRule="auto"/>
        <w:ind w:left="360"/>
        <w:jc w:val="both"/>
        <w:rPr>
          <w:rFonts w:hint="eastAsia"/>
        </w:rPr>
      </w:pPr>
      <w:r w:rsidRPr="00830CF3">
        <w:rPr>
          <w:rFonts w:ascii="Times New Roman" w:eastAsiaTheme="majorEastAsia" w:hAnsi="Times New Roman" w:cs="Times New Roman"/>
        </w:rPr>
        <w:t xml:space="preserve">Nasriani. (2024). Foreign exchange volatility and corporate risk mitigation approaches: Evidence from Indonesian SMEs. </w:t>
      </w:r>
      <w:r w:rsidRPr="00830CF3">
        <w:rPr>
          <w:rFonts w:ascii="Times New Roman" w:eastAsiaTheme="majorEastAsia" w:hAnsi="Times New Roman" w:cs="Times New Roman"/>
          <w:i/>
          <w:iCs/>
        </w:rPr>
        <w:t>Sinergi International Journal of Accounting &amp; Taxation, 2</w:t>
      </w:r>
      <w:r w:rsidRPr="00830CF3">
        <w:rPr>
          <w:rFonts w:ascii="Times New Roman" w:eastAsiaTheme="majorEastAsia" w:hAnsi="Times New Roman" w:cs="Times New Roman"/>
        </w:rPr>
        <w:t xml:space="preserve">(3), 175–186. </w:t>
      </w:r>
      <w:hyperlink r:id="rId14" w:tgtFrame="_blank" w:history="1">
        <w:r w:rsidRPr="00830CF3">
          <w:rPr>
            <w:rStyle w:val="Hyperlink"/>
            <w:rFonts w:ascii="Times New Roman" w:eastAsiaTheme="majorEastAsia" w:hAnsi="Times New Roman" w:cs="Times New Roman"/>
          </w:rPr>
          <w:t>https://doi.org/10.61194/ijat.v2i3.638</w:t>
        </w:r>
      </w:hyperlink>
    </w:p>
    <w:p w14:paraId="789C8FC9" w14:textId="77A0066E" w:rsidR="00885993" w:rsidRDefault="009E6F8F" w:rsidP="00AF4851">
      <w:pPr>
        <w:spacing w:after="0" w:line="480" w:lineRule="auto"/>
        <w:ind w:left="360"/>
        <w:jc w:val="both"/>
        <w:rPr>
          <w:rFonts w:ascii="Times New Roman" w:eastAsiaTheme="majorEastAsia" w:hAnsi="Times New Roman" w:cs="Times New Roman"/>
        </w:rPr>
      </w:pPr>
      <w:r w:rsidRPr="009E6F8F">
        <w:rPr>
          <w:rFonts w:ascii="Times New Roman" w:eastAsiaTheme="majorEastAsia" w:hAnsi="Times New Roman" w:cs="Times New Roman"/>
        </w:rPr>
        <w:t xml:space="preserve">Zai, F. S., &amp; Mansur, A. (2024). Hedging strategy to mitigate exchange rate risk in cross-border transactions: Literature review. </w:t>
      </w:r>
      <w:r w:rsidRPr="009E6F8F">
        <w:rPr>
          <w:rFonts w:ascii="Times New Roman" w:eastAsiaTheme="majorEastAsia" w:hAnsi="Times New Roman" w:cs="Times New Roman"/>
          <w:i/>
          <w:iCs/>
        </w:rPr>
        <w:t>Journal of Business Management and Economic Development, 2</w:t>
      </w:r>
      <w:r w:rsidRPr="009E6F8F">
        <w:rPr>
          <w:rFonts w:ascii="Times New Roman" w:eastAsiaTheme="majorEastAsia" w:hAnsi="Times New Roman" w:cs="Times New Roman"/>
        </w:rPr>
        <w:t xml:space="preserve">(3), 1155–1168. </w:t>
      </w:r>
      <w:hyperlink r:id="rId15" w:tgtFrame="_blank" w:history="1">
        <w:r w:rsidRPr="009E6F8F">
          <w:rPr>
            <w:rStyle w:val="Hyperlink"/>
            <w:rFonts w:ascii="Times New Roman" w:eastAsiaTheme="majorEastAsia" w:hAnsi="Times New Roman" w:cs="Times New Roman"/>
          </w:rPr>
          <w:t>https://doi.org/10.59653/jbmed.v2i03.908</w:t>
        </w:r>
      </w:hyperlink>
    </w:p>
    <w:p w14:paraId="2C88DB18" w14:textId="5C5499BF" w:rsidR="009E6F8F" w:rsidRDefault="000C203D" w:rsidP="00AF4851">
      <w:pPr>
        <w:spacing w:after="0" w:line="480" w:lineRule="auto"/>
        <w:ind w:left="360"/>
        <w:jc w:val="both"/>
        <w:rPr>
          <w:rFonts w:ascii="Times New Roman" w:eastAsiaTheme="majorEastAsia" w:hAnsi="Times New Roman" w:cs="Times New Roman"/>
        </w:rPr>
      </w:pPr>
      <w:r w:rsidRPr="000C203D">
        <w:rPr>
          <w:rFonts w:ascii="Times New Roman" w:eastAsiaTheme="majorEastAsia" w:hAnsi="Times New Roman" w:cs="Times New Roman"/>
        </w:rPr>
        <w:t xml:space="preserve">Sudipta, H., &amp; Wiryono, S. K. (2012). Implementing derivative tools as foreign exchange risk management for steel industries in import activities. </w:t>
      </w:r>
      <w:r w:rsidRPr="000C203D">
        <w:rPr>
          <w:rFonts w:ascii="Times New Roman" w:eastAsiaTheme="majorEastAsia" w:hAnsi="Times New Roman" w:cs="Times New Roman"/>
          <w:i/>
          <w:iCs/>
        </w:rPr>
        <w:t>Journal of Business and Management, 1</w:t>
      </w:r>
      <w:r w:rsidRPr="000C203D">
        <w:rPr>
          <w:rFonts w:ascii="Times New Roman" w:eastAsiaTheme="majorEastAsia" w:hAnsi="Times New Roman" w:cs="Times New Roman"/>
        </w:rPr>
        <w:t>(3), 183–189.</w:t>
      </w:r>
    </w:p>
    <w:p w14:paraId="47B08AE1" w14:textId="6519E487" w:rsidR="001762F7" w:rsidRPr="00503020" w:rsidRDefault="001762F7" w:rsidP="005F6154">
      <w:pPr>
        <w:pStyle w:val="ListParagraph"/>
        <w:numPr>
          <w:ilvl w:val="0"/>
          <w:numId w:val="1"/>
        </w:numPr>
        <w:spacing w:after="0" w:line="480" w:lineRule="auto"/>
        <w:jc w:val="both"/>
        <w:rPr>
          <w:rFonts w:ascii="Times New Roman" w:eastAsiaTheme="majorEastAsia" w:hAnsi="Times New Roman" w:cs="Times New Roman"/>
          <w:b/>
          <w:bCs/>
          <w:sz w:val="28"/>
          <w:szCs w:val="28"/>
        </w:rPr>
      </w:pPr>
      <w:r>
        <w:rPr>
          <w:rFonts w:ascii="Times New Roman" w:eastAsiaTheme="majorEastAsia" w:hAnsi="Times New Roman" w:cs="Times New Roman"/>
          <w:b/>
          <w:bCs/>
          <w:sz w:val="28"/>
          <w:szCs w:val="28"/>
        </w:rPr>
        <w:t>Appendix</w:t>
      </w:r>
    </w:p>
    <w:sectPr w:rsidR="001762F7" w:rsidRPr="00503020" w:rsidSect="0050302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altName w:val="Calibri"/>
    <w:charset w:val="00"/>
    <w:family w:val="roman"/>
    <w:pitch w:val="default"/>
  </w:font>
  <w:font w:name="Malgun Gothic">
    <w:altName w:val="맑은 고딕"/>
    <w:panose1 w:val="020B0503020000020004"/>
    <w:charset w:val="81"/>
    <w:family w:val="swiss"/>
    <w:pitch w:val="variable"/>
    <w:sig w:usb0="9000002F" w:usb1="29D77CFB" w:usb2="00000012" w:usb3="00000000" w:csb0="00080001" w:csb1="00000000"/>
  </w:font>
  <w:font w:name="Aptos Display">
    <w:altName w:val="Calibri"/>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322B53"/>
    <w:multiLevelType w:val="multilevel"/>
    <w:tmpl w:val="C804BFAA"/>
    <w:lvl w:ilvl="0">
      <w:start w:val="1"/>
      <w:numFmt w:val="upperRoman"/>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277641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0F6"/>
    <w:rsid w:val="00020E89"/>
    <w:rsid w:val="00032623"/>
    <w:rsid w:val="000875B2"/>
    <w:rsid w:val="000C018F"/>
    <w:rsid w:val="000C203D"/>
    <w:rsid w:val="00110C00"/>
    <w:rsid w:val="00112390"/>
    <w:rsid w:val="0013198C"/>
    <w:rsid w:val="001762F7"/>
    <w:rsid w:val="001D566E"/>
    <w:rsid w:val="001F0A8F"/>
    <w:rsid w:val="0022132E"/>
    <w:rsid w:val="00266200"/>
    <w:rsid w:val="00316AC0"/>
    <w:rsid w:val="003329D7"/>
    <w:rsid w:val="003359B6"/>
    <w:rsid w:val="003E3428"/>
    <w:rsid w:val="003F3AA5"/>
    <w:rsid w:val="003F3FEB"/>
    <w:rsid w:val="003F61A8"/>
    <w:rsid w:val="00470CF7"/>
    <w:rsid w:val="0047652B"/>
    <w:rsid w:val="00503020"/>
    <w:rsid w:val="00546585"/>
    <w:rsid w:val="00557B2D"/>
    <w:rsid w:val="005879EC"/>
    <w:rsid w:val="00596E4F"/>
    <w:rsid w:val="005D444C"/>
    <w:rsid w:val="005F6154"/>
    <w:rsid w:val="00635B02"/>
    <w:rsid w:val="006916DD"/>
    <w:rsid w:val="006F7CDC"/>
    <w:rsid w:val="00702D81"/>
    <w:rsid w:val="00766913"/>
    <w:rsid w:val="007D538D"/>
    <w:rsid w:val="007F1051"/>
    <w:rsid w:val="00830CF3"/>
    <w:rsid w:val="0087766B"/>
    <w:rsid w:val="00885993"/>
    <w:rsid w:val="008B7782"/>
    <w:rsid w:val="00933588"/>
    <w:rsid w:val="00955DDB"/>
    <w:rsid w:val="0095777E"/>
    <w:rsid w:val="00982FD4"/>
    <w:rsid w:val="009A0E43"/>
    <w:rsid w:val="009B1838"/>
    <w:rsid w:val="009C1DF3"/>
    <w:rsid w:val="009E6F8F"/>
    <w:rsid w:val="00A62707"/>
    <w:rsid w:val="00A72354"/>
    <w:rsid w:val="00AB7FED"/>
    <w:rsid w:val="00AC2E47"/>
    <w:rsid w:val="00AE789F"/>
    <w:rsid w:val="00AF4851"/>
    <w:rsid w:val="00B46F07"/>
    <w:rsid w:val="00BE31A0"/>
    <w:rsid w:val="00C14055"/>
    <w:rsid w:val="00C14C7C"/>
    <w:rsid w:val="00C22D8F"/>
    <w:rsid w:val="00C45B34"/>
    <w:rsid w:val="00C73B6C"/>
    <w:rsid w:val="00CD63BF"/>
    <w:rsid w:val="00CD78B4"/>
    <w:rsid w:val="00D14F6F"/>
    <w:rsid w:val="00D1604F"/>
    <w:rsid w:val="00D340F6"/>
    <w:rsid w:val="00D54796"/>
    <w:rsid w:val="00D6367F"/>
    <w:rsid w:val="00D77952"/>
    <w:rsid w:val="00D943F6"/>
    <w:rsid w:val="00DB0CB6"/>
    <w:rsid w:val="00DB6CF9"/>
    <w:rsid w:val="00DD2A74"/>
    <w:rsid w:val="00EA3779"/>
    <w:rsid w:val="00F124FA"/>
    <w:rsid w:val="00F36874"/>
    <w:rsid w:val="00F522B0"/>
    <w:rsid w:val="00F57742"/>
    <w:rsid w:val="00F6215C"/>
    <w:rsid w:val="00F9308D"/>
    <w:rsid w:val="00FC2CBD"/>
    <w:rsid w:val="00FC38E3"/>
  </w:rsids>
  <m:mathPr>
    <m:mathFont m:val="Cambria Math"/>
    <m:brkBin m:val="before"/>
    <m:brkBinSub m:val="--"/>
    <m:smallFrac m:val="0"/>
    <m:dispDef/>
    <m:lMargin m:val="0"/>
    <m:rMargin m:val="0"/>
    <m:defJc m:val="centerGroup"/>
    <m:wrapIndent m:val="1440"/>
    <m:intLim m:val="subSup"/>
    <m:naryLim m:val="undOvr"/>
  </m:mathPr>
  <w:themeFontLang w:val="en-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F67D3"/>
  <w15:chartTrackingRefBased/>
  <w15:docId w15:val="{D045F39C-481D-4A9C-AC88-F850A9AA74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40F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40F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40F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40F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40F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40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40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40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40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40F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40F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40F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40F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40F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40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40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40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40F6"/>
    <w:rPr>
      <w:rFonts w:eastAsiaTheme="majorEastAsia" w:cstheme="majorBidi"/>
      <w:color w:val="272727" w:themeColor="text1" w:themeTint="D8"/>
    </w:rPr>
  </w:style>
  <w:style w:type="paragraph" w:styleId="Title">
    <w:name w:val="Title"/>
    <w:basedOn w:val="Normal"/>
    <w:next w:val="Normal"/>
    <w:link w:val="TitleChar"/>
    <w:uiPriority w:val="10"/>
    <w:qFormat/>
    <w:rsid w:val="00D340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40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40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40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40F6"/>
    <w:pPr>
      <w:spacing w:before="160"/>
      <w:jc w:val="center"/>
    </w:pPr>
    <w:rPr>
      <w:i/>
      <w:iCs/>
      <w:color w:val="404040" w:themeColor="text1" w:themeTint="BF"/>
    </w:rPr>
  </w:style>
  <w:style w:type="character" w:customStyle="1" w:styleId="QuoteChar">
    <w:name w:val="Quote Char"/>
    <w:basedOn w:val="DefaultParagraphFont"/>
    <w:link w:val="Quote"/>
    <w:uiPriority w:val="29"/>
    <w:rsid w:val="00D340F6"/>
    <w:rPr>
      <w:i/>
      <w:iCs/>
      <w:color w:val="404040" w:themeColor="text1" w:themeTint="BF"/>
    </w:rPr>
  </w:style>
  <w:style w:type="paragraph" w:styleId="ListParagraph">
    <w:name w:val="List Paragraph"/>
    <w:basedOn w:val="Normal"/>
    <w:uiPriority w:val="34"/>
    <w:qFormat/>
    <w:rsid w:val="00D340F6"/>
    <w:pPr>
      <w:ind w:left="720"/>
      <w:contextualSpacing/>
    </w:pPr>
  </w:style>
  <w:style w:type="character" w:styleId="IntenseEmphasis">
    <w:name w:val="Intense Emphasis"/>
    <w:basedOn w:val="DefaultParagraphFont"/>
    <w:uiPriority w:val="21"/>
    <w:qFormat/>
    <w:rsid w:val="00D340F6"/>
    <w:rPr>
      <w:i/>
      <w:iCs/>
      <w:color w:val="0F4761" w:themeColor="accent1" w:themeShade="BF"/>
    </w:rPr>
  </w:style>
  <w:style w:type="paragraph" w:styleId="IntenseQuote">
    <w:name w:val="Intense Quote"/>
    <w:basedOn w:val="Normal"/>
    <w:next w:val="Normal"/>
    <w:link w:val="IntenseQuoteChar"/>
    <w:uiPriority w:val="30"/>
    <w:qFormat/>
    <w:rsid w:val="00D340F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40F6"/>
    <w:rPr>
      <w:i/>
      <w:iCs/>
      <w:color w:val="0F4761" w:themeColor="accent1" w:themeShade="BF"/>
    </w:rPr>
  </w:style>
  <w:style w:type="character" w:styleId="IntenseReference">
    <w:name w:val="Intense Reference"/>
    <w:basedOn w:val="DefaultParagraphFont"/>
    <w:uiPriority w:val="32"/>
    <w:qFormat/>
    <w:rsid w:val="00D340F6"/>
    <w:rPr>
      <w:b/>
      <w:bCs/>
      <w:smallCaps/>
      <w:color w:val="0F4761" w:themeColor="accent1" w:themeShade="BF"/>
      <w:spacing w:val="5"/>
    </w:rPr>
  </w:style>
  <w:style w:type="character" w:styleId="Hyperlink">
    <w:name w:val="Hyperlink"/>
    <w:basedOn w:val="DefaultParagraphFont"/>
    <w:uiPriority w:val="99"/>
    <w:unhideWhenUsed/>
    <w:rsid w:val="00D340F6"/>
    <w:rPr>
      <w:color w:val="467886" w:themeColor="hyperlink"/>
      <w:u w:val="single"/>
    </w:rPr>
  </w:style>
  <w:style w:type="character" w:styleId="UnresolvedMention">
    <w:name w:val="Unresolved Mention"/>
    <w:basedOn w:val="DefaultParagraphFont"/>
    <w:uiPriority w:val="99"/>
    <w:semiHidden/>
    <w:unhideWhenUsed/>
    <w:rsid w:val="00D340F6"/>
    <w:rPr>
      <w:color w:val="605E5C"/>
      <w:shd w:val="clear" w:color="auto" w:fill="E1DFDD"/>
    </w:rPr>
  </w:style>
  <w:style w:type="paragraph" w:styleId="NormalWeb">
    <w:name w:val="Normal (Web)"/>
    <w:basedOn w:val="Normal"/>
    <w:uiPriority w:val="99"/>
    <w:semiHidden/>
    <w:unhideWhenUsed/>
    <w:rsid w:val="00933588"/>
    <w:rPr>
      <w:rFonts w:ascii="Times New Roman" w:hAnsi="Times New Roman" w:cs="Times New Roman"/>
    </w:rPr>
  </w:style>
  <w:style w:type="paragraph" w:customStyle="1" w:styleId="FirstParagraph">
    <w:name w:val="First Paragraph"/>
    <w:basedOn w:val="BodyText"/>
    <w:next w:val="BodyText"/>
    <w:qFormat/>
    <w:rsid w:val="006F7CDC"/>
    <w:pPr>
      <w:spacing w:before="180" w:after="180" w:line="240" w:lineRule="auto"/>
    </w:pPr>
    <w:rPr>
      <w:rFonts w:eastAsiaTheme="minorHAnsi"/>
      <w:kern w:val="0"/>
      <w:lang w:val="en-US" w:eastAsia="en-US"/>
      <w14:ligatures w14:val="none"/>
    </w:rPr>
  </w:style>
  <w:style w:type="paragraph" w:styleId="BodyText">
    <w:name w:val="Body Text"/>
    <w:basedOn w:val="Normal"/>
    <w:link w:val="BodyTextChar"/>
    <w:uiPriority w:val="99"/>
    <w:unhideWhenUsed/>
    <w:rsid w:val="006F7CDC"/>
    <w:pPr>
      <w:spacing w:after="120"/>
    </w:pPr>
  </w:style>
  <w:style w:type="character" w:customStyle="1" w:styleId="BodyTextChar">
    <w:name w:val="Body Text Char"/>
    <w:basedOn w:val="DefaultParagraphFont"/>
    <w:link w:val="BodyText"/>
    <w:uiPriority w:val="99"/>
    <w:rsid w:val="006F7CDC"/>
  </w:style>
  <w:style w:type="character" w:styleId="FollowedHyperlink">
    <w:name w:val="FollowedHyperlink"/>
    <w:basedOn w:val="DefaultParagraphFont"/>
    <w:uiPriority w:val="99"/>
    <w:semiHidden/>
    <w:unhideWhenUsed/>
    <w:rsid w:val="00AF485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421843">
      <w:bodyDiv w:val="1"/>
      <w:marLeft w:val="0"/>
      <w:marRight w:val="0"/>
      <w:marTop w:val="0"/>
      <w:marBottom w:val="0"/>
      <w:divBdr>
        <w:top w:val="none" w:sz="0" w:space="0" w:color="auto"/>
        <w:left w:val="none" w:sz="0" w:space="0" w:color="auto"/>
        <w:bottom w:val="none" w:sz="0" w:space="0" w:color="auto"/>
        <w:right w:val="none" w:sz="0" w:space="0" w:color="auto"/>
      </w:divBdr>
    </w:div>
    <w:div w:id="1004825575">
      <w:bodyDiv w:val="1"/>
      <w:marLeft w:val="0"/>
      <w:marRight w:val="0"/>
      <w:marTop w:val="0"/>
      <w:marBottom w:val="0"/>
      <w:divBdr>
        <w:top w:val="none" w:sz="0" w:space="0" w:color="auto"/>
        <w:left w:val="none" w:sz="0" w:space="0" w:color="auto"/>
        <w:bottom w:val="none" w:sz="0" w:space="0" w:color="auto"/>
        <w:right w:val="none" w:sz="0" w:space="0" w:color="auto"/>
      </w:divBdr>
    </w:div>
    <w:div w:id="1577548144">
      <w:bodyDiv w:val="1"/>
      <w:marLeft w:val="0"/>
      <w:marRight w:val="0"/>
      <w:marTop w:val="0"/>
      <w:marBottom w:val="0"/>
      <w:divBdr>
        <w:top w:val="none" w:sz="0" w:space="0" w:color="auto"/>
        <w:left w:val="none" w:sz="0" w:space="0" w:color="auto"/>
        <w:bottom w:val="none" w:sz="0" w:space="0" w:color="auto"/>
        <w:right w:val="none" w:sz="0" w:space="0" w:color="auto"/>
      </w:divBdr>
    </w:div>
    <w:div w:id="1677489096">
      <w:bodyDiv w:val="1"/>
      <w:marLeft w:val="0"/>
      <w:marRight w:val="0"/>
      <w:marTop w:val="0"/>
      <w:marBottom w:val="0"/>
      <w:divBdr>
        <w:top w:val="none" w:sz="0" w:space="0" w:color="auto"/>
        <w:left w:val="none" w:sz="0" w:space="0" w:color="auto"/>
        <w:bottom w:val="none" w:sz="0" w:space="0" w:color="auto"/>
        <w:right w:val="none" w:sz="0" w:space="0" w:color="auto"/>
      </w:divBdr>
      <w:divsChild>
        <w:div w:id="333650567">
          <w:marLeft w:val="0"/>
          <w:marRight w:val="0"/>
          <w:marTop w:val="0"/>
          <w:marBottom w:val="0"/>
          <w:divBdr>
            <w:top w:val="single" w:sz="2" w:space="0" w:color="E2E8F0"/>
            <w:left w:val="single" w:sz="2" w:space="0" w:color="E2E8F0"/>
            <w:bottom w:val="single" w:sz="2" w:space="0" w:color="E2E8F0"/>
            <w:right w:val="single" w:sz="2" w:space="0" w:color="E2E8F0"/>
          </w:divBdr>
          <w:divsChild>
            <w:div w:id="1430539286">
              <w:marLeft w:val="0"/>
              <w:marRight w:val="0"/>
              <w:marTop w:val="0"/>
              <w:marBottom w:val="0"/>
              <w:divBdr>
                <w:top w:val="single" w:sz="2" w:space="0" w:color="E2E8F0"/>
                <w:left w:val="single" w:sz="2" w:space="0" w:color="E2E8F0"/>
                <w:bottom w:val="single" w:sz="2" w:space="31" w:color="E2E8F0"/>
                <w:right w:val="single" w:sz="2" w:space="0" w:color="E2E8F0"/>
              </w:divBdr>
              <w:divsChild>
                <w:div w:id="1684622300">
                  <w:marLeft w:val="0"/>
                  <w:marRight w:val="0"/>
                  <w:marTop w:val="0"/>
                  <w:marBottom w:val="0"/>
                  <w:divBdr>
                    <w:top w:val="single" w:sz="2" w:space="0" w:color="E2E8F0"/>
                    <w:left w:val="single" w:sz="2" w:space="0" w:color="E2E8F0"/>
                    <w:bottom w:val="single" w:sz="2" w:space="0" w:color="E2E8F0"/>
                    <w:right w:val="single" w:sz="2" w:space="0" w:color="E2E8F0"/>
                  </w:divBdr>
                  <w:divsChild>
                    <w:div w:id="1833450112">
                      <w:marLeft w:val="0"/>
                      <w:marRight w:val="0"/>
                      <w:marTop w:val="360"/>
                      <w:marBottom w:val="0"/>
                      <w:divBdr>
                        <w:top w:val="single" w:sz="2" w:space="0" w:color="E2E8F0"/>
                        <w:left w:val="single" w:sz="2" w:space="0" w:color="E2E8F0"/>
                        <w:bottom w:val="single" w:sz="2" w:space="0" w:color="E2E8F0"/>
                        <w:right w:val="single" w:sz="2" w:space="0" w:color="E2E8F0"/>
                      </w:divBdr>
                      <w:divsChild>
                        <w:div w:id="368652708">
                          <w:marLeft w:val="0"/>
                          <w:marRight w:val="0"/>
                          <w:marTop w:val="0"/>
                          <w:marBottom w:val="0"/>
                          <w:divBdr>
                            <w:top w:val="single" w:sz="2" w:space="0" w:color="E2E8F0"/>
                            <w:left w:val="single" w:sz="2" w:space="0" w:color="E2E8F0"/>
                            <w:bottom w:val="single" w:sz="2" w:space="0" w:color="E2E8F0"/>
                            <w:right w:val="single" w:sz="2" w:space="0" w:color="E2E8F0"/>
                          </w:divBdr>
                          <w:divsChild>
                            <w:div w:id="833568403">
                              <w:marLeft w:val="0"/>
                              <w:marRight w:val="0"/>
                              <w:marTop w:val="0"/>
                              <w:marBottom w:val="0"/>
                              <w:divBdr>
                                <w:top w:val="single" w:sz="2" w:space="0" w:color="E2E8F0"/>
                                <w:left w:val="single" w:sz="2" w:space="0" w:color="E2E8F0"/>
                                <w:bottom w:val="single" w:sz="2" w:space="0" w:color="E2E8F0"/>
                                <w:right w:val="single" w:sz="2" w:space="0" w:color="E2E8F0"/>
                              </w:divBdr>
                              <w:divsChild>
                                <w:div w:id="1246763535">
                                  <w:marLeft w:val="0"/>
                                  <w:marRight w:val="0"/>
                                  <w:marTop w:val="0"/>
                                  <w:marBottom w:val="0"/>
                                  <w:divBdr>
                                    <w:top w:val="single" w:sz="2" w:space="0" w:color="E2E8F0"/>
                                    <w:left w:val="single" w:sz="2" w:space="0" w:color="E2E8F0"/>
                                    <w:bottom w:val="single" w:sz="2" w:space="0" w:color="E2E8F0"/>
                                    <w:right w:val="single" w:sz="2" w:space="0" w:color="E2E8F0"/>
                                  </w:divBdr>
                                  <w:divsChild>
                                    <w:div w:id="1128016424">
                                      <w:marLeft w:val="0"/>
                                      <w:marRight w:val="0"/>
                                      <w:marTop w:val="0"/>
                                      <w:marBottom w:val="0"/>
                                      <w:divBdr>
                                        <w:top w:val="single" w:sz="2" w:space="0" w:color="E2E8F0"/>
                                        <w:left w:val="single" w:sz="2" w:space="0" w:color="E2E8F0"/>
                                        <w:bottom w:val="single" w:sz="2" w:space="0" w:color="E2E8F0"/>
                                        <w:right w:val="single" w:sz="2" w:space="0" w:color="E2E8F0"/>
                                      </w:divBdr>
                                      <w:divsChild>
                                        <w:div w:id="1495343525">
                                          <w:marLeft w:val="0"/>
                                          <w:marRight w:val="0"/>
                                          <w:marTop w:val="0"/>
                                          <w:marBottom w:val="0"/>
                                          <w:divBdr>
                                            <w:top w:val="single" w:sz="2" w:space="0" w:color="E2E8F0"/>
                                            <w:left w:val="single" w:sz="2" w:space="0" w:color="E2E8F0"/>
                                            <w:bottom w:val="single" w:sz="2" w:space="0" w:color="E2E8F0"/>
                                            <w:right w:val="single" w:sz="2" w:space="0" w:color="E2E8F0"/>
                                          </w:divBdr>
                                          <w:divsChild>
                                            <w:div w:id="385033014">
                                              <w:marLeft w:val="0"/>
                                              <w:marRight w:val="0"/>
                                              <w:marTop w:val="0"/>
                                              <w:marBottom w:val="0"/>
                                              <w:divBdr>
                                                <w:top w:val="single" w:sz="2" w:space="0" w:color="E2E8F0"/>
                                                <w:left w:val="single" w:sz="2" w:space="0" w:color="E2E8F0"/>
                                                <w:bottom w:val="single" w:sz="2" w:space="0" w:color="E2E8F0"/>
                                                <w:right w:val="single" w:sz="2" w:space="0" w:color="E2E8F0"/>
                                              </w:divBdr>
                                              <w:divsChild>
                                                <w:div w:id="169881894">
                                                  <w:blockQuote w:val="1"/>
                                                  <w:marLeft w:val="0"/>
                                                  <w:marRight w:val="0"/>
                                                  <w:marTop w:val="180"/>
                                                  <w:marBottom w:val="0"/>
                                                  <w:divBdr>
                                                    <w:top w:val="single" w:sz="2" w:space="0" w:color="E2E8F0"/>
                                                    <w:left w:val="single" w:sz="24"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 w:id="1813329781">
      <w:bodyDiv w:val="1"/>
      <w:marLeft w:val="0"/>
      <w:marRight w:val="0"/>
      <w:marTop w:val="0"/>
      <w:marBottom w:val="0"/>
      <w:divBdr>
        <w:top w:val="none" w:sz="0" w:space="0" w:color="auto"/>
        <w:left w:val="none" w:sz="0" w:space="0" w:color="auto"/>
        <w:bottom w:val="none" w:sz="0" w:space="0" w:color="auto"/>
        <w:right w:val="none" w:sz="0" w:space="0" w:color="auto"/>
      </w:divBdr>
    </w:div>
    <w:div w:id="1999074585">
      <w:bodyDiv w:val="1"/>
      <w:marLeft w:val="0"/>
      <w:marRight w:val="0"/>
      <w:marTop w:val="0"/>
      <w:marBottom w:val="0"/>
      <w:divBdr>
        <w:top w:val="none" w:sz="0" w:space="0" w:color="auto"/>
        <w:left w:val="none" w:sz="0" w:space="0" w:color="auto"/>
        <w:bottom w:val="none" w:sz="0" w:space="0" w:color="auto"/>
        <w:right w:val="none" w:sz="0" w:space="0" w:color="auto"/>
      </w:divBdr>
      <w:divsChild>
        <w:div w:id="1853378961">
          <w:marLeft w:val="0"/>
          <w:marRight w:val="0"/>
          <w:marTop w:val="0"/>
          <w:marBottom w:val="0"/>
          <w:divBdr>
            <w:top w:val="single" w:sz="2" w:space="0" w:color="E2E8F0"/>
            <w:left w:val="single" w:sz="2" w:space="0" w:color="E2E8F0"/>
            <w:bottom w:val="single" w:sz="2" w:space="0" w:color="E2E8F0"/>
            <w:right w:val="single" w:sz="2" w:space="0" w:color="E2E8F0"/>
          </w:divBdr>
          <w:divsChild>
            <w:div w:id="1425880317">
              <w:marLeft w:val="0"/>
              <w:marRight w:val="0"/>
              <w:marTop w:val="0"/>
              <w:marBottom w:val="0"/>
              <w:divBdr>
                <w:top w:val="single" w:sz="2" w:space="0" w:color="E2E8F0"/>
                <w:left w:val="single" w:sz="2" w:space="0" w:color="E2E8F0"/>
                <w:bottom w:val="single" w:sz="2" w:space="31" w:color="E2E8F0"/>
                <w:right w:val="single" w:sz="2" w:space="0" w:color="E2E8F0"/>
              </w:divBdr>
              <w:divsChild>
                <w:div w:id="1839539919">
                  <w:marLeft w:val="0"/>
                  <w:marRight w:val="0"/>
                  <w:marTop w:val="0"/>
                  <w:marBottom w:val="0"/>
                  <w:divBdr>
                    <w:top w:val="single" w:sz="2" w:space="0" w:color="E2E8F0"/>
                    <w:left w:val="single" w:sz="2" w:space="0" w:color="E2E8F0"/>
                    <w:bottom w:val="single" w:sz="2" w:space="0" w:color="E2E8F0"/>
                    <w:right w:val="single" w:sz="2" w:space="0" w:color="E2E8F0"/>
                  </w:divBdr>
                  <w:divsChild>
                    <w:div w:id="1903783339">
                      <w:marLeft w:val="0"/>
                      <w:marRight w:val="0"/>
                      <w:marTop w:val="360"/>
                      <w:marBottom w:val="0"/>
                      <w:divBdr>
                        <w:top w:val="single" w:sz="2" w:space="0" w:color="E2E8F0"/>
                        <w:left w:val="single" w:sz="2" w:space="0" w:color="E2E8F0"/>
                        <w:bottom w:val="single" w:sz="2" w:space="0" w:color="E2E8F0"/>
                        <w:right w:val="single" w:sz="2" w:space="0" w:color="E2E8F0"/>
                      </w:divBdr>
                      <w:divsChild>
                        <w:div w:id="866411296">
                          <w:marLeft w:val="0"/>
                          <w:marRight w:val="0"/>
                          <w:marTop w:val="0"/>
                          <w:marBottom w:val="0"/>
                          <w:divBdr>
                            <w:top w:val="single" w:sz="2" w:space="0" w:color="E2E8F0"/>
                            <w:left w:val="single" w:sz="2" w:space="0" w:color="E2E8F0"/>
                            <w:bottom w:val="single" w:sz="2" w:space="0" w:color="E2E8F0"/>
                            <w:right w:val="single" w:sz="2" w:space="0" w:color="E2E8F0"/>
                          </w:divBdr>
                          <w:divsChild>
                            <w:div w:id="1834182725">
                              <w:marLeft w:val="0"/>
                              <w:marRight w:val="0"/>
                              <w:marTop w:val="0"/>
                              <w:marBottom w:val="0"/>
                              <w:divBdr>
                                <w:top w:val="single" w:sz="2" w:space="0" w:color="E2E8F0"/>
                                <w:left w:val="single" w:sz="2" w:space="0" w:color="E2E8F0"/>
                                <w:bottom w:val="single" w:sz="2" w:space="0" w:color="E2E8F0"/>
                                <w:right w:val="single" w:sz="2" w:space="0" w:color="E2E8F0"/>
                              </w:divBdr>
                              <w:divsChild>
                                <w:div w:id="977295866">
                                  <w:marLeft w:val="0"/>
                                  <w:marRight w:val="0"/>
                                  <w:marTop w:val="0"/>
                                  <w:marBottom w:val="0"/>
                                  <w:divBdr>
                                    <w:top w:val="single" w:sz="2" w:space="0" w:color="E2E8F0"/>
                                    <w:left w:val="single" w:sz="2" w:space="0" w:color="E2E8F0"/>
                                    <w:bottom w:val="single" w:sz="2" w:space="0" w:color="E2E8F0"/>
                                    <w:right w:val="single" w:sz="2" w:space="0" w:color="E2E8F0"/>
                                  </w:divBdr>
                                  <w:divsChild>
                                    <w:div w:id="101069615">
                                      <w:marLeft w:val="0"/>
                                      <w:marRight w:val="0"/>
                                      <w:marTop w:val="0"/>
                                      <w:marBottom w:val="0"/>
                                      <w:divBdr>
                                        <w:top w:val="single" w:sz="2" w:space="0" w:color="E2E8F0"/>
                                        <w:left w:val="single" w:sz="2" w:space="0" w:color="E2E8F0"/>
                                        <w:bottom w:val="single" w:sz="2" w:space="0" w:color="E2E8F0"/>
                                        <w:right w:val="single" w:sz="2" w:space="0" w:color="E2E8F0"/>
                                      </w:divBdr>
                                      <w:divsChild>
                                        <w:div w:id="1437287629">
                                          <w:marLeft w:val="0"/>
                                          <w:marRight w:val="0"/>
                                          <w:marTop w:val="0"/>
                                          <w:marBottom w:val="0"/>
                                          <w:divBdr>
                                            <w:top w:val="single" w:sz="2" w:space="0" w:color="E2E8F0"/>
                                            <w:left w:val="single" w:sz="2" w:space="0" w:color="E2E8F0"/>
                                            <w:bottom w:val="single" w:sz="2" w:space="0" w:color="E2E8F0"/>
                                            <w:right w:val="single" w:sz="2" w:space="0" w:color="E2E8F0"/>
                                          </w:divBdr>
                                          <w:divsChild>
                                            <w:div w:id="80958726">
                                              <w:marLeft w:val="0"/>
                                              <w:marRight w:val="0"/>
                                              <w:marTop w:val="0"/>
                                              <w:marBottom w:val="0"/>
                                              <w:divBdr>
                                                <w:top w:val="single" w:sz="2" w:space="0" w:color="E2E8F0"/>
                                                <w:left w:val="single" w:sz="2" w:space="0" w:color="E2E8F0"/>
                                                <w:bottom w:val="single" w:sz="2" w:space="0" w:color="E2E8F0"/>
                                                <w:right w:val="single" w:sz="2" w:space="0" w:color="E2E8F0"/>
                                              </w:divBdr>
                                              <w:divsChild>
                                                <w:div w:id="434717317">
                                                  <w:blockQuote w:val="1"/>
                                                  <w:marLeft w:val="0"/>
                                                  <w:marRight w:val="0"/>
                                                  <w:marTop w:val="180"/>
                                                  <w:marBottom w:val="0"/>
                                                  <w:divBdr>
                                                    <w:top w:val="single" w:sz="2" w:space="0" w:color="E2E8F0"/>
                                                    <w:left w:val="single" w:sz="24" w:space="12" w:color="E2E8F0"/>
                                                    <w:bottom w:val="single" w:sz="2" w:space="0" w:color="E2E8F0"/>
                                                    <w:right w:val="single" w:sz="2" w:space="0" w:color="E2E8F0"/>
                                                  </w:divBdr>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kon.go.id/publikasi/detail/4990/having-impressive-performance-the-mother-of-industries-sector-is-supported-to-create-green-steel-based-on-technology-and-green-energy" TargetMode="External"/><Relationship Id="rId13" Type="http://schemas.openxmlformats.org/officeDocument/2006/relationships/hyperlink" Target="https://doi.org/10.1016/j.iref.2025.104518" TargetMode="External"/><Relationship Id="rId3" Type="http://schemas.openxmlformats.org/officeDocument/2006/relationships/settings" Target="settings.xml"/><Relationship Id="rId7" Type="http://schemas.openxmlformats.org/officeDocument/2006/relationships/image" Target="media/image2.svg"/><Relationship Id="rId12" Type="http://schemas.openxmlformats.org/officeDocument/2006/relationships/hyperlink" Target="https://doi.org/10.59091/2460-9196.1932"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krakatausteel.com/pdf/Krakatau_Steel_AR_SR_2023_1.pdf" TargetMode="External"/><Relationship Id="rId5" Type="http://schemas.openxmlformats.org/officeDocument/2006/relationships/hyperlink" Target="mailto:kalapieka@postech.ac.kr" TargetMode="External"/><Relationship Id="rId15" Type="http://schemas.openxmlformats.org/officeDocument/2006/relationships/hyperlink" Target="https://doi.org/10.59653/jbmed.v2i03.908" TargetMode="External"/><Relationship Id="rId10" Type="http://schemas.openxmlformats.org/officeDocument/2006/relationships/hyperlink" Target="https://iesr.or.id/wp-content/uploads/2024/12/Indonesia-Energy-Transition-Outlook-2025-Digital-Version.pdf" TargetMode="External"/><Relationship Id="rId4" Type="http://schemas.openxmlformats.org/officeDocument/2006/relationships/webSettings" Target="webSettings.xml"/><Relationship Id="rId9" Type="http://schemas.openxmlformats.org/officeDocument/2006/relationships/hyperlink" Target="https://www.kreditratingindonesia.com/wp-content/uploads/2024/11/Steel-Sector-Review-2024.pdf" TargetMode="External"/><Relationship Id="rId14" Type="http://schemas.openxmlformats.org/officeDocument/2006/relationships/hyperlink" Target="https://doi.org/10.61194/ijat.v2i3.6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1160</TotalTime>
  <Pages>8</Pages>
  <Words>2119</Words>
  <Characters>12080</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Pika</dc:creator>
  <cp:keywords/>
  <dc:description/>
  <cp:lastModifiedBy>Pika</cp:lastModifiedBy>
  <cp:revision>49</cp:revision>
  <dcterms:created xsi:type="dcterms:W3CDTF">2025-07-14T07:16:00Z</dcterms:created>
  <dcterms:modified xsi:type="dcterms:W3CDTF">2025-10-29T08:22:00Z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asoo_Trace_ID">
    <vt:lpwstr>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</vt:lpwstr>
  </property>
</Properties>
</file>