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64"/>
        <w:gridCol w:w="3312"/>
      </w:tblGrid>
      <w:tr>
        <w:tc>
          <w:tcPr>
            <w:tcW w:type="dxa" w:w="525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600" w:type="dxa"/>
              <w:start w:w="250" w:type="dxa"/>
              <w:bottom w:w="400" w:type="dxa"/>
              <w:end w:w="25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320" cy="3440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4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80" w:after="80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68"/>
              </w:rPr>
              <w:t>Design System</w:t>
            </w:r>
          </w:p>
          <w:p>
            <w:pPr>
              <w:spacing w:after="280"/>
            </w:pPr>
            <w:r>
              <w:rPr>
                <w:rFonts w:ascii="Noto Sans" w:hAnsi="Noto Sans" w:eastAsia="Noto Sans"/>
                <w:b/>
                <w:i w:val="0"/>
                <w:color w:val="BD2839"/>
                <w:sz w:val="34"/>
              </w:rPr>
              <w:t>Fred Soares Fisioterapia</w:t>
            </w:r>
          </w:p>
          <w:p>
            <w:pPr>
              <w:spacing w:line="293" w:lineRule="auto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21"/>
              </w:rPr>
              <w:t>Guia visual compilado com paleta de cores, tipografia, logos, direção fotográfica, componentes e regras de aplicação para site, social media, landing pages e materiais comerciais.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51"/>
              <w:gridCol w:w="1051"/>
              <w:gridCol w:w="1051"/>
              <w:gridCol w:w="1051"/>
              <w:gridCol w:w="1051"/>
            </w:tblGrid>
            <w:tr>
              <w:tc>
                <w:tcPr>
                  <w:tcW w:type="dxa" w:w="1051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  <w:insideH w:val="single" w:sz="2" w:space="0" w:color="FFFFFF"/>
                    <w:insideV w:val="single" w:sz="2" w:space="0" w:color="FFFFFF"/>
                  </w:tcBorders>
                  <w:shd w:fill="353552"/>
                  <w:tcMar>
                    <w:top w:w="140" w:type="dxa"/>
                    <w:start w:w="80" w:type="dxa"/>
                    <w:bottom w:w="140" w:type="dxa"/>
                    <w:end w:w="80" w:type="dxa"/>
                  </w:tcMar>
                </w:tcPr>
                <w:p/>
              </w:tc>
              <w:tc>
                <w:tcPr>
                  <w:tcW w:type="dxa" w:w="1051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  <w:insideH w:val="single" w:sz="2" w:space="0" w:color="FFFFFF"/>
                    <w:insideV w:val="single" w:sz="2" w:space="0" w:color="FFFFFF"/>
                  </w:tcBorders>
                  <w:shd w:fill="BD2839"/>
                  <w:tcMar>
                    <w:top w:w="140" w:type="dxa"/>
                    <w:start w:w="80" w:type="dxa"/>
                    <w:bottom w:w="140" w:type="dxa"/>
                    <w:end w:w="80" w:type="dxa"/>
                  </w:tcMar>
                </w:tcPr>
                <w:p/>
              </w:tc>
              <w:tc>
                <w:tcPr>
                  <w:tcW w:type="dxa" w:w="1051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  <w:insideH w:val="single" w:sz="2" w:space="0" w:color="FFFFFF"/>
                    <w:insideV w:val="single" w:sz="2" w:space="0" w:color="FFFFFF"/>
                  </w:tcBorders>
                  <w:shd w:fill="F2F2F2"/>
                  <w:tcMar>
                    <w:top w:w="140" w:type="dxa"/>
                    <w:start w:w="80" w:type="dxa"/>
                    <w:bottom w:w="140" w:type="dxa"/>
                    <w:end w:w="80" w:type="dxa"/>
                  </w:tcMar>
                </w:tcPr>
                <w:p/>
              </w:tc>
              <w:tc>
                <w:tcPr>
                  <w:tcW w:type="dxa" w:w="1051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  <w:insideH w:val="single" w:sz="2" w:space="0" w:color="FFFFFF"/>
                    <w:insideV w:val="single" w:sz="2" w:space="0" w:color="FFFFFF"/>
                  </w:tcBorders>
                  <w:shd w:fill="26283D"/>
                  <w:tcMar>
                    <w:top w:w="140" w:type="dxa"/>
                    <w:start w:w="80" w:type="dxa"/>
                    <w:bottom w:w="140" w:type="dxa"/>
                    <w:end w:w="80" w:type="dxa"/>
                  </w:tcMar>
                </w:tcPr>
                <w:p/>
              </w:tc>
              <w:tc>
                <w:tcPr>
                  <w:tcW w:type="dxa" w:w="1051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  <w:insideH w:val="single" w:sz="2" w:space="0" w:color="FFFFFF"/>
                    <w:insideV w:val="single" w:sz="2" w:space="0" w:color="FFFFFF"/>
                  </w:tcBorders>
                  <w:shd w:fill="F5F5F6"/>
                  <w:tcMar>
                    <w:top w:w="140" w:type="dxa"/>
                    <w:start w:w="80" w:type="dxa"/>
                    <w:bottom w:w="140" w:type="dxa"/>
                    <w:end w:w="80" w:type="dxa"/>
                  </w:tcMar>
                </w:tcPr>
                <w:p/>
              </w:tc>
            </w:tr>
          </w:tbl>
          <w:p/>
        </w:tc>
        <w:tc>
          <w:tcPr>
            <w:tcW w:type="dxa" w:w="525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400" w:type="dxa"/>
              <w:start w:w="120" w:type="dxa"/>
              <w:bottom w:w="30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880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_fr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9091A4"/>
                <w:sz w:val="15"/>
              </w:rPr>
              <w:t>Referência visual da página inicial</w:t>
            </w:r>
          </w:p>
        </w:tc>
      </w:tr>
    </w:tbl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01 | SÍNTESE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Essência e posicionamento visual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O sistema visual combina autoridade clínica, cuidado humano e uma estética limpa, com forte associação à especialidade em coluna vertebral.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60" w:type="dxa"/>
              <w:bottom w:w="170" w:type="dxa"/>
              <w:end w:w="160" w:type="dxa"/>
            </w:tcMar>
            <w:vAlign w:val="top"/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Personalidade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7"/>
              </w:rPr>
              <w:t>Clínica, técnica, segura, humana e especializada.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60" w:type="dxa"/>
              <w:bottom w:w="170" w:type="dxa"/>
              <w:end w:w="160" w:type="dxa"/>
            </w:tcMar>
            <w:vAlign w:val="top"/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Percepção desejada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7"/>
              </w:rPr>
              <w:t>O paciente deve sentir confiança, clareza e acolhimento antes de agendar.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60" w:type="dxa"/>
              <w:bottom w:w="170" w:type="dxa"/>
              <w:end w:w="160" w:type="dxa"/>
            </w:tcMar>
            <w:vAlign w:val="top"/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Território visual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7"/>
              </w:rPr>
              <w:t>Saúde da coluna, movimento, recuperação e qualidade de vida.</w:t>
            </w:r>
          </w:p>
        </w:tc>
      </w:tr>
    </w:tbl>
    <w:p/>
    <w:p>
      <w:pPr>
        <w:pStyle w:val="Heading2"/>
        <w:spacing w:after="100" w:before="120"/>
      </w:pPr>
      <w:r>
        <w:t>Leitura da identidade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A base visual é predominantemente branca/off-white, criando sensação de limpeza, espaço e seriedade.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O azul-marinho sustenta autoridade, estabilidade e confiança. Ele aparece em títulos, botões e seções escuras.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O vermelho funciona como ponto de energia e atenção: aparece no símbolo, em detalhes e em mensagens-chave.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As imagens equilibram retratos reais do profissional com referências anatômicas e cenas relacionadas à dor na coluna.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02 | CORES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Paleta cromática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A paleta trabalha com uma base sóbria e institucional, usando vermelho apenas como cor de ênfase.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88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8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20"/>
      </w:pPr>
      <w:r>
        <w:t>Regra de proporção</w:t>
      </w:r>
    </w:p>
    <w:p>
      <w:pPr>
        <w:pStyle w:val="BodyText"/>
        <w:spacing w:after="12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Use aproximadamente 70% de branco/off-white, 20% de azul-marinho e 10% de vermelho/detalhes. O vermelho não deve dominar a peça; ele precisa marcar intenção, CTA ou ponto de atenção.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02.1 | CORES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Tabela de uso das cores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Referência prática para aplicar cada cor nos materiais da marca.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353552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2628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353552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Hex</w:t>
            </w:r>
          </w:p>
        </w:tc>
        <w:tc>
          <w:tcPr>
            <w:tcW w:type="dxa" w:w="2628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353552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Uso principal</w:t>
            </w:r>
          </w:p>
        </w:tc>
        <w:tc>
          <w:tcPr>
            <w:tcW w:type="dxa" w:w="2628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353552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Amostra</w:t>
            </w:r>
          </w:p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Azul-marinho principal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#353552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Títulos, botões, identidade e seções institucionais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353552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Azul-marinho escuro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#26283D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Fundos escuros, rodapé e blocos de autoridade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26283D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Azul secundário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#474970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Variações, hover, cards escuros e detalhes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474970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Vermelho principal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#BD2839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Logo, detalhes, palavras-chave e pontos de atenção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BD2839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Vermelho escuro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#B12939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Hover, contraste e reforço visual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B12939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Branco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#FFFFFF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Fundo principal e áreas de respiro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Off-white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#F2F2F2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Fundos texturizados e seções leves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2F2F2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Cinza claro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#F5F5F6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FAQ, cards neutros e blocos de apoio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Cinza médio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#DAD9DF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5F5F6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Bordas, divisórias e elementos neutros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DAD9DF"/>
          </w:tcPr>
          <w:p/>
        </w:tc>
      </w:tr>
      <w:tr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Cinza azulado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#9091A4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FFFFFF"/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Textos auxiliares e microinformações</w:t>
            </w:r>
          </w:p>
        </w:tc>
        <w:tc>
          <w:tcPr>
            <w:tcW w:type="dxa" w:w="2628"/>
            <w:tcMar>
              <w:top w:w="95" w:type="dxa"/>
              <w:start w:w="80" w:type="dxa"/>
              <w:bottom w:w="95" w:type="dxa"/>
              <w:end w:w="80" w:type="dxa"/>
            </w:tcMar>
            <w:shd w:fill="9091A4"/>
          </w:tcPr>
          <w:p/>
        </w:tc>
      </w:tr>
    </w:tbl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03 | TIPOGRAFIA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Sistema tipográfico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A tipografia percebida no site é uma sans-serif geométrica e limpa. Para reprodução consistente, a recomendação é usar Montserrat.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H1 / Chamada principal</w:t>
            </w:r>
          </w:p>
        </w:tc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8"/>
              </w:rPr>
              <w:t>Montserrat 700/800 | 42-56 px | line-height 1.05-1.15</w:t>
            </w:r>
          </w:p>
        </w:tc>
      </w:tr>
      <w:tr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H2 / Títulos de seção</w:t>
            </w:r>
          </w:p>
        </w:tc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8"/>
              </w:rPr>
              <w:t>Montserrat 700 | 30-38 px | letter-spacing levemente negativo</w:t>
            </w:r>
          </w:p>
        </w:tc>
      </w:tr>
      <w:tr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Corpo de texto</w:t>
            </w:r>
          </w:p>
        </w:tc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8"/>
              </w:rPr>
              <w:t>Montserrat 400/500 | 15-17 px | line-height 1.55-1.7</w:t>
            </w:r>
          </w:p>
        </w:tc>
      </w:tr>
      <w:tr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Botões / CTAs</w:t>
            </w:r>
          </w:p>
        </w:tc>
        <w:tc>
          <w:tcPr>
            <w:tcW w:type="dxa" w:w="525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8"/>
              </w:rPr>
              <w:t>Montserrat 700 | 11-13 px | caixa alta | tracking 0.10-0.14em</w:t>
            </w:r>
          </w:p>
        </w:tc>
      </w:tr>
    </w:tbl>
    <w:p>
      <w:pPr>
        <w:pStyle w:val="Heading2"/>
        <w:spacing w:after="100" w:before="120"/>
      </w:pPr>
      <w:r>
        <w:t>Exemplo de hierarquia</w:t>
      </w:r>
    </w:p>
    <w:p>
      <w:pPr>
        <w:spacing w:after="80"/>
      </w:pPr>
      <w:r>
        <w:rPr>
          <w:rFonts w:ascii="Noto Sans" w:hAnsi="Noto Sans" w:eastAsia="Noto Sans"/>
          <w:b w:val="0"/>
          <w:i w:val="0"/>
          <w:color w:val="353552"/>
          <w:sz w:val="44"/>
        </w:rPr>
        <w:t xml:space="preserve">Fisioterapeuta Especialista no </w:t>
      </w:r>
      <w:r>
        <w:rPr>
          <w:rFonts w:ascii="Noto Sans" w:hAnsi="Noto Sans" w:eastAsia="Noto Sans"/>
          <w:b/>
          <w:i w:val="0"/>
          <w:color w:val="353552"/>
          <w:sz w:val="44"/>
        </w:rPr>
        <w:t>tratamento da coluna vertebral</w:t>
      </w:r>
    </w:p>
    <w:p>
      <w:r>
        <w:rPr>
          <w:rFonts w:ascii="Noto Sans" w:hAnsi="Noto Sans" w:eastAsia="Noto Sans"/>
          <w:b w:val="0"/>
          <w:i w:val="0"/>
          <w:color w:val="3A3A4F"/>
          <w:sz w:val="20"/>
        </w:rPr>
        <w:t>Atendimento focado na causa da dor, com avaliação individualizada e plano terapêutico seguro.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shd w:fill="353552"/>
            <w:tcMar>
              <w:top w:w="120" w:type="dxa"/>
              <w:start w:w="220" w:type="dxa"/>
              <w:bottom w:w="12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AGENDAR UMA CONSULTA</w:t>
            </w:r>
          </w:p>
        </w:tc>
      </w:tr>
    </w:tbl>
    <w:p>
      <w:pPr>
        <w:pStyle w:val="Heading2"/>
        <w:spacing w:after="100" w:before="120"/>
      </w:pPr>
      <w:r>
        <w:t>Regras de uso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Títulos devem ser curtos, com quebras estratégicas e trechos em negrito quando houver destaque semântico.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Evitar fontes decorativas, manuscritas, serifadas clássicas ou excesso de pesos diferentes na mesma peça.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Botões e pequenas categorias devem usar caixa alta com espaçamento entre letras para manter a aparência premium e clínica.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04 | LOGO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Logo, símbolo e elementos proprietários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A marca usa logotipo horizontal, isotipo vermelho e selo circular como elementos de reconhecimento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80" w:type="dxa"/>
              <w:start w:w="120" w:type="dxa"/>
              <w:bottom w:w="17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9962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99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9"/>
              </w:rPr>
              <w:t>Logo horizontal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5"/>
              </w:rPr>
              <w:t>Usar preferencialmente sobre fundo branco ou off-white.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80" w:type="dxa"/>
              <w:start w:w="120" w:type="dxa"/>
              <w:bottom w:w="17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0081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_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008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9"/>
              </w:rPr>
              <w:t>Selo circular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5"/>
              </w:rPr>
              <w:t>Elemento decorativo de autoridade para capas, stories e hero sections.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80" w:type="dxa"/>
              <w:start w:w="120" w:type="dxa"/>
              <w:bottom w:w="17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5954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ottom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5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9"/>
              </w:rPr>
              <w:t>Variação de fechamento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5"/>
              </w:rPr>
              <w:t>Pode aparecer em rodapés, materiais impressos e documentos.</w:t>
            </w:r>
          </w:p>
        </w:tc>
      </w:tr>
    </w:tbl>
    <w:p>
      <w:pPr>
        <w:pStyle w:val="Heading2"/>
        <w:spacing w:after="100" w:before="120"/>
      </w:pPr>
      <w:r>
        <w:t>Regras de aplicação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Preservar área de respiro ao redor da logo; evitar encostar em bordas, fotos ou textos.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Manter o símbolo vermelho como elemento de marca, mas sem multiplicá-lo de forma excessiva.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Em fundos escuros, utilizar versão adaptada em branco/azul claro, mantendo o vermelho no símbolo quando possível.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Não distorcer, inclinar, aplicar sombras pesadas ou inserir a logo sobre fotos muito carregadas.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05 | IMAGENS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Direção fotográfica e biblioteca visual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A linguagem de imagem equilibra presença humana, educação clínica e visual de tratamento da coluna.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2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9888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_fr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988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8"/>
              </w:rPr>
              <w:t>Retrato hero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4"/>
              </w:rPr>
              <w:t>Foto principal do profissional, com postura segura e fundo limpo.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2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7870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d_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87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8"/>
              </w:rPr>
              <w:t>Retrato institucional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4"/>
              </w:rPr>
              <w:t>Uso para biografia, autoridade e apresentação do especialista.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2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23547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in_spi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235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8"/>
              </w:rPr>
              <w:t>Dor na coluna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4"/>
              </w:rPr>
              <w:t>Imagem anatômica/digital para reforçar problema e especialidade.</w:t>
            </w:r>
          </w:p>
        </w:tc>
      </w:tr>
      <w:tr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2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96587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nia_dis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965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8"/>
              </w:rPr>
              <w:t>Hérnia de disco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4"/>
              </w:rPr>
              <w:t>Referência educativa, técnica e objetiva.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2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02930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iatic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029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8"/>
              </w:rPr>
              <w:t>Dor ciática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4"/>
              </w:rPr>
              <w:t>Imagem humanizada, próxima da dor real do paciente.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2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43427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monial_card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342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18"/>
              </w:rPr>
              <w:t>Prova social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4"/>
              </w:rPr>
              <w:t>Cards de depoimentos em fundo escuro para contraste.</w:t>
            </w:r>
          </w:p>
        </w:tc>
      </w:tr>
    </w:tbl>
    <w:p>
      <w:pPr>
        <w:pStyle w:val="Heading2"/>
        <w:spacing w:after="100" w:before="120"/>
      </w:pPr>
      <w:r>
        <w:t>Tratamento das imagens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Usar retratos reais do Fred sempre que a peça tiver objetivo de autoridade, confiança ou apresentação.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Usar imagens anatômicas apenas quando elas ajudam a explicar uma condição ou educar o paciente.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Evitar cenas exageradamente dramáticas, saturadas ou com estética genérica de banco de imagens.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Aplicar bordas arredondadas, iluminação limpa e contraste moderado.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06 | COMPONENTES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Componentes e padrões de interface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O visual do site se apoia em componentes simples: botões escuros, cards brancos, faixas de contraste e blocos de conteúdo bem espaçados.</w:t>
      </w:r>
    </w:p>
    <w:p>
      <w:pPr>
        <w:pStyle w:val="Heading2"/>
        <w:spacing w:after="100" w:before="120"/>
      </w:pPr>
      <w:r>
        <w:t>Botão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tcMar>
              <w:top w:w="220" w:type="dxa"/>
              <w:start w:w="160" w:type="dxa"/>
              <w:bottom w:w="220" w:type="dxa"/>
              <w:end w:w="160" w:type="dxa"/>
            </w:tcMar>
            <w:shd w:fill="353552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AGENDE UMA CONSULTA</w:t>
            </w:r>
          </w:p>
        </w:tc>
        <w:tc>
          <w:tcPr>
            <w:tcW w:type="dxa" w:w="5256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tcMar>
              <w:top w:w="220" w:type="dxa"/>
              <w:start w:w="160" w:type="dxa"/>
              <w:bottom w:w="220" w:type="dxa"/>
              <w:end w:w="160" w:type="dxa"/>
            </w:tcMar>
            <w:shd w:fill="F5F5F6"/>
          </w:tcPr>
          <w:p>
            <w:pPr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3A3A4F"/>
                <w:sz w:val="18"/>
              </w:rPr>
              <w:t>Fundo #353552, texto branco, caixa alta, cantos levemente arredondados e tracking amplo.</w:t>
            </w:r>
          </w:p>
        </w:tc>
      </w:tr>
    </w:tbl>
    <w:p>
      <w:pPr>
        <w:pStyle w:val="Heading2"/>
        <w:spacing w:after="100" w:before="120"/>
      </w:pPr>
      <w:r>
        <w:t>Cards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60" w:type="dxa"/>
              <w:bottom w:w="170" w:type="dxa"/>
              <w:end w:w="160" w:type="dxa"/>
            </w:tcMar>
            <w:vAlign w:val="top"/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Avaliação completa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7"/>
              </w:rPr>
              <w:t>Card branco, sombra suave, texto curto e ícone vermelho.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60" w:type="dxa"/>
              <w:bottom w:w="170" w:type="dxa"/>
              <w:end w:w="160" w:type="dxa"/>
            </w:tcMar>
            <w:vAlign w:val="top"/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Tratamento focado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7"/>
              </w:rPr>
              <w:t>Estrutura clara, com título objetivo e explicação breve.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60" w:type="dxa"/>
              <w:bottom w:w="170" w:type="dxa"/>
              <w:end w:w="160" w:type="dxa"/>
            </w:tcMar>
            <w:vAlign w:val="top"/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i w:val="0"/>
                <w:color w:val="353552"/>
                <w:sz w:val="20"/>
              </w:rPr>
              <w:t>Retorno seguro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7"/>
              </w:rPr>
              <w:t>Visual de confiança, sem excesso de elementos ou ruído visual.</w:t>
            </w:r>
          </w:p>
        </w:tc>
      </w:tr>
    </w:tbl>
    <w:p/>
    <w:p>
      <w:pPr>
        <w:pStyle w:val="Heading2"/>
        <w:spacing w:after="100" w:before="120"/>
      </w:pPr>
      <w:r>
        <w:t>Seções de contraste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BD2839"/>
            <w:tcMar>
              <w:top w:w="220" w:type="dxa"/>
              <w:start w:w="160" w:type="dxa"/>
              <w:bottom w:w="220" w:type="dxa"/>
              <w:end w:w="16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Faixa vermelha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FFFFFF"/>
                <w:sz w:val="17"/>
              </w:rPr>
              <w:t>Usada para benefício central, quebra de ritmo e pontos de atenção.</w:t>
            </w:r>
          </w:p>
        </w:tc>
        <w:tc>
          <w:tcPr>
            <w:tcW w:type="dxa" w:w="5256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26283D"/>
            <w:tcMar>
              <w:top w:w="220" w:type="dxa"/>
              <w:start w:w="160" w:type="dxa"/>
              <w:bottom w:w="220" w:type="dxa"/>
              <w:end w:w="16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22"/>
              </w:rPr>
              <w:t>Seção azul-marinho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FFFFFF"/>
                <w:sz w:val="17"/>
              </w:rPr>
              <w:t>Usada para autoridade, prova social, rodapé e blocos de densidade.</w:t>
            </w:r>
          </w:p>
        </w:tc>
      </w:tr>
    </w:tbl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07 | LAYOUT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Grid, estrutura e ritmo visual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A página trabalha com blocos limpos, alternância de fundos e muito espaço em branco para reforçar confiança e legibilidade.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5F5F6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1"/>
              </w:rPr>
              <w:t>Hero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Texto à esquerda, foto à direita, CTA escuro e detalhes discretos em vermelho.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1"/>
              </w:rPr>
              <w:t>Processo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Seção clara com cards em três colunas: avaliação, tratamento e retorno.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5F5F6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1"/>
              </w:rPr>
              <w:t>Condições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Blocos de imagem + texto para hérnia de disco, dor ciática e problemas comuns.</w:t>
            </w:r>
          </w:p>
        </w:tc>
      </w:tr>
      <w:tr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1"/>
              </w:rPr>
              <w:t>Prova social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Fundo azul-marinho com cards brancos, depoimentos e CTA final.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5F5F6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1"/>
              </w:rPr>
              <w:t>Biografia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Foto institucional + texto de autoridade, especialização e formação.</w:t>
            </w:r>
          </w:p>
        </w:tc>
        <w:tc>
          <w:tcPr>
            <w:tcW w:type="dxa" w:w="3504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  <w:insideH w:val="single" w:sz="10" w:space="0" w:color="FFFFFF"/>
              <w:insideV w:val="single" w:sz="10" w:space="0" w:color="FFFFFF"/>
            </w:tcBorders>
            <w:shd w:fill="FFFFFF"/>
            <w:tcMar>
              <w:top w:w="170" w:type="dxa"/>
              <w:start w:w="140" w:type="dxa"/>
              <w:bottom w:w="17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21"/>
              </w:rPr>
              <w:t>FAQ/Contato</w:t>
            </w:r>
          </w:p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Acordeões claros, contatos em cards e mapa como fechamento.</w:t>
            </w:r>
          </w:p>
        </w:tc>
      </w:tr>
    </w:tbl>
    <w:p>
      <w:pPr>
        <w:pStyle w:val="Heading2"/>
        <w:spacing w:after="100" w:before="120"/>
      </w:pPr>
      <w:r>
        <w:t>Medidas recomendadas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Container desktop: até 1120 px, com padding lateral de 24 px.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Espaçamento entre seções: 80 a 96 px no desktop e 48 a 64 px no mobile.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Grid: 2 colunas para seções com imagem e texto; 3 colunas para cards de processo.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Bordas arredondadas: 10 a 16 px em imagens e cards; 6 px em botões.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08 | APLICAÇÃO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Como usar em criativos e materiais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A identidade precisa manter aparência clínica e premium, sem virar panfleto ou peça carregada.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35355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Tipo de peça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35355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Composição recomendada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353552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FFFFFF"/>
                <w:sz w:val="17"/>
              </w:rPr>
              <w:t>Evitar</w:t>
            </w:r>
          </w:p>
        </w:tc>
      </w:tr>
      <w:tr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Institucional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Fundo branco/off-white, foto do Fred, título azul-marinho, detalhes vermelhos.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Excesso de vermelho, muitos ícones e textos longos.</w:t>
            </w:r>
          </w:p>
        </w:tc>
      </w:tr>
      <w:tr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Dor e sintomas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Fundo escuro ou neutro, imagem clínica, título direto e CTA objetivo.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FFFFF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Dramatização exagerada, imagens fortes demais ou apelo sensacionalista.</w:t>
            </w:r>
          </w:p>
        </w:tc>
      </w:tr>
      <w:tr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i w:val="0"/>
                <w:color w:val="353552"/>
                <w:sz w:val="16"/>
              </w:rPr>
              <w:t>Autoridade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Retrato profissional, formação, experiência, método e prova.</w:t>
            </w:r>
          </w:p>
        </w:tc>
        <w:tc>
          <w:tcPr>
            <w:tcW w:type="dxa" w:w="350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F5F5F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3A3A4F"/>
                <w:sz w:val="16"/>
              </w:rPr>
              <w:t>Layout de currículo, poluição de selos ou excesso de credenciais simultâneas.</w:t>
            </w:r>
          </w:p>
        </w:tc>
      </w:tr>
    </w:tbl>
    <w:p>
      <w:pPr>
        <w:pStyle w:val="Heading2"/>
        <w:spacing w:after="100" w:before="120"/>
      </w:pPr>
      <w:r>
        <w:t>Checklist rápido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A peça tem uma mensagem central clara?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O azul-marinho está sustentando autoridade sem deixar tudo pesado?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O vermelho aparece só onde existe intenção de destaque?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Existe respiro suficiente entre imagem, texto e CTA?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A imagem escolhida parece real, limpa e coerente com tratamento de coluna?</w:t>
      </w:r>
    </w:p>
    <w:p>
      <w:pPr>
        <w:pStyle w:val="ListBullet"/>
        <w:spacing w:after="40"/>
        <w:ind w:left="317" w:hanging="173"/>
      </w:pPr>
      <w:r>
        <w:rPr>
          <w:rFonts w:ascii="Noto Sans" w:hAnsi="Noto Sans" w:eastAsia="Noto Sans"/>
          <w:b w:val="0"/>
          <w:i w:val="0"/>
          <w:color w:val="3A3A4F"/>
          <w:sz w:val="18"/>
        </w:rPr>
        <w:t>A peça parece clínica e profissional, não promocional ou genérica?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09 | TOKENS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Tokens prontos para web e Figma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Base técnica para padronizar cores, botões, cards e seções em arquivos digitais.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Borders>
              <w:top w:val="single" w:sz="4" w:space="0" w:color="F5F5F6"/>
              <w:left w:val="single" w:sz="4" w:space="0" w:color="F5F5F6"/>
              <w:bottom w:val="single" w:sz="4" w:space="0" w:color="F5F5F6"/>
              <w:right w:val="single" w:sz="4" w:space="0" w:color="F5F5F6"/>
              <w:insideH w:val="single" w:sz="4" w:space="0" w:color="F5F5F6"/>
              <w:insideV w:val="single" w:sz="4" w:space="0" w:color="F5F5F6"/>
            </w:tcBorders>
            <w:shd w:fill="F5F5F6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>:root {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--color-primary-navy: #353552;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--color-primary-navy-dark: #26283D;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--color-primary-navy-soft: #474970;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--color-primary-red: #BD2839;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--color-primary-red-dark: #B12939;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--color-white: #FFFFFF;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--color-off-white: #F2F2F2;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--color-light-gray: #F5F5F6;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--color-border: #DAD9DF;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--color-muted-text: #9091A4;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--color-body-text: #3A3A4F;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>}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>.button-primary {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background: var(--color-primary-navy);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color: var(--color-white);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border-radius: 6px;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padding: 16px 32px;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font-family: 'Montserrat', sans-serif;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font-size: 12px;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font-weight: 700;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letter-spacing: 0.12em;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text-transform: uppercase;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>}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>.card {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background: var(--color-white);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border-radius: 12px;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padding: 32px;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 xml:space="preserve">  box-shadow: 0 14px 34px rgba(38, 40, 61, 0.08);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t>}</w:t>
              <w:br/>
            </w:r>
            <w:r>
              <w:rPr>
                <w:rFonts w:ascii="Courier New" w:hAnsi="Courier New" w:eastAsia="Courier New"/>
                <w:b w:val="0"/>
                <w:i w:val="0"/>
                <w:color w:val="3A3A4F"/>
                <w:sz w:val="14"/>
              </w:rPr>
              <w:br/>
            </w:r>
          </w:p>
        </w:tc>
      </w:tr>
    </w:tbl>
    <w:p>
      <w:pPr>
        <w:pStyle w:val="Heading2"/>
        <w:spacing w:after="100" w:before="120"/>
      </w:pPr>
      <w:r>
        <w:t>Observação sobre precisão</w:t>
      </w:r>
    </w:p>
    <w:p>
      <w:pPr>
        <w:pStyle w:val="BodyText"/>
        <w:spacing w:after="12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As cores e recursos visuais foram compilados a partir da captura enviada. Para produção final de identidade, recomenda-se validar os arquivos originais da marca, versões vetoriais da logo e imagens em alta resolução.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ANEXO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Captura de referência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Imagem completa utilizada como base visual para a compilação deste design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67910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screenshot_par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791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 w:eastAsia="Noto Sans"/>
          <w:b w:val="0"/>
          <w:i w:val="0"/>
          <w:color w:val="9091A4"/>
          <w:sz w:val="15"/>
        </w:rPr>
        <w:t>Captura de referência - parte superior</w:t>
      </w:r>
    </w:p>
    <w:p>
      <w:r>
        <w:br w:type="page"/>
      </w:r>
    </w:p>
    <w:p>
      <w:pPr>
        <w:spacing w:after="40"/>
        <w:jc w:val="left"/>
      </w:pPr>
      <w:r>
        <w:rPr>
          <w:rFonts w:ascii="Noto Sans" w:hAnsi="Noto Sans" w:eastAsia="Noto Sans"/>
          <w:b/>
          <w:i w:val="0"/>
          <w:color w:val="BD2839"/>
          <w:sz w:val="15"/>
        </w:rPr>
        <w:t>ANEXO</w:t>
      </w:r>
    </w:p>
    <w:p>
      <w:pPr>
        <w:spacing w:after="80"/>
      </w:pPr>
      <w:r>
        <w:rPr>
          <w:rFonts w:ascii="Noto Sans" w:hAnsi="Noto Sans" w:eastAsia="Noto Sans"/>
          <w:b/>
          <w:i w:val="0"/>
          <w:color w:val="353552"/>
          <w:sz w:val="42"/>
        </w:rPr>
        <w:t>Captura de referência - continuação</w:t>
      </w:r>
    </w:p>
    <w:p>
      <w:pPr>
        <w:spacing w:after="240"/>
      </w:pPr>
      <w:r>
        <w:rPr>
          <w:rFonts w:ascii="Noto Sans" w:hAnsi="Noto Sans" w:eastAsia="Noto Sans"/>
          <w:b w:val="0"/>
          <w:i w:val="0"/>
          <w:color w:val="3A3A4F"/>
          <w:sz w:val="19"/>
        </w:rPr>
        <w:t>Parte inferior da página utilizada como base visual.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69502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screenshot_part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95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 w:eastAsia="Noto Sans"/>
          <w:b w:val="0"/>
          <w:i w:val="0"/>
          <w:color w:val="9091A4"/>
          <w:sz w:val="15"/>
        </w:rPr>
        <w:t>Captura de referência - parte inferior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b w:val="0"/>
        <w:i w:val="0"/>
        <w:color w:val="9091A4"/>
        <w:sz w:val="14"/>
      </w:rPr>
      <w:t>Compilado a partir da captura do site fornecida pelo cliente.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b w:val="0"/>
        <w:i w:val="0"/>
        <w:color w:val="9091A4"/>
        <w:sz w:val="15"/>
      </w:rPr>
      <w:t>Fred Soares Fisioterapia |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3A3A4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35355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35355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3535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 w:eastAsia="Noto Sans"/>
      <w:color w:val="3A3A4F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