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00D4FF"/>
          <w:sz w:val="96"/>
          <w:szCs w:val="96"/>
        </w:rPr>
        <w:t xml:space="preserve">RIA</w:t>
      </w:r>
    </w:p>
    <w:p>
      <w:pPr>
        <w:spacing w:after="120" w:before="0"/>
        <w:jc w:val="center"/>
      </w:pPr>
      <w:r>
        <w:rPr>
          <w:b/>
          <w:bCs/>
          <w:color w:val="1A1A2E"/>
          <w:sz w:val="36"/>
          <w:szCs w:val="36"/>
        </w:rPr>
        <w:t xml:space="preserve">Reconnaissance Intelligence Agent</w:t>
      </w:r>
    </w:p>
    <w:p>
      <w:pPr>
        <w:spacing w:after="400" w:before="0"/>
        <w:jc w:val="center"/>
      </w:pPr>
      <w:r>
        <w:rPr>
          <w:i/>
          <w:iCs/>
          <w:color w:val="4A5568"/>
          <w:sz w:val="28"/>
          <w:szCs w:val="28"/>
        </w:rPr>
        <w:t xml:space="preserve">On-chain intelligence that acts.</w:t>
      </w:r>
    </w:p>
    <w:p>
      <w:pPr>
        <w:pBdr>
          <w:bottom w:val="single" w:color="00D4FF" w:sz="6"/>
        </w:pBdr>
        <w:spacing w:after="200" w:before="200"/>
      </w:pPr>
      <w:r>
        <w:t xml:space="preserve"/>
      </w:r>
    </w:p>
    <w:p>
      <w:pPr>
        <w:spacing w:after="120" w:before="200"/>
        <w:jc w:val="center"/>
      </w:pPr>
      <w:r>
        <w:rPr>
          <w:color w:val="4A5568"/>
          <w:sz w:val="22"/>
          <w:szCs w:val="22"/>
        </w:rPr>
        <w:t xml:space="preserve">ETHGlobal Online 2026 — Hackathon Submission Proposal  |  Architecture v3</w:t>
      </w:r>
    </w:p>
    <w:p>
      <w:pPr>
        <w:spacing w:after="120" w:before="0"/>
        <w:jc w:val="center"/>
      </w:pPr>
      <w:r>
        <w:rPr>
          <w:b/>
          <w:bCs/>
          <w:color w:val="1A1A2E"/>
          <w:sz w:val="22"/>
          <w:szCs w:val="22"/>
        </w:rPr>
        <w:t xml:space="preserve">Tracks: </w:t>
      </w:r>
      <w:r>
        <w:rPr>
          <w:color w:val="7B2FBE"/>
          <w:sz w:val="22"/>
          <w:szCs w:val="22"/>
        </w:rPr>
        <w:t xml:space="preserve">The Graph (AI Use Case — From Scratch)  •  Hedera (AI &amp; Agentic Payments)  •  ENS (Best Use of ENSv2)</w:t>
      </w:r>
    </w:p>
    <w:p>
      <w:pPr>
        <w:spacing w:after="120" w:before="0"/>
        <w:jc w:val="center"/>
      </w:pPr>
      <w:r>
        <w:rPr>
          <w:b/>
          <w:bCs/>
          <w:color w:val="1A1A2E"/>
          <w:sz w:val="22"/>
          <w:szCs w:val="22"/>
        </w:rPr>
        <w:t xml:space="preserve">Prize Pool Targeted: </w:t>
      </w:r>
      <w:r>
        <w:rPr>
          <w:b/>
          <w:bCs/>
          <w:color w:val="38A169"/>
          <w:sz w:val="22"/>
          <w:szCs w:val="22"/>
        </w:rPr>
        <w:t xml:space="preserve">$12,500+</w:t>
      </w:r>
    </w:p>
    <w:p>
      <w:pPr>
        <w:spacing w:after="600" w:before="0"/>
        <w:jc w:val="center"/>
      </w:pPr>
      <w:r>
        <w:rPr>
          <w:color w:val="4A5568"/>
          <w:sz w:val="20"/>
          <w:szCs w:val="20"/>
        </w:rPr>
        <w:t xml:space="preserve">Builder: Arrnaya (Arun Kumar Yadav)  |  arrnaya.com  •  github.com/arrnaya</w:t>
      </w:r>
    </w:p>
    <w:p>
      <w:r>
        <w:br w:type="page"/>
      </w:r>
    </w:p>
    <w:p>
      <w:pPr>
        <w:pStyle w:val="Heading1"/>
        <w:spacing w:after="160" w:before="320"/>
      </w:pPr>
      <w:r>
        <w:rPr>
          <w:b/>
          <w:bCs/>
          <w:color w:val="C53030"/>
        </w:rPr>
        <w:t xml:space="preserve">What Changed in This Version (v3)</w:t>
      </w:r>
    </w:p>
    <w:p>
      <w:pPr>
        <w:pBdr>
          <w:bottom w:val="single" w:color="00D4FF" w:sz="6"/>
        </w:pBdr>
        <w:spacing w:after="200" w:before="200"/>
      </w:pPr>
      <w:r>
        <w:t xml:space="preserve"/>
      </w:r>
    </w:p>
    <w:p>
      <w:pPr>
        <w:spacing w:after="80" w:before="80"/>
        <w:jc w:val="left"/>
      </w:pPr>
      <w:r>
        <w:rPr>
          <w:b/>
          <w:bCs/>
          <w:i w:val="false"/>
          <w:iCs w:val="false"/>
          <w:color w:val="1A1A2E"/>
          <w:sz w:val="22"/>
          <w:szCs w:val="22"/>
        </w:rPr>
        <w:t xml:space="preserve">This version introduces two architectural improvements over v2:</w:t>
      </w:r>
    </w:p>
    <w:p>
      <w:pPr>
        <w:spacing w:after="80" w:before="80"/>
      </w:pPr>
      <w:r>
        <w:t xml:space="preserve"/>
      </w:r>
    </w:p>
    <w:p>
      <w:pPr>
        <w:pStyle w:val="ListParagraph"/>
        <w:numPr>
          <w:ilvl w:val="0"/>
          <w:numId w:val="1"/>
        </w:numPr>
        <w:spacing w:after="60" w:before="60"/>
      </w:pPr>
      <w:r>
        <w:rPr>
          <w:color w:val="1A1A2E"/>
          <w:sz w:val="22"/>
          <w:szCs w:val="22"/>
        </w:rPr>
        <w:t xml:space="preserve">The x402 payment endpoint is now a standalone, commercially-framed x402-gated MCP server — not a private FastAPI endpoint only RIA can use. Any AI agent with an MCP client can connect, pay per tool call in HBAR, and receive enrichment data autonomously. RIA is the first consumer and the proof of concept.</w:t>
      </w:r>
    </w:p>
    <w:p>
      <w:pPr>
        <w:pStyle w:val="ListParagraph"/>
        <w:numPr>
          <w:ilvl w:val="0"/>
          <w:numId w:val="1"/>
        </w:numPr>
        <w:spacing w:after="60" w:before="60"/>
      </w:pPr>
      <w:r>
        <w:rPr>
          <w:color w:val="1A1A2E"/>
          <w:sz w:val="22"/>
          <w:szCs w:val="22"/>
        </w:rPr>
        <w:t xml:space="preserve">The Graph data layer is cleanly separated from the x402 MCP server. Subgraph Studio and Substreams are queried directly by RIA's RECON agent — free, open, load-bearing. The x402 MCP server sells proprietary enrichment (sentiment, risk scoring, LLM inference) that has genuine compute cost behind it. This separation satisfies both track judges simultaneously without conflating their value propositions.</w:t>
      </w:r>
    </w:p>
    <w:p>
      <w:pPr>
        <w:spacing w:after="80" w:before="80"/>
      </w:pPr>
      <w:r>
        <w:t xml:space="preserve"/>
      </w:r>
    </w:p>
    <w:p>
      <w:pPr>
        <w:spacing w:after="80" w:before="80"/>
        <w:jc w:val="left"/>
      </w:pPr>
      <w:r>
        <w:rPr>
          <w:b/>
          <w:bCs/>
          <w:i w:val="false"/>
          <w:iCs w:val="false"/>
          <w:color w:val="1A1A2E"/>
          <w:sz w:val="22"/>
          <w:szCs w:val="22"/>
        </w:rPr>
        <w:t xml:space="preserve">The Graph free tier analysis (confirmed current pricing):</w:t>
      </w:r>
    </w:p>
    <w:p>
      <w:pPr>
        <w:spacing w:after="80" w:before="8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000"/>
        <w:gridCol w:w="2400"/>
        <w:gridCol w:w="2800"/>
        <w:gridCol w:w="2160"/>
      </w:tblGrid>
      <w:tr>
        <w:tc>
          <w:tcPr>
            <w:tcW w:type="dxa" w:w="2000"/>
            <w:shd w:fill="0F3460" w:color="auto" w:val="clear"/>
            <w:vAlign w:val="center"/>
          </w:tcPr>
          <w:p>
            <w:pPr>
              <w:spacing w:after="80" w:before="80"/>
              <w:jc w:val="left"/>
            </w:pPr>
            <w:r>
              <w:rPr>
                <w:b/>
                <w:bCs/>
                <w:color w:val="FFFFFF"/>
                <w:sz w:val="20"/>
                <w:szCs w:val="20"/>
              </w:rPr>
              <w:t xml:space="preserve">Product</w:t>
            </w:r>
          </w:p>
        </w:tc>
        <w:tc>
          <w:tcPr>
            <w:tcW w:type="dxa" w:w="2400"/>
            <w:shd w:fill="0F3460" w:color="auto" w:val="clear"/>
            <w:vAlign w:val="center"/>
          </w:tcPr>
          <w:p>
            <w:pPr>
              <w:spacing w:after="80" w:before="80"/>
              <w:jc w:val="left"/>
            </w:pPr>
            <w:r>
              <w:rPr>
                <w:b/>
                <w:bCs/>
                <w:color w:val="FFFFFF"/>
                <w:sz w:val="20"/>
                <w:szCs w:val="20"/>
              </w:rPr>
              <w:t xml:space="preserve">Free Tier</w:t>
            </w:r>
          </w:p>
        </w:tc>
        <w:tc>
          <w:tcPr>
            <w:tcW w:type="dxa" w:w="2800"/>
            <w:shd w:fill="0F3460" w:color="auto" w:val="clear"/>
            <w:vAlign w:val="center"/>
          </w:tcPr>
          <w:p>
            <w:pPr>
              <w:spacing w:after="80" w:before="80"/>
              <w:jc w:val="left"/>
            </w:pPr>
            <w:r>
              <w:rPr>
                <w:b/>
                <w:bCs/>
                <w:color w:val="FFFFFF"/>
                <w:sz w:val="20"/>
                <w:szCs w:val="20"/>
              </w:rPr>
              <w:t xml:space="preserve">RIA Usage (6-day hackathon)</w:t>
            </w:r>
          </w:p>
        </w:tc>
        <w:tc>
          <w:tcPr>
            <w:tcW w:type="dxa" w:w="2160"/>
            <w:shd w:fill="0F3460" w:color="auto" w:val="clear"/>
            <w:vAlign w:val="center"/>
          </w:tcPr>
          <w:p>
            <w:pPr>
              <w:spacing w:after="80" w:before="80"/>
              <w:jc w:val="left"/>
            </w:pPr>
            <w:r>
              <w:rPr>
                <w:b/>
                <w:bCs/>
                <w:color w:val="FFFFFF"/>
                <w:sz w:val="20"/>
                <w:szCs w:val="20"/>
              </w:rPr>
              <w:t xml:space="preserve">Cost</w:t>
            </w:r>
          </w:p>
        </w:tc>
      </w:tr>
      <w:tr>
        <w:tc>
          <w:tcPr>
            <w:tcW w:type="dxa" w:w="2000"/>
            <w:shd w:fill="FFFFFF" w:color="auto" w:val="clear"/>
            <w:vAlign w:val="center"/>
          </w:tcPr>
          <w:p>
            <w:pPr>
              <w:spacing w:after="80" w:before="80"/>
            </w:pPr>
            <w:r>
              <w:rPr>
                <w:color w:val="1A1A2E"/>
                <w:sz w:val="20"/>
                <w:szCs w:val="20"/>
              </w:rPr>
              <w:t xml:space="preserve">Subgraph Studio</w:t>
            </w:r>
          </w:p>
        </w:tc>
        <w:tc>
          <w:tcPr>
            <w:tcW w:type="dxa" w:w="2400"/>
            <w:shd w:fill="FFFFFF" w:color="auto" w:val="clear"/>
            <w:vAlign w:val="center"/>
          </w:tcPr>
          <w:p>
            <w:pPr>
              <w:spacing w:after="80" w:before="80"/>
            </w:pPr>
            <w:r>
              <w:rPr>
                <w:color w:val="1A1A2E"/>
                <w:sz w:val="20"/>
                <w:szCs w:val="20"/>
              </w:rPr>
              <w:t xml:space="preserve">100,000 queries/month</w:t>
            </w:r>
          </w:p>
        </w:tc>
        <w:tc>
          <w:tcPr>
            <w:tcW w:type="dxa" w:w="2800"/>
            <w:shd w:fill="FFFFFF" w:color="auto" w:val="clear"/>
            <w:vAlign w:val="center"/>
          </w:tcPr>
          <w:p>
            <w:pPr>
              <w:spacing w:after="80" w:before="80"/>
            </w:pPr>
            <w:r>
              <w:rPr>
                <w:color w:val="1A1A2E"/>
                <w:sz w:val="20"/>
                <w:szCs w:val="20"/>
              </w:rPr>
              <w:t xml:space="preserve">~17,280 queries (2/min × 60 × 24 × 6)</w:t>
            </w:r>
          </w:p>
        </w:tc>
        <w:tc>
          <w:tcPr>
            <w:tcW w:type="dxa" w:w="2160"/>
            <w:shd w:fill="FFFFFF" w:color="auto" w:val="clear"/>
            <w:vAlign w:val="center"/>
          </w:tcPr>
          <w:p>
            <w:pPr>
              <w:spacing w:after="80" w:before="80"/>
            </w:pPr>
            <w:r>
              <w:rPr>
                <w:color w:val="1A1A2E"/>
                <w:sz w:val="20"/>
                <w:szCs w:val="20"/>
              </w:rPr>
              <w:t xml:space="preserve">$0 — uses ~17% of free tier</w:t>
            </w:r>
          </w:p>
        </w:tc>
      </w:tr>
      <w:tr>
        <w:tc>
          <w:tcPr>
            <w:tcW w:type="dxa" w:w="2000"/>
            <w:shd w:fill="F0F8FF" w:color="auto" w:val="clear"/>
            <w:vAlign w:val="center"/>
          </w:tcPr>
          <w:p>
            <w:pPr>
              <w:spacing w:after="80" w:before="80"/>
            </w:pPr>
            <w:r>
              <w:rPr>
                <w:color w:val="1A1A2E"/>
                <w:sz w:val="20"/>
                <w:szCs w:val="20"/>
              </w:rPr>
              <w:t xml:space="preserve">Substreams (Graph Market)</w:t>
            </w:r>
          </w:p>
        </w:tc>
        <w:tc>
          <w:tcPr>
            <w:tcW w:type="dxa" w:w="2400"/>
            <w:shd w:fill="F0F8FF" w:color="auto" w:val="clear"/>
            <w:vAlign w:val="center"/>
          </w:tcPr>
          <w:p>
            <w:pPr>
              <w:spacing w:after="80" w:before="80"/>
            </w:pPr>
            <w:r>
              <w:rPr>
                <w:color w:val="1A1A2E"/>
                <w:sz w:val="20"/>
                <w:szCs w:val="20"/>
              </w:rPr>
              <w:t xml:space="preserve">7M blocks + 5 GiB egress — no credit card</w:t>
            </w:r>
          </w:p>
        </w:tc>
        <w:tc>
          <w:tcPr>
            <w:tcW w:type="dxa" w:w="2800"/>
            <w:shd w:fill="F0F8FF" w:color="auto" w:val="clear"/>
            <w:vAlign w:val="center"/>
          </w:tcPr>
          <w:p>
            <w:pPr>
              <w:spacing w:after="80" w:before="80"/>
            </w:pPr>
            <w:r>
              <w:rPr>
                <w:color w:val="1A1A2E"/>
                <w:sz w:val="20"/>
                <w:szCs w:val="20"/>
              </w:rPr>
              <w:t xml:space="preserve">~300,000 blocks (50k blocks/day × 6 days)</w:t>
            </w:r>
          </w:p>
        </w:tc>
        <w:tc>
          <w:tcPr>
            <w:tcW w:type="dxa" w:w="2160"/>
            <w:shd w:fill="F0F8FF" w:color="auto" w:val="clear"/>
            <w:vAlign w:val="center"/>
          </w:tcPr>
          <w:p>
            <w:pPr>
              <w:spacing w:after="80" w:before="80"/>
            </w:pPr>
            <w:r>
              <w:rPr>
                <w:color w:val="1A1A2E"/>
                <w:sz w:val="20"/>
                <w:szCs w:val="20"/>
              </w:rPr>
              <w:t xml:space="preserve">$0 — uses ~4% of free tier</w:t>
            </w:r>
          </w:p>
        </w:tc>
      </w:tr>
      <w:tr>
        <w:tc>
          <w:tcPr>
            <w:tcW w:type="dxa" w:w="2000"/>
            <w:shd w:fill="FFFFFF" w:color="auto" w:val="clear"/>
            <w:vAlign w:val="center"/>
          </w:tcPr>
          <w:p>
            <w:pPr>
              <w:spacing w:after="80" w:before="80"/>
            </w:pPr>
            <w:r>
              <w:rPr>
                <w:color w:val="1A1A2E"/>
                <w:sz w:val="20"/>
                <w:szCs w:val="20"/>
              </w:rPr>
              <w:t xml:space="preserve">After hackathon (scale)</w:t>
            </w:r>
          </w:p>
        </w:tc>
        <w:tc>
          <w:tcPr>
            <w:tcW w:type="dxa" w:w="2400"/>
            <w:shd w:fill="FFFFFF" w:color="auto" w:val="clear"/>
            <w:vAlign w:val="center"/>
          </w:tcPr>
          <w:p>
            <w:pPr>
              <w:spacing w:after="80" w:before="80"/>
            </w:pPr>
            <w:r>
              <w:rPr>
                <w:color w:val="1A1A2E"/>
                <w:sz w:val="20"/>
                <w:szCs w:val="20"/>
              </w:rPr>
              <w:t xml:space="preserve">$2 per 100k queries; $25/TB Substreams</w:t>
            </w:r>
          </w:p>
        </w:tc>
        <w:tc>
          <w:tcPr>
            <w:tcW w:type="dxa" w:w="2800"/>
            <w:shd w:fill="FFFFFF" w:color="auto" w:val="clear"/>
            <w:vAlign w:val="center"/>
          </w:tcPr>
          <w:p>
            <w:pPr>
              <w:spacing w:after="80" w:before="80"/>
            </w:pPr>
            <w:r>
              <w:rPr>
                <w:color w:val="1A1A2E"/>
                <w:sz w:val="20"/>
                <w:szCs w:val="20"/>
              </w:rPr>
              <w:t xml:space="preserve">Production scale</w:t>
            </w:r>
          </w:p>
        </w:tc>
        <w:tc>
          <w:tcPr>
            <w:tcW w:type="dxa" w:w="2160"/>
            <w:shd w:fill="FFFFFF" w:color="auto" w:val="clear"/>
            <w:vAlign w:val="center"/>
          </w:tcPr>
          <w:p>
            <w:pPr>
              <w:spacing w:after="80" w:before="80"/>
            </w:pPr>
            <w:r>
              <w:rPr>
                <w:color w:val="1A1A2E"/>
                <w:sz w:val="20"/>
                <w:szCs w:val="20"/>
              </w:rPr>
              <w:t xml:space="preserve">Very manageable unit economics</w:t>
            </w:r>
          </w:p>
        </w:tc>
      </w:tr>
    </w:tbl>
    <w:p>
      <w:pPr>
        <w:spacing w:after="80" w:before="80"/>
      </w:pPr>
      <w:r>
        <w:t xml:space="preserve"/>
      </w:r>
    </w:p>
    <w:p>
      <w:pPr>
        <w:spacing w:after="80" w:before="80"/>
        <w:jc w:val="left"/>
      </w:pPr>
      <w:r>
        <w:rPr>
          <w:b w:val="false"/>
          <w:bCs w:val="false"/>
          <w:i/>
          <w:iCs/>
          <w:color w:val="1A1A2E"/>
          <w:sz w:val="22"/>
          <w:szCs w:val="22"/>
        </w:rPr>
        <w:t xml:space="preserve">Conclusion: RIA operates entirely within free tiers during development and the hackathon window. No GRT, no credit card, no billing setup required.</w:t>
      </w:r>
    </w:p>
    <w:p>
      <w:r>
        <w:br w:type="page"/>
      </w:r>
    </w:p>
    <w:p>
      <w:pPr>
        <w:pStyle w:val="Heading1"/>
        <w:spacing w:after="160" w:before="320"/>
      </w:pPr>
      <w:r>
        <w:rPr>
          <w:b/>
          <w:bCs/>
          <w:color w:val="1A1A2E"/>
        </w:rPr>
        <w:t xml:space="preserve">1. Executive Summary</w:t>
      </w:r>
    </w:p>
    <w:p>
      <w:pPr>
        <w:pBdr>
          <w:bottom w:val="single" w:color="00D4FF" w:sz="6"/>
        </w:pBdr>
        <w:spacing w:after="200" w:before="200"/>
      </w:pPr>
      <w:r>
        <w:t xml:space="preserve"/>
      </w:r>
    </w:p>
    <w:p>
      <w:pPr>
        <w:spacing w:after="80" w:before="80"/>
        <w:jc w:val="left"/>
      </w:pPr>
      <w:r>
        <w:rPr>
          <w:b w:val="false"/>
          <w:bCs w:val="false"/>
          <w:i w:val="false"/>
          <w:iCs w:val="false"/>
          <w:color w:val="1A1A2E"/>
          <w:sz w:val="22"/>
          <w:szCs w:val="22"/>
        </w:rPr>
        <w:t xml:space="preserve">RIA (Reconnaissance Intelligence Agent) is an autonomous, multi-agent DeFi intelligence system with three distinct layers: a free, open data foundation from The Graph; a commercial x402-gated MCP server that any AI agent can pay to use; and a real-time dashboard that makes every agent decision and on-chain payment visible to judges and users.</w:t>
      </w:r>
    </w:p>
    <w:p>
      <w:pPr>
        <w:spacing w:after="80" w:before="80"/>
      </w:pPr>
      <w:r>
        <w:t xml:space="preserve"/>
      </w:r>
    </w:p>
    <w:p>
      <w:pPr>
        <w:spacing w:after="80" w:before="80"/>
        <w:jc w:val="left"/>
      </w:pPr>
      <w:r>
        <w:rPr>
          <w:b/>
          <w:bCs/>
          <w:i w:val="false"/>
          <w:iCs w:val="false"/>
          <w:color w:val="1A1A2E"/>
          <w:sz w:val="22"/>
          <w:szCs w:val="22"/>
        </w:rPr>
        <w:t xml:space="preserve">RIA is not a dashboard. It is an agent that acts — and a commercial primitive that proves how the AI agent economy should handle payments.</w:t>
      </w:r>
    </w:p>
    <w:p>
      <w:pPr>
        <w:spacing w:after="80" w:before="8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800"/>
        <w:gridCol w:w="6560"/>
      </w:tblGrid>
      <w:tr>
        <w:tc>
          <w:tcPr>
            <w:tcW w:type="dxa" w:w="2800"/>
            <w:shd w:fill="0F3460" w:color="auto" w:val="clear"/>
            <w:vAlign w:val="center"/>
          </w:tcPr>
          <w:p>
            <w:pPr>
              <w:spacing w:after="80" w:before="80"/>
              <w:jc w:val="left"/>
            </w:pPr>
            <w:r>
              <w:rPr>
                <w:b/>
                <w:bCs/>
                <w:color w:val="FFFFFF"/>
                <w:sz w:val="20"/>
                <w:szCs w:val="20"/>
              </w:rPr>
              <w:t xml:space="preserve">Dimension</w:t>
            </w:r>
          </w:p>
        </w:tc>
        <w:tc>
          <w:tcPr>
            <w:tcW w:type="dxa" w:w="6560"/>
            <w:shd w:fill="0F3460" w:color="auto" w:val="clear"/>
            <w:vAlign w:val="center"/>
          </w:tcPr>
          <w:p>
            <w:pPr>
              <w:spacing w:after="80" w:before="80"/>
              <w:jc w:val="left"/>
            </w:pPr>
            <w:r>
              <w:rPr>
                <w:b/>
                <w:bCs/>
                <w:color w:val="FFFFFF"/>
                <w:sz w:val="20"/>
                <w:szCs w:val="20"/>
              </w:rPr>
              <w:t xml:space="preserve">Detail</w:t>
            </w:r>
          </w:p>
        </w:tc>
      </w:tr>
      <w:tr>
        <w:tc>
          <w:tcPr>
            <w:tcW w:type="dxa" w:w="2800"/>
            <w:shd w:fill="FFFFFF" w:color="auto" w:val="clear"/>
            <w:vAlign w:val="center"/>
          </w:tcPr>
          <w:p>
            <w:pPr>
              <w:spacing w:after="80" w:before="80"/>
            </w:pPr>
            <w:r>
              <w:rPr>
                <w:color w:val="1A1A2E"/>
                <w:sz w:val="20"/>
                <w:szCs w:val="20"/>
              </w:rPr>
              <w:t xml:space="preserve">Project Name</w:t>
            </w:r>
          </w:p>
        </w:tc>
        <w:tc>
          <w:tcPr>
            <w:tcW w:type="dxa" w:w="6560"/>
            <w:shd w:fill="FFFFFF" w:color="auto" w:val="clear"/>
            <w:vAlign w:val="center"/>
          </w:tcPr>
          <w:p>
            <w:pPr>
              <w:spacing w:after="80" w:before="80"/>
            </w:pPr>
            <w:r>
              <w:rPr>
                <w:color w:val="1A1A2E"/>
                <w:sz w:val="20"/>
                <w:szCs w:val="20"/>
              </w:rPr>
              <w:t xml:space="preserve">RIA — Reconnaissance Intelligence Agent</w:t>
            </w:r>
          </w:p>
        </w:tc>
      </w:tr>
      <w:tr>
        <w:tc>
          <w:tcPr>
            <w:tcW w:type="dxa" w:w="2800"/>
            <w:shd w:fill="F0F8FF" w:color="auto" w:val="clear"/>
            <w:vAlign w:val="center"/>
          </w:tcPr>
          <w:p>
            <w:pPr>
              <w:spacing w:after="80" w:before="80"/>
            </w:pPr>
            <w:r>
              <w:rPr>
                <w:color w:val="1A1A2E"/>
                <w:sz w:val="20"/>
                <w:szCs w:val="20"/>
              </w:rPr>
              <w:t xml:space="preserve">Tagline</w:t>
            </w:r>
          </w:p>
        </w:tc>
        <w:tc>
          <w:tcPr>
            <w:tcW w:type="dxa" w:w="6560"/>
            <w:shd w:fill="F0F8FF" w:color="auto" w:val="clear"/>
            <w:vAlign w:val="center"/>
          </w:tcPr>
          <w:p>
            <w:pPr>
              <w:spacing w:after="80" w:before="80"/>
            </w:pPr>
            <w:r>
              <w:rPr>
                <w:color w:val="1A1A2E"/>
                <w:sz w:val="20"/>
                <w:szCs w:val="20"/>
              </w:rPr>
              <w:t xml:space="preserve">On-chain intelligence that acts.</w:t>
            </w:r>
          </w:p>
        </w:tc>
      </w:tr>
      <w:tr>
        <w:tc>
          <w:tcPr>
            <w:tcW w:type="dxa" w:w="2800"/>
            <w:shd w:fill="FFFFFF" w:color="auto" w:val="clear"/>
            <w:vAlign w:val="center"/>
          </w:tcPr>
          <w:p>
            <w:pPr>
              <w:spacing w:after="80" w:before="80"/>
            </w:pPr>
            <w:r>
              <w:rPr>
                <w:color w:val="1A1A2E"/>
                <w:sz w:val="20"/>
                <w:szCs w:val="20"/>
              </w:rPr>
              <w:t xml:space="preserve">Tweet Description</w:t>
            </w:r>
          </w:p>
        </w:tc>
        <w:tc>
          <w:tcPr>
            <w:tcW w:type="dxa" w:w="6560"/>
            <w:shd w:fill="FFFFFF" w:color="auto" w:val="clear"/>
            <w:vAlign w:val="center"/>
          </w:tcPr>
          <w:p>
            <w:pPr>
              <w:spacing w:after="80" w:before="80"/>
            </w:pPr>
            <w:r>
              <w:rPr>
                <w:color w:val="1A1A2E"/>
                <w:sz w:val="20"/>
                <w:szCs w:val="20"/>
              </w:rPr>
              <w:t xml:space="preserve">RIA — Reconnaissance Intelligence Agent: Live DeFi intelligence that detects, reasons, and acts.</w:t>
            </w:r>
          </w:p>
        </w:tc>
      </w:tr>
      <w:tr>
        <w:tc>
          <w:tcPr>
            <w:tcW w:type="dxa" w:w="2800"/>
            <w:shd w:fill="F0F8FF" w:color="auto" w:val="clear"/>
            <w:vAlign w:val="center"/>
          </w:tcPr>
          <w:p>
            <w:pPr>
              <w:spacing w:after="80" w:before="80"/>
            </w:pPr>
            <w:r>
              <w:rPr>
                <w:color w:val="1A1A2E"/>
                <w:sz w:val="20"/>
                <w:szCs w:val="20"/>
              </w:rPr>
              <w:t xml:space="preserve">Core Innovation</w:t>
            </w:r>
          </w:p>
        </w:tc>
        <w:tc>
          <w:tcPr>
            <w:tcW w:type="dxa" w:w="6560"/>
            <w:shd w:fill="F0F8FF" w:color="auto" w:val="clear"/>
            <w:vAlign w:val="center"/>
          </w:tcPr>
          <w:p>
            <w:pPr>
              <w:spacing w:after="80" w:before="80"/>
            </w:pPr>
            <w:r>
              <w:rPr>
                <w:color w:val="1A1A2E"/>
                <w:sz w:val="20"/>
                <w:szCs w:val="20"/>
              </w:rPr>
              <w:t xml:space="preserve">x402-gated MCP server: any AI agent pays per tool call in HBAR — no API key, no subscription</w:t>
            </w:r>
          </w:p>
        </w:tc>
      </w:tr>
      <w:tr>
        <w:tc>
          <w:tcPr>
            <w:tcW w:type="dxa" w:w="2800"/>
            <w:shd w:fill="FFFFFF" w:color="auto" w:val="clear"/>
            <w:vAlign w:val="center"/>
          </w:tcPr>
          <w:p>
            <w:pPr>
              <w:spacing w:after="80" w:before="80"/>
            </w:pPr>
            <w:r>
              <w:rPr>
                <w:color w:val="1A1A2E"/>
                <w:sz w:val="20"/>
                <w:szCs w:val="20"/>
              </w:rPr>
              <w:t xml:space="preserve">Track 1</w:t>
            </w:r>
          </w:p>
        </w:tc>
        <w:tc>
          <w:tcPr>
            <w:tcW w:type="dxa" w:w="6560"/>
            <w:shd w:fill="FFFFFF" w:color="auto" w:val="clear"/>
            <w:vAlign w:val="center"/>
          </w:tcPr>
          <w:p>
            <w:pPr>
              <w:spacing w:after="80" w:before="80"/>
            </w:pPr>
            <w:r>
              <w:rPr>
                <w:color w:val="1A1A2E"/>
                <w:sz w:val="20"/>
                <w:szCs w:val="20"/>
              </w:rPr>
              <w:t xml:space="preserve">The Graph — Best AI Use Case (From Scratch) · $5,000</w:t>
            </w:r>
          </w:p>
        </w:tc>
      </w:tr>
      <w:tr>
        <w:tc>
          <w:tcPr>
            <w:tcW w:type="dxa" w:w="2800"/>
            <w:shd w:fill="F0F8FF" w:color="auto" w:val="clear"/>
            <w:vAlign w:val="center"/>
          </w:tcPr>
          <w:p>
            <w:pPr>
              <w:spacing w:after="80" w:before="80"/>
            </w:pPr>
            <w:r>
              <w:rPr>
                <w:color w:val="1A1A2E"/>
                <w:sz w:val="20"/>
                <w:szCs w:val="20"/>
              </w:rPr>
              <w:t xml:space="preserve">Track 2</w:t>
            </w:r>
          </w:p>
        </w:tc>
        <w:tc>
          <w:tcPr>
            <w:tcW w:type="dxa" w:w="6560"/>
            <w:shd w:fill="F0F8FF" w:color="auto" w:val="clear"/>
            <w:vAlign w:val="center"/>
          </w:tcPr>
          <w:p>
            <w:pPr>
              <w:spacing w:after="80" w:before="80"/>
            </w:pPr>
            <w:r>
              <w:rPr>
                <w:color w:val="1A1A2E"/>
                <w:sz w:val="20"/>
                <w:szCs w:val="20"/>
              </w:rPr>
              <w:t xml:space="preserve">Hedera — AI &amp; Agentic Payments · $6,000 (up to 3 winners)</w:t>
            </w:r>
          </w:p>
        </w:tc>
      </w:tr>
      <w:tr>
        <w:tc>
          <w:tcPr>
            <w:tcW w:type="dxa" w:w="2800"/>
            <w:shd w:fill="FFFFFF" w:color="auto" w:val="clear"/>
            <w:vAlign w:val="center"/>
          </w:tcPr>
          <w:p>
            <w:pPr>
              <w:spacing w:after="80" w:before="80"/>
            </w:pPr>
            <w:r>
              <w:rPr>
                <w:color w:val="1A1A2E"/>
                <w:sz w:val="20"/>
                <w:szCs w:val="20"/>
              </w:rPr>
              <w:t xml:space="preserve">Track 3</w:t>
            </w:r>
          </w:p>
        </w:tc>
        <w:tc>
          <w:tcPr>
            <w:tcW w:type="dxa" w:w="6560"/>
            <w:shd w:fill="FFFFFF" w:color="auto" w:val="clear"/>
            <w:vAlign w:val="center"/>
          </w:tcPr>
          <w:p>
            <w:pPr>
              <w:spacing w:after="80" w:before="80"/>
            </w:pPr>
            <w:r>
              <w:rPr>
                <w:color w:val="1A1A2E"/>
                <w:sz w:val="20"/>
                <w:szCs w:val="20"/>
              </w:rPr>
              <w:t xml:space="preserve">ENS — Best Use of ENSv2 · bonus $500+</w:t>
            </w:r>
          </w:p>
        </w:tc>
      </w:tr>
      <w:tr>
        <w:tc>
          <w:tcPr>
            <w:tcW w:type="dxa" w:w="2800"/>
            <w:shd w:fill="F0F8FF" w:color="auto" w:val="clear"/>
            <w:vAlign w:val="center"/>
          </w:tcPr>
          <w:p>
            <w:pPr>
              <w:spacing w:after="80" w:before="80"/>
            </w:pPr>
            <w:r>
              <w:rPr>
                <w:color w:val="1A1A2E"/>
                <w:sz w:val="20"/>
                <w:szCs w:val="20"/>
              </w:rPr>
              <w:t xml:space="preserve">Total Prize Target</w:t>
            </w:r>
          </w:p>
        </w:tc>
        <w:tc>
          <w:tcPr>
            <w:tcW w:type="dxa" w:w="6560"/>
            <w:shd w:fill="F0F8FF" w:color="auto" w:val="clear"/>
            <w:vAlign w:val="center"/>
          </w:tcPr>
          <w:p>
            <w:pPr>
              <w:spacing w:after="80" w:before="80"/>
            </w:pPr>
            <w:r>
              <w:rPr>
                <w:color w:val="1A1A2E"/>
                <w:sz w:val="20"/>
                <w:szCs w:val="20"/>
              </w:rPr>
              <w:t xml:space="preserve">$12,500+</w:t>
            </w:r>
          </w:p>
        </w:tc>
      </w:tr>
      <w:tr>
        <w:tc>
          <w:tcPr>
            <w:tcW w:type="dxa" w:w="2800"/>
            <w:shd w:fill="FFFFFF" w:color="auto" w:val="clear"/>
            <w:vAlign w:val="center"/>
          </w:tcPr>
          <w:p>
            <w:pPr>
              <w:spacing w:after="80" w:before="80"/>
            </w:pPr>
            <w:r>
              <w:rPr>
                <w:color w:val="1A1A2E"/>
                <w:sz w:val="20"/>
                <w:szCs w:val="20"/>
              </w:rPr>
              <w:t xml:space="preserve">Core Stack</w:t>
            </w:r>
          </w:p>
        </w:tc>
        <w:tc>
          <w:tcPr>
            <w:tcW w:type="dxa" w:w="6560"/>
            <w:shd w:fill="FFFFFF" w:color="auto" w:val="clear"/>
            <w:vAlign w:val="center"/>
          </w:tcPr>
          <w:p>
            <w:pPr>
              <w:spacing w:after="80" w:before="80"/>
            </w:pPr>
            <w:r>
              <w:rPr>
                <w:color w:val="1A1A2E"/>
                <w:sz w:val="20"/>
                <w:szCs w:val="20"/>
              </w:rPr>
              <w:t xml:space="preserve">The Graph · Hedera (x402/HBAR) · MCP · ENSv2 · LangGraph · Python · Next.js</w:t>
            </w:r>
          </w:p>
        </w:tc>
      </w:tr>
      <w:tr>
        <w:tc>
          <w:tcPr>
            <w:tcW w:type="dxa" w:w="2800"/>
            <w:shd w:fill="F0F8FF" w:color="auto" w:val="clear"/>
            <w:vAlign w:val="center"/>
          </w:tcPr>
          <w:p>
            <w:pPr>
              <w:spacing w:after="80" w:before="80"/>
            </w:pPr>
            <w:r>
              <w:rPr>
                <w:color w:val="1A1A2E"/>
                <w:sz w:val="20"/>
                <w:szCs w:val="20"/>
              </w:rPr>
              <w:t xml:space="preserve">Networks</w:t>
            </w:r>
          </w:p>
        </w:tc>
        <w:tc>
          <w:tcPr>
            <w:tcW w:type="dxa" w:w="6560"/>
            <w:shd w:fill="F0F8FF" w:color="auto" w:val="clear"/>
            <w:vAlign w:val="center"/>
          </w:tcPr>
          <w:p>
            <w:pPr>
              <w:spacing w:after="80" w:before="80"/>
            </w:pPr>
            <w:r>
              <w:rPr>
                <w:color w:val="1A1A2E"/>
                <w:sz w:val="20"/>
                <w:szCs w:val="20"/>
              </w:rPr>
              <w:t xml:space="preserve">Ethereum Mainnet (data) · Hedera Testnet (payments) · Sepolia (ENS)</w:t>
            </w:r>
          </w:p>
        </w:tc>
      </w:tr>
      <w:tr>
        <w:tc>
          <w:tcPr>
            <w:tcW w:type="dxa" w:w="2800"/>
            <w:shd w:fill="FFFFFF" w:color="auto" w:val="clear"/>
            <w:vAlign w:val="center"/>
          </w:tcPr>
          <w:p>
            <w:pPr>
              <w:spacing w:after="80" w:before="80"/>
            </w:pPr>
            <w:r>
              <w:rPr>
                <w:color w:val="1A1A2E"/>
                <w:sz w:val="20"/>
                <w:szCs w:val="20"/>
              </w:rPr>
              <w:t xml:space="preserve">The Graph Cost</w:t>
            </w:r>
          </w:p>
        </w:tc>
        <w:tc>
          <w:tcPr>
            <w:tcW w:type="dxa" w:w="6560"/>
            <w:shd w:fill="FFFFFF" w:color="auto" w:val="clear"/>
            <w:vAlign w:val="center"/>
          </w:tcPr>
          <w:p>
            <w:pPr>
              <w:spacing w:after="80" w:before="80"/>
            </w:pPr>
            <w:r>
              <w:rPr>
                <w:color w:val="1A1A2E"/>
                <w:sz w:val="20"/>
                <w:szCs w:val="20"/>
              </w:rPr>
              <w:t xml:space="preserve">$0 — within free tier for entire hackathon window</w:t>
            </w:r>
          </w:p>
        </w:tc>
      </w:tr>
    </w:tbl>
    <w:p>
      <w:r>
        <w:br w:type="page"/>
      </w:r>
    </w:p>
    <w:p>
      <w:pPr>
        <w:pStyle w:val="Heading1"/>
        <w:spacing w:after="160" w:before="320"/>
      </w:pPr>
      <w:r>
        <w:rPr>
          <w:b/>
          <w:bCs/>
          <w:color w:val="1A1A2E"/>
        </w:rPr>
        <w:t xml:space="preserve">2. The Core Innovation — x402-Gated MCP Server</w:t>
      </w:r>
    </w:p>
    <w:p>
      <w:pPr>
        <w:pBdr>
          <w:bottom w:val="single" w:color="00D4FF" w:sz="6"/>
        </w:pBdr>
        <w:spacing w:after="200" w:before="200"/>
      </w:pPr>
      <w:r>
        <w:t xml:space="preserve"/>
      </w:r>
    </w:p>
    <w:p>
      <w:pPr>
        <w:spacing w:after="80" w:before="80"/>
        <w:jc w:val="left"/>
      </w:pPr>
      <w:r>
        <w:rPr>
          <w:b w:val="false"/>
          <w:bCs w:val="false"/>
          <w:i w:val="false"/>
          <w:iCs w:val="false"/>
          <w:color w:val="1A1A2E"/>
          <w:sz w:val="22"/>
          <w:szCs w:val="22"/>
        </w:rPr>
        <w:t xml:space="preserve">The central architectural idea in RIA v3 is not the DeFi agent. It is the commercial primitive underneath it.</w:t>
      </w:r>
    </w:p>
    <w:p>
      <w:pPr>
        <w:spacing w:after="80" w:before="80"/>
      </w:pPr>
      <w:r>
        <w:t xml:space="preserve"/>
      </w:r>
    </w:p>
    <w:p>
      <w:pPr>
        <w:pStyle w:val="Heading2"/>
        <w:spacing w:after="160" w:before="320"/>
      </w:pPr>
      <w:r>
        <w:rPr>
          <w:b/>
          <w:bCs/>
          <w:color w:val="7B2FBE"/>
        </w:rPr>
        <w:t xml:space="preserve">2.1  The Problem with Current AI Agent Economics</w:t>
      </w:r>
    </w:p>
    <w:p>
      <w:pPr>
        <w:spacing w:after="80" w:before="80"/>
        <w:jc w:val="left"/>
      </w:pPr>
      <w:r>
        <w:rPr>
          <w:b w:val="false"/>
          <w:bCs w:val="false"/>
          <w:i w:val="false"/>
          <w:iCs w:val="false"/>
          <w:color w:val="1A1A2E"/>
          <w:sz w:val="22"/>
          <w:szCs w:val="22"/>
        </w:rPr>
        <w:t xml:space="preserve">Every AI agent that needs external data or compute today has a human somewhere managing API keys, topping up credits, and handling billing. The agent fails silently when the key expires. Nobody has built a generalized mechanism for agents to pay for services autonomously — until x402.</w:t>
      </w:r>
    </w:p>
    <w:p>
      <w:pPr>
        <w:spacing w:after="80" w:before="80"/>
      </w:pPr>
      <w:r>
        <w:t xml:space="preserve"/>
      </w:r>
    </w:p>
    <w:p>
      <w:pPr>
        <w:pStyle w:val="Heading2"/>
        <w:spacing w:after="160" w:before="320"/>
      </w:pPr>
      <w:r>
        <w:rPr>
          <w:b/>
          <w:bCs/>
          <w:color w:val="7B2FBE"/>
        </w:rPr>
        <w:t xml:space="preserve">2.2  What the x402-Gated MCP Server Is</w:t>
      </w:r>
    </w:p>
    <w:p>
      <w:pPr>
        <w:spacing w:after="80" w:before="80"/>
        <w:jc w:val="left"/>
      </w:pPr>
      <w:r>
        <w:rPr>
          <w:b w:val="false"/>
          <w:bCs w:val="false"/>
          <w:i w:val="false"/>
          <w:iCs w:val="false"/>
          <w:color w:val="1A1A2E"/>
          <w:sz w:val="22"/>
          <w:szCs w:val="22"/>
        </w:rPr>
        <w:t xml:space="preserve">RIA hosts a Model Context Protocol (MCP) server over HTTP/SSE. Every tool call on this server is gated behind an x402 payment check via Blocky402 on Hedera testnet. Before any tool executes, the calling agent must pay in HBAR. No payment = 402 response. Payment confirmed = tool executes and returns data.</w:t>
      </w:r>
    </w:p>
    <w:p>
      <w:pPr>
        <w:spacing w:after="80" w:before="80"/>
      </w:pPr>
      <w:r>
        <w:t xml:space="preserve"/>
      </w:r>
    </w:p>
    <w:p>
      <w:pPr>
        <w:spacing w:after="120" w:before="120"/>
      </w:pPr>
      <w:r>
        <w:rPr>
          <w:rFonts w:ascii="Courier New" w:cs="Courier New" w:eastAsia="Courier New" w:hAnsi="Courier New"/>
          <w:color w:val="1A1A2E"/>
          <w:sz w:val="17"/>
          <w:szCs w:val="17"/>
        </w:rPr>
        <w:t xml:space="preserve">Any AI Agent (MCP client)
        |
        | tool call: get_risk_score(opportunity)
        ↓
x402-Gated MCP Server
        |
        | HTTP 402 → "pay 0.002 HBAR to Blocky402"
        ↓
Agent pays HBAR on Hedera (sub-3s finality)
        |
        | payment confirmed → tool executes
        ↓
MCP Server calls: CoinGecko + Etherscan + Claude LLM
        |
        | synthesized risk score returned
        ↓
Agent receives enrichment, continues reasoning</w:t>
      </w:r>
    </w:p>
    <w:p>
      <w:pPr>
        <w:spacing w:after="80" w:before="80"/>
      </w:pPr>
      <w:r>
        <w:t xml:space="preserve"/>
      </w:r>
    </w:p>
    <w:p>
      <w:pPr>
        <w:spacing w:after="80" w:before="80"/>
        <w:jc w:val="left"/>
      </w:pPr>
      <w:r>
        <w:rPr>
          <w:b w:val="false"/>
          <w:bCs w:val="false"/>
          <w:i w:val="false"/>
          <w:iCs w:val="false"/>
          <w:color w:val="1A1A2E"/>
          <w:sz w:val="22"/>
          <w:szCs w:val="22"/>
        </w:rPr>
        <w:t xml:space="preserve">This is not RIA-specific infrastructure. Any MCP-compatible AI agent — Claude, GPT, Gemini, a LangGraph agent, a CrewAI agent — can connect to this MCP server and pay per call. RIA is the first consumer and the demonstration that it works. The MCP server is the product.</w:t>
      </w:r>
    </w:p>
    <w:p>
      <w:pPr>
        <w:spacing w:after="80" w:before="80"/>
      </w:pPr>
      <w:r>
        <w:t xml:space="preserve"/>
      </w:r>
    </w:p>
    <w:p>
      <w:pPr>
        <w:pStyle w:val="Heading2"/>
        <w:spacing w:after="160" w:before="320"/>
      </w:pPr>
      <w:r>
        <w:rPr>
          <w:b/>
          <w:bCs/>
          <w:color w:val="7B2FBE"/>
        </w:rPr>
        <w:t xml:space="preserve">2.3  Why MCP Over a Plain FastAPI Endpoint</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200"/>
        <w:gridCol w:w="3300"/>
        <w:gridCol w:w="3860"/>
      </w:tblGrid>
      <w:tr>
        <w:tc>
          <w:tcPr>
            <w:tcW w:type="dxa" w:w="2200"/>
            <w:shd w:fill="0F3460" w:color="auto" w:val="clear"/>
            <w:vAlign w:val="center"/>
          </w:tcPr>
          <w:p>
            <w:pPr>
              <w:spacing w:after="80" w:before="80"/>
              <w:jc w:val="left"/>
            </w:pPr>
            <w:r>
              <w:rPr>
                <w:b/>
                <w:bCs/>
                <w:color w:val="FFFFFF"/>
                <w:sz w:val="20"/>
                <w:szCs w:val="20"/>
              </w:rPr>
              <w:t xml:space="preserve">Dimension</w:t>
            </w:r>
          </w:p>
        </w:tc>
        <w:tc>
          <w:tcPr>
            <w:tcW w:type="dxa" w:w="3300"/>
            <w:shd w:fill="0F3460" w:color="auto" w:val="clear"/>
            <w:vAlign w:val="center"/>
          </w:tcPr>
          <w:p>
            <w:pPr>
              <w:spacing w:after="80" w:before="80"/>
              <w:jc w:val="left"/>
            </w:pPr>
            <w:r>
              <w:rPr>
                <w:b/>
                <w:bCs/>
                <w:color w:val="FFFFFF"/>
                <w:sz w:val="20"/>
                <w:szCs w:val="20"/>
              </w:rPr>
              <w:t xml:space="preserve">Plain FastAPI x402 Endpoint</w:t>
            </w:r>
          </w:p>
        </w:tc>
        <w:tc>
          <w:tcPr>
            <w:tcW w:type="dxa" w:w="3860"/>
            <w:shd w:fill="0F3460" w:color="auto" w:val="clear"/>
            <w:vAlign w:val="center"/>
          </w:tcPr>
          <w:p>
            <w:pPr>
              <w:spacing w:after="80" w:before="80"/>
              <w:jc w:val="left"/>
            </w:pPr>
            <w:r>
              <w:rPr>
                <w:b/>
                <w:bCs/>
                <w:color w:val="FFFFFF"/>
                <w:sz w:val="20"/>
                <w:szCs w:val="20"/>
              </w:rPr>
              <w:t xml:space="preserve">x402-Gated MCP Server</w:t>
            </w:r>
          </w:p>
        </w:tc>
      </w:tr>
      <w:tr>
        <w:tc>
          <w:tcPr>
            <w:tcW w:type="dxa" w:w="2200"/>
            <w:shd w:fill="FFFFFF" w:color="auto" w:val="clear"/>
            <w:vAlign w:val="center"/>
          </w:tcPr>
          <w:p>
            <w:pPr>
              <w:spacing w:after="80" w:before="80"/>
            </w:pPr>
            <w:r>
              <w:rPr>
                <w:color w:val="1A1A2E"/>
                <w:sz w:val="20"/>
                <w:szCs w:val="20"/>
              </w:rPr>
              <w:t xml:space="preserve">Consumer</w:t>
            </w:r>
          </w:p>
        </w:tc>
        <w:tc>
          <w:tcPr>
            <w:tcW w:type="dxa" w:w="3300"/>
            <w:shd w:fill="FFFFFF" w:color="auto" w:val="clear"/>
            <w:vAlign w:val="center"/>
          </w:tcPr>
          <w:p>
            <w:pPr>
              <w:spacing w:after="80" w:before="80"/>
            </w:pPr>
            <w:r>
              <w:rPr>
                <w:color w:val="1A1A2E"/>
                <w:sz w:val="20"/>
                <w:szCs w:val="20"/>
              </w:rPr>
              <w:t xml:space="preserve">RIA only — custom integration required</w:t>
            </w:r>
          </w:p>
        </w:tc>
        <w:tc>
          <w:tcPr>
            <w:tcW w:type="dxa" w:w="3860"/>
            <w:shd w:fill="FFFFFF" w:color="auto" w:val="clear"/>
            <w:vAlign w:val="center"/>
          </w:tcPr>
          <w:p>
            <w:pPr>
              <w:spacing w:after="80" w:before="80"/>
            </w:pPr>
            <w:r>
              <w:rPr>
                <w:color w:val="1A1A2E"/>
                <w:sz w:val="20"/>
                <w:szCs w:val="20"/>
              </w:rPr>
              <w:t xml:space="preserve">Any MCP-compatible AI agent — zero integration work</w:t>
            </w:r>
          </w:p>
        </w:tc>
      </w:tr>
      <w:tr>
        <w:tc>
          <w:tcPr>
            <w:tcW w:type="dxa" w:w="2200"/>
            <w:shd w:fill="F0F8FF" w:color="auto" w:val="clear"/>
            <w:vAlign w:val="center"/>
          </w:tcPr>
          <w:p>
            <w:pPr>
              <w:spacing w:after="80" w:before="80"/>
            </w:pPr>
            <w:r>
              <w:rPr>
                <w:color w:val="1A1A2E"/>
                <w:sz w:val="20"/>
                <w:szCs w:val="20"/>
              </w:rPr>
              <w:t xml:space="preserve">Discovery</w:t>
            </w:r>
          </w:p>
        </w:tc>
        <w:tc>
          <w:tcPr>
            <w:tcW w:type="dxa" w:w="3300"/>
            <w:shd w:fill="F0F8FF" w:color="auto" w:val="clear"/>
            <w:vAlign w:val="center"/>
          </w:tcPr>
          <w:p>
            <w:pPr>
              <w:spacing w:after="80" w:before="80"/>
            </w:pPr>
            <w:r>
              <w:rPr>
                <w:color w:val="1A1A2E"/>
                <w:sz w:val="20"/>
                <w:szCs w:val="20"/>
              </w:rPr>
              <w:t xml:space="preserve">Not discoverable — hardcoded URL</w:t>
            </w:r>
          </w:p>
        </w:tc>
        <w:tc>
          <w:tcPr>
            <w:tcW w:type="dxa" w:w="3860"/>
            <w:shd w:fill="F0F8FF" w:color="auto" w:val="clear"/>
            <w:vAlign w:val="center"/>
          </w:tcPr>
          <w:p>
            <w:pPr>
              <w:spacing w:after="80" w:before="80"/>
            </w:pPr>
            <w:r>
              <w:rPr>
                <w:color w:val="1A1A2E"/>
                <w:sz w:val="20"/>
                <w:szCs w:val="20"/>
              </w:rPr>
              <w:t xml:space="preserve">Discoverable via MCP marketplace / tool registry</w:t>
            </w:r>
          </w:p>
        </w:tc>
      </w:tr>
      <w:tr>
        <w:tc>
          <w:tcPr>
            <w:tcW w:type="dxa" w:w="2200"/>
            <w:shd w:fill="FFFFFF" w:color="auto" w:val="clear"/>
            <w:vAlign w:val="center"/>
          </w:tcPr>
          <w:p>
            <w:pPr>
              <w:spacing w:after="80" w:before="80"/>
            </w:pPr>
            <w:r>
              <w:rPr>
                <w:color w:val="1A1A2E"/>
                <w:sz w:val="20"/>
                <w:szCs w:val="20"/>
              </w:rPr>
              <w:t xml:space="preserve">Tool schema</w:t>
            </w:r>
          </w:p>
        </w:tc>
        <w:tc>
          <w:tcPr>
            <w:tcW w:type="dxa" w:w="3300"/>
            <w:shd w:fill="FFFFFF" w:color="auto" w:val="clear"/>
            <w:vAlign w:val="center"/>
          </w:tcPr>
          <w:p>
            <w:pPr>
              <w:spacing w:after="80" w:before="80"/>
            </w:pPr>
            <w:r>
              <w:rPr>
                <w:color w:val="1A1A2E"/>
                <w:sz w:val="20"/>
                <w:szCs w:val="20"/>
              </w:rPr>
              <w:t xml:space="preserve">Custom JSON — each consumer must parse differently</w:t>
            </w:r>
          </w:p>
        </w:tc>
        <w:tc>
          <w:tcPr>
            <w:tcW w:type="dxa" w:w="3860"/>
            <w:shd w:fill="FFFFFF" w:color="auto" w:val="clear"/>
            <w:vAlign w:val="center"/>
          </w:tcPr>
          <w:p>
            <w:pPr>
              <w:spacing w:after="80" w:before="80"/>
            </w:pPr>
            <w:r>
              <w:rPr>
                <w:color w:val="1A1A2E"/>
                <w:sz w:val="20"/>
                <w:szCs w:val="20"/>
              </w:rPr>
              <w:t xml:space="preserve">Standardized MCP tool schema — universal</w:t>
            </w:r>
          </w:p>
        </w:tc>
      </w:tr>
      <w:tr>
        <w:tc>
          <w:tcPr>
            <w:tcW w:type="dxa" w:w="2200"/>
            <w:shd w:fill="F0F8FF" w:color="auto" w:val="clear"/>
            <w:vAlign w:val="center"/>
          </w:tcPr>
          <w:p>
            <w:pPr>
              <w:spacing w:after="80" w:before="80"/>
            </w:pPr>
            <w:r>
              <w:rPr>
                <w:color w:val="1A1A2E"/>
                <w:sz w:val="20"/>
                <w:szCs w:val="20"/>
              </w:rPr>
              <w:t xml:space="preserve">Commercial model</w:t>
            </w:r>
          </w:p>
        </w:tc>
        <w:tc>
          <w:tcPr>
            <w:tcW w:type="dxa" w:w="3300"/>
            <w:shd w:fill="F0F8FF" w:color="auto" w:val="clear"/>
            <w:vAlign w:val="center"/>
          </w:tcPr>
          <w:p>
            <w:pPr>
              <w:spacing w:after="80" w:before="80"/>
            </w:pPr>
            <w:r>
              <w:rPr>
                <w:color w:val="1A1A2E"/>
                <w:sz w:val="20"/>
                <w:szCs w:val="20"/>
              </w:rPr>
              <w:t xml:space="preserve">Implicit — private endpoint that charges</w:t>
            </w:r>
          </w:p>
        </w:tc>
        <w:tc>
          <w:tcPr>
            <w:tcW w:type="dxa" w:w="3860"/>
            <w:shd w:fill="F0F8FF" w:color="auto" w:val="clear"/>
            <w:vAlign w:val="center"/>
          </w:tcPr>
          <w:p>
            <w:pPr>
              <w:spacing w:after="80" w:before="80"/>
            </w:pPr>
            <w:r>
              <w:rPr>
                <w:color w:val="1A1A2E"/>
                <w:sz w:val="20"/>
                <w:szCs w:val="20"/>
              </w:rPr>
              <w:t xml:space="preserve">Explicit — metered, per-tool, autonomous payment primitive</w:t>
            </w:r>
          </w:p>
        </w:tc>
      </w:tr>
      <w:tr>
        <w:tc>
          <w:tcPr>
            <w:tcW w:type="dxa" w:w="2200"/>
            <w:shd w:fill="FFFFFF" w:color="auto" w:val="clear"/>
            <w:vAlign w:val="center"/>
          </w:tcPr>
          <w:p>
            <w:pPr>
              <w:spacing w:after="80" w:before="80"/>
            </w:pPr>
            <w:r>
              <w:rPr>
                <w:color w:val="1A1A2E"/>
                <w:sz w:val="20"/>
                <w:szCs w:val="20"/>
              </w:rPr>
              <w:t xml:space="preserve">Judge impact</w:t>
            </w:r>
          </w:p>
        </w:tc>
        <w:tc>
          <w:tcPr>
            <w:tcW w:type="dxa" w:w="3300"/>
            <w:shd w:fill="FFFFFF" w:color="auto" w:val="clear"/>
            <w:vAlign w:val="center"/>
          </w:tcPr>
          <w:p>
            <w:pPr>
              <w:spacing w:after="80" w:before="80"/>
            </w:pPr>
            <w:r>
              <w:rPr>
                <w:color w:val="1A1A2E"/>
                <w:sz w:val="20"/>
                <w:szCs w:val="20"/>
              </w:rPr>
              <w:t xml:space="preserve">Demonstrates x402 works</w:t>
            </w:r>
          </w:p>
        </w:tc>
        <w:tc>
          <w:tcPr>
            <w:tcW w:type="dxa" w:w="3860"/>
            <w:shd w:fill="FFFFFF" w:color="auto" w:val="clear"/>
            <w:vAlign w:val="center"/>
          </w:tcPr>
          <w:p>
            <w:pPr>
              <w:spacing w:after="80" w:before="80"/>
            </w:pPr>
            <w:r>
              <w:rPr>
                <w:color w:val="1A1A2E"/>
                <w:sz w:val="20"/>
                <w:szCs w:val="20"/>
              </w:rPr>
              <w:t xml:space="preserve">Demonstrates the entire AI agent commercial economy model</w:t>
            </w:r>
          </w:p>
        </w:tc>
      </w:tr>
      <w:tr>
        <w:tc>
          <w:tcPr>
            <w:tcW w:type="dxa" w:w="2200"/>
            <w:shd w:fill="F0F8FF" w:color="auto" w:val="clear"/>
            <w:vAlign w:val="center"/>
          </w:tcPr>
          <w:p>
            <w:pPr>
              <w:spacing w:after="80" w:before="80"/>
            </w:pPr>
            <w:r>
              <w:rPr>
                <w:color w:val="1A1A2E"/>
                <w:sz w:val="20"/>
                <w:szCs w:val="20"/>
              </w:rPr>
              <w:t xml:space="preserve">Differentiation</w:t>
            </w:r>
          </w:p>
        </w:tc>
        <w:tc>
          <w:tcPr>
            <w:tcW w:type="dxa" w:w="3300"/>
            <w:shd w:fill="F0F8FF" w:color="auto" w:val="clear"/>
            <w:vAlign w:val="center"/>
          </w:tcPr>
          <w:p>
            <w:pPr>
              <w:spacing w:after="80" w:before="80"/>
            </w:pPr>
            <w:r>
              <w:rPr>
                <w:color w:val="1A1A2E"/>
                <w:sz w:val="20"/>
                <w:szCs w:val="20"/>
              </w:rPr>
              <w:t xml:space="preserve">Low — any team can build a FastAPI + x402</w:t>
            </w:r>
          </w:p>
        </w:tc>
        <w:tc>
          <w:tcPr>
            <w:tcW w:type="dxa" w:w="3860"/>
            <w:shd w:fill="F0F8FF" w:color="auto" w:val="clear"/>
            <w:vAlign w:val="center"/>
          </w:tcPr>
          <w:p>
            <w:pPr>
              <w:spacing w:after="80" w:before="80"/>
            </w:pPr>
            <w:r>
              <w:rPr>
                <w:color w:val="1A1A2E"/>
                <w:sz w:val="20"/>
                <w:szCs w:val="20"/>
              </w:rPr>
              <w:t xml:space="preserve">High — MCP + x402 combination is first-mover at this hackathon</w:t>
            </w:r>
          </w:p>
        </w:tc>
      </w:tr>
    </w:tbl>
    <w:p>
      <w:r>
        <w:br w:type="page"/>
      </w:r>
    </w:p>
    <w:p>
      <w:pPr>
        <w:pStyle w:val="Heading1"/>
        <w:spacing w:after="160" w:before="320"/>
      </w:pPr>
      <w:r>
        <w:rPr>
          <w:b/>
          <w:bCs/>
          <w:color w:val="1A1A2E"/>
        </w:rPr>
        <w:t xml:space="preserve">3. System Architecture</w:t>
      </w:r>
    </w:p>
    <w:p>
      <w:pPr>
        <w:pBdr>
          <w:bottom w:val="single" w:color="00D4FF" w:sz="6"/>
        </w:pBdr>
        <w:spacing w:after="200" w:before="200"/>
      </w:pPr>
      <w:r>
        <w:t xml:space="preserve"/>
      </w:r>
    </w:p>
    <w:p>
      <w:pPr>
        <w:pStyle w:val="Heading2"/>
        <w:spacing w:after="160" w:before="320"/>
      </w:pPr>
      <w:r>
        <w:rPr>
          <w:b/>
          <w:bCs/>
          <w:color w:val="7B2FBE"/>
        </w:rPr>
        <w:t xml:space="preserve">3.1  Full System Diagram</w:t>
      </w:r>
    </w:p>
    <w:p>
      <w:pPr>
        <w:spacing w:after="120" w:before="120"/>
      </w:pPr>
      <w:r>
        <w:rPr>
          <w:rFonts w:ascii="Courier New" w:cs="Courier New" w:eastAsia="Courier New" w:hAnsi="Courier New"/>
          <w:color w:val="1A1A2E"/>
          <w:sz w:val="17"/>
          <w:szCs w:val="17"/>
        </w:rPr>
        <w:t xml:space="preserve">┌─────────────────────────────────────────────────────────────────────────────┐
│                        RIA — FULL SYSTEM (v3)                               │
├──────────────────┬──────────────────────┬──────────────────────────────────┤
│  LAYER 1         │  LAYER 2             │  LAYER 3                         │
│  FREE DATA       │  INTELLIGENCE        │  COMMERCIAL ENRICHMENT           │
│  FOUNDATION      │  PIPELINE            │  + IDENTITY + VISIBILITY         │
│                  │                      │                                  │
│  The Graph       │  LangGraph           │  x402-Gated MCP Server           │
│  ─────────────   │  StateGraph          │  ─────────────────────────       │
│                  │  ─────────────       │  get_gas_price()    0.0005 HBAR  │
│  Subgraph Studio │  RECON               │  get_sentiment()    0.001  HBAR  │
│  (GraphQL)       │    ↓ (Graph data)    │  get_risk_score()   0.002  HBAR  │
│  Free tier:      │  SCOUT               │  get_price_feed()   0.0005 HBAR  │
│  100k q/month    │    ↓                 │  stream_alerts()    0.001  HBAR  │
│                  │  RISK                │  (per alert)                     │
│  Substreams      │    ↓                 │                                  │
│  (streaming)     │  ORACLE──────────────┼──► pays x402, calls MCP tools   │
│  Free tier:      │    ↓ (enriched)      │                                  │
│  7M blocks       │  EXEC                │  Hedera Testnet                  │
│  + 5 GiB egress  │    ↓                 │  ─────────────────────────       │
│                  │  AUDIT               │  x402 payments (Blocky402)       │
│  Direct queries  │    ↓                 │  HCS audit trail                 │
│  by RECON agent  │  WebSocket ──────────┼──► Dashboard feed                │
│                  │  stream              │                                  │
│                  │                      │  ENSv2 (Sepolia)                 │
│                  │                      │  ria-oracle.ria.eth              │
│                  │                      │  ria-exec.ria.eth                │
│                  │                      │                                  │
│                  │                      │  Next.js Dashboard               │
│                  │                      │  4 panels, read-only observer    │
└──────────────────┴──────────────────────┴──────────────────────────────────┘
  Any external AI agent (Claude, GPT, CrewAI) can also connect to the
  x402-Gated MCP Server directly — RIA is first consumer, not only consumer.</w:t>
      </w:r>
    </w:p>
    <w:p>
      <w:pPr>
        <w:spacing w:after="160" w:before="160"/>
      </w:pPr>
      <w:r>
        <w:t xml:space="preserve"/>
      </w:r>
    </w:p>
    <w:p>
      <w:pPr>
        <w:pStyle w:val="Heading2"/>
        <w:spacing w:after="160" w:before="320"/>
      </w:pPr>
      <w:r>
        <w:rPr>
          <w:b/>
          <w:bCs/>
          <w:color w:val="7B2FBE"/>
        </w:rPr>
        <w:t xml:space="preserve">3.2  Layer 1 — The Graph (Free, Open, Load-Bearing)</w:t>
      </w:r>
    </w:p>
    <w:p>
      <w:pPr>
        <w:spacing w:after="80" w:before="80"/>
        <w:jc w:val="left"/>
      </w:pPr>
      <w:r>
        <w:rPr>
          <w:b w:val="false"/>
          <w:bCs w:val="false"/>
          <w:i w:val="false"/>
          <w:iCs w:val="false"/>
          <w:color w:val="1A1A2E"/>
          <w:sz w:val="22"/>
          <w:szCs w:val="22"/>
        </w:rPr>
        <w:t xml:space="preserve">RECON queries The Graph directly — no payment gate, no intermediary. This is the open data foundation RIA is built on. Three Graph products are composed:</w:t>
      </w:r>
    </w:p>
    <w:p>
      <w:pPr>
        <w:spacing w:after="80" w:before="8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000"/>
        <w:gridCol w:w="2800"/>
        <w:gridCol w:w="2200"/>
        <w:gridCol w:w="2360"/>
      </w:tblGrid>
      <w:tr>
        <w:tc>
          <w:tcPr>
            <w:tcW w:type="dxa" w:w="2000"/>
            <w:shd w:fill="0F3460" w:color="auto" w:val="clear"/>
            <w:vAlign w:val="center"/>
          </w:tcPr>
          <w:p>
            <w:pPr>
              <w:spacing w:after="80" w:before="80"/>
              <w:jc w:val="left"/>
            </w:pPr>
            <w:r>
              <w:rPr>
                <w:b/>
                <w:bCs/>
                <w:color w:val="FFFFFF"/>
                <w:sz w:val="20"/>
                <w:szCs w:val="20"/>
              </w:rPr>
              <w:t xml:space="preserve">Product</w:t>
            </w:r>
          </w:p>
        </w:tc>
        <w:tc>
          <w:tcPr>
            <w:tcW w:type="dxa" w:w="2800"/>
            <w:shd w:fill="0F3460" w:color="auto" w:val="clear"/>
            <w:vAlign w:val="center"/>
          </w:tcPr>
          <w:p>
            <w:pPr>
              <w:spacing w:after="80" w:before="80"/>
              <w:jc w:val="left"/>
            </w:pPr>
            <w:r>
              <w:rPr>
                <w:b/>
                <w:bCs/>
                <w:color w:val="FFFFFF"/>
                <w:sz w:val="20"/>
                <w:szCs w:val="20"/>
              </w:rPr>
              <w:t xml:space="preserve">How RECON Uses It</w:t>
            </w:r>
          </w:p>
        </w:tc>
        <w:tc>
          <w:tcPr>
            <w:tcW w:type="dxa" w:w="2200"/>
            <w:shd w:fill="0F3460" w:color="auto" w:val="clear"/>
            <w:vAlign w:val="center"/>
          </w:tcPr>
          <w:p>
            <w:pPr>
              <w:spacing w:after="80" w:before="80"/>
              <w:jc w:val="left"/>
            </w:pPr>
            <w:r>
              <w:rPr>
                <w:b/>
                <w:bCs/>
                <w:color w:val="FFFFFF"/>
                <w:sz w:val="20"/>
                <w:szCs w:val="20"/>
              </w:rPr>
              <w:t xml:space="preserve">Query Pattern</w:t>
            </w:r>
          </w:p>
        </w:tc>
        <w:tc>
          <w:tcPr>
            <w:tcW w:type="dxa" w:w="2360"/>
            <w:shd w:fill="0F3460" w:color="auto" w:val="clear"/>
            <w:vAlign w:val="center"/>
          </w:tcPr>
          <w:p>
            <w:pPr>
              <w:spacing w:after="80" w:before="80"/>
              <w:jc w:val="left"/>
            </w:pPr>
            <w:r>
              <w:rPr>
                <w:b/>
                <w:bCs/>
                <w:color w:val="FFFFFF"/>
                <w:sz w:val="20"/>
                <w:szCs w:val="20"/>
              </w:rPr>
              <w:t xml:space="preserve">Free Tier Used</w:t>
            </w:r>
          </w:p>
        </w:tc>
      </w:tr>
      <w:tr>
        <w:tc>
          <w:tcPr>
            <w:tcW w:type="dxa" w:w="2000"/>
            <w:shd w:fill="FFFFFF" w:color="auto" w:val="clear"/>
            <w:vAlign w:val="center"/>
          </w:tcPr>
          <w:p>
            <w:pPr>
              <w:spacing w:after="80" w:before="80"/>
            </w:pPr>
            <w:r>
              <w:rPr>
                <w:color w:val="1A1A2E"/>
                <w:sz w:val="20"/>
                <w:szCs w:val="20"/>
              </w:rPr>
              <w:t xml:space="preserve">Subgraph Studio</w:t>
            </w:r>
          </w:p>
        </w:tc>
        <w:tc>
          <w:tcPr>
            <w:tcW w:type="dxa" w:w="2800"/>
            <w:shd w:fill="FFFFFF" w:color="auto" w:val="clear"/>
            <w:vAlign w:val="center"/>
          </w:tcPr>
          <w:p>
            <w:pPr>
              <w:spacing w:after="80" w:before="80"/>
            </w:pPr>
            <w:r>
              <w:rPr>
                <w:color w:val="1A1A2E"/>
                <w:sz w:val="20"/>
                <w:szCs w:val="20"/>
              </w:rPr>
              <w:t xml:space="preserve">GraphQL queries for pool TVL, APY, utilization, collateral ratios</w:t>
            </w:r>
          </w:p>
        </w:tc>
        <w:tc>
          <w:tcPr>
            <w:tcW w:type="dxa" w:w="2200"/>
            <w:shd w:fill="FFFFFF" w:color="auto" w:val="clear"/>
            <w:vAlign w:val="center"/>
          </w:tcPr>
          <w:p>
            <w:pPr>
              <w:spacing w:after="80" w:before="80"/>
            </w:pPr>
            <w:r>
              <w:rPr>
                <w:color w:val="1A1A2E"/>
                <w:sz w:val="20"/>
                <w:szCs w:val="20"/>
              </w:rPr>
              <w:t xml:space="preserve">2 queries/min across 3 protocols</w:t>
            </w:r>
          </w:p>
        </w:tc>
        <w:tc>
          <w:tcPr>
            <w:tcW w:type="dxa" w:w="2360"/>
            <w:shd w:fill="FFFFFF" w:color="auto" w:val="clear"/>
            <w:vAlign w:val="center"/>
          </w:tcPr>
          <w:p>
            <w:pPr>
              <w:spacing w:after="80" w:before="80"/>
            </w:pPr>
            <w:r>
              <w:rPr>
                <w:color w:val="1A1A2E"/>
                <w:sz w:val="20"/>
                <w:szCs w:val="20"/>
              </w:rPr>
              <w:t xml:space="preserve">~17k of 100k/month free</w:t>
            </w:r>
          </w:p>
        </w:tc>
      </w:tr>
      <w:tr>
        <w:tc>
          <w:tcPr>
            <w:tcW w:type="dxa" w:w="2000"/>
            <w:shd w:fill="F0F8FF" w:color="auto" w:val="clear"/>
            <w:vAlign w:val="center"/>
          </w:tcPr>
          <w:p>
            <w:pPr>
              <w:spacing w:after="80" w:before="80"/>
            </w:pPr>
            <w:r>
              <w:rPr>
                <w:color w:val="1A1A2E"/>
                <w:sz w:val="20"/>
                <w:szCs w:val="20"/>
              </w:rPr>
              <w:t xml:space="preserve">Messari Standardized Subgraphs</w:t>
            </w:r>
          </w:p>
        </w:tc>
        <w:tc>
          <w:tcPr>
            <w:tcW w:type="dxa" w:w="2800"/>
            <w:shd w:fill="F0F8FF" w:color="auto" w:val="clear"/>
            <w:vAlign w:val="center"/>
          </w:tcPr>
          <w:p>
            <w:pPr>
              <w:spacing w:after="80" w:before="80"/>
            </w:pPr>
            <w:r>
              <w:rPr>
                <w:color w:val="1A1A2E"/>
                <w:sz w:val="20"/>
                <w:szCs w:val="20"/>
              </w:rPr>
              <w:t xml:space="preserve">Single schema spans Uniswap, Aave, Compound, Curve simultaneously</w:t>
            </w:r>
          </w:p>
        </w:tc>
        <w:tc>
          <w:tcPr>
            <w:tcW w:type="dxa" w:w="2200"/>
            <w:shd w:fill="F0F8FF" w:color="auto" w:val="clear"/>
            <w:vAlign w:val="center"/>
          </w:tcPr>
          <w:p>
            <w:pPr>
              <w:spacing w:after="80" w:before="80"/>
            </w:pPr>
            <w:r>
              <w:rPr>
                <w:color w:val="1A1A2E"/>
                <w:sz w:val="20"/>
                <w:szCs w:val="20"/>
              </w:rPr>
              <w:t xml:space="preserve">1 query → 4 protocols normalized</w:t>
            </w:r>
          </w:p>
        </w:tc>
        <w:tc>
          <w:tcPr>
            <w:tcW w:type="dxa" w:w="2360"/>
            <w:shd w:fill="F0F8FF" w:color="auto" w:val="clear"/>
            <w:vAlign w:val="center"/>
          </w:tcPr>
          <w:p>
            <w:pPr>
              <w:spacing w:after="80" w:before="80"/>
            </w:pPr>
            <w:r>
              <w:rPr>
                <w:color w:val="1A1A2E"/>
                <w:sz w:val="20"/>
                <w:szCs w:val="20"/>
              </w:rPr>
              <w:t xml:space="preserve">Included in Studio queries</w:t>
            </w:r>
          </w:p>
        </w:tc>
      </w:tr>
      <w:tr>
        <w:tc>
          <w:tcPr>
            <w:tcW w:type="dxa" w:w="2000"/>
            <w:shd w:fill="FFFFFF" w:color="auto" w:val="clear"/>
            <w:vAlign w:val="center"/>
          </w:tcPr>
          <w:p>
            <w:pPr>
              <w:spacing w:after="80" w:before="80"/>
            </w:pPr>
            <w:r>
              <w:rPr>
                <w:color w:val="1A1A2E"/>
                <w:sz w:val="20"/>
                <w:szCs w:val="20"/>
              </w:rPr>
              <w:t xml:space="preserve">Substreams (Graph Market)</w:t>
            </w:r>
          </w:p>
        </w:tc>
        <w:tc>
          <w:tcPr>
            <w:tcW w:type="dxa" w:w="2800"/>
            <w:shd w:fill="FFFFFF" w:color="auto" w:val="clear"/>
            <w:vAlign w:val="center"/>
          </w:tcPr>
          <w:p>
            <w:pPr>
              <w:spacing w:after="80" w:before="80"/>
            </w:pPr>
            <w:r>
              <w:rPr>
                <w:color w:val="1A1A2E"/>
                <w:sz w:val="20"/>
                <w:szCs w:val="20"/>
              </w:rPr>
              <w:t xml:space="preserve">Block-by-block liquidation proximity event stream</w:t>
            </w:r>
          </w:p>
        </w:tc>
        <w:tc>
          <w:tcPr>
            <w:tcW w:type="dxa" w:w="2200"/>
            <w:shd w:fill="FFFFFF" w:color="auto" w:val="clear"/>
            <w:vAlign w:val="center"/>
          </w:tcPr>
          <w:p>
            <w:pPr>
              <w:spacing w:after="80" w:before="80"/>
            </w:pPr>
            <w:r>
              <w:rPr>
                <w:color w:val="1A1A2E"/>
                <w:sz w:val="20"/>
                <w:szCs w:val="20"/>
              </w:rPr>
              <w:t xml:space="preserve">Subscribe, receive pushed events</w:t>
            </w:r>
          </w:p>
        </w:tc>
        <w:tc>
          <w:tcPr>
            <w:tcW w:type="dxa" w:w="2360"/>
            <w:shd w:fill="FFFFFF" w:color="auto" w:val="clear"/>
            <w:vAlign w:val="center"/>
          </w:tcPr>
          <w:p>
            <w:pPr>
              <w:spacing w:after="80" w:before="80"/>
            </w:pPr>
            <w:r>
              <w:rPr>
                <w:color w:val="1A1A2E"/>
                <w:sz w:val="20"/>
                <w:szCs w:val="20"/>
              </w:rPr>
              <w:t xml:space="preserve">~300k of 7M blocks free</w:t>
            </w:r>
          </w:p>
        </w:tc>
      </w:tr>
    </w:tbl>
    <w:p>
      <w:pPr>
        <w:spacing w:after="80" w:before="80"/>
      </w:pPr>
      <w:r>
        <w:t xml:space="preserve"/>
      </w:r>
    </w:p>
    <w:p>
      <w:pPr>
        <w:spacing w:after="80" w:before="80"/>
        <w:jc w:val="left"/>
      </w:pPr>
      <w:r>
        <w:rPr>
          <w:b w:val="false"/>
          <w:bCs w:val="false"/>
          <w:i w:val="false"/>
          <w:iCs w:val="false"/>
          <w:color w:val="1A1A2E"/>
          <w:sz w:val="22"/>
          <w:szCs w:val="22"/>
        </w:rPr>
        <w:t xml:space="preserve">The Graph data is never routed through the x402 MCP server. It is free, public, and open — gating it behind payments would be architecturally wrong and philosophically backwards. The Graph judges will recognize and reward this clean separation.</w:t>
      </w:r>
    </w:p>
    <w:p>
      <w:pPr>
        <w:spacing w:after="160" w:before="160"/>
      </w:pPr>
      <w:r>
        <w:t xml:space="preserve"/>
      </w:r>
    </w:p>
    <w:p>
      <w:pPr>
        <w:pStyle w:val="Heading2"/>
        <w:spacing w:after="160" w:before="320"/>
      </w:pPr>
      <w:r>
        <w:rPr>
          <w:b/>
          <w:bCs/>
          <w:color w:val="7B2FBE"/>
        </w:rPr>
        <w:t xml:space="preserve">3.3  Layer 2 — LangGraph Intelligence Pipeline</w:t>
      </w:r>
    </w:p>
    <w:p>
      <w:pPr>
        <w:spacing w:after="80" w:before="80"/>
        <w:jc w:val="left"/>
      </w:pPr>
      <w:r>
        <w:rPr>
          <w:b w:val="false"/>
          <w:bCs w:val="false"/>
          <w:i w:val="false"/>
          <w:iCs w:val="false"/>
          <w:color w:val="1A1A2E"/>
          <w:sz w:val="22"/>
          <w:szCs w:val="22"/>
        </w:rPr>
        <w:t xml:space="preserve">Six specialized agents in a LangGraph StateGraph with conditional routing edges. Typed state carries portfolio context, risk thresholds, and HBAR payment budget across every hop.</w:t>
      </w:r>
    </w:p>
    <w:p>
      <w:pPr>
        <w:spacing w:after="80" w:before="8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2000"/>
        <w:gridCol w:w="2400"/>
        <w:gridCol w:w="3760"/>
      </w:tblGrid>
      <w:tr>
        <w:tc>
          <w:tcPr>
            <w:tcW w:type="dxa" w:w="1200"/>
            <w:shd w:fill="0F3460" w:color="auto" w:val="clear"/>
            <w:vAlign w:val="center"/>
          </w:tcPr>
          <w:p>
            <w:pPr>
              <w:spacing w:after="80" w:before="80"/>
              <w:jc w:val="left"/>
            </w:pPr>
            <w:r>
              <w:rPr>
                <w:b/>
                <w:bCs/>
                <w:color w:val="FFFFFF"/>
                <w:sz w:val="20"/>
                <w:szCs w:val="20"/>
              </w:rPr>
              <w:t xml:space="preserve">Agent</w:t>
            </w:r>
          </w:p>
        </w:tc>
        <w:tc>
          <w:tcPr>
            <w:tcW w:type="dxa" w:w="2000"/>
            <w:shd w:fill="0F3460" w:color="auto" w:val="clear"/>
            <w:vAlign w:val="center"/>
          </w:tcPr>
          <w:p>
            <w:pPr>
              <w:spacing w:after="80" w:before="80"/>
              <w:jc w:val="left"/>
            </w:pPr>
            <w:r>
              <w:rPr>
                <w:b/>
                <w:bCs/>
                <w:color w:val="FFFFFF"/>
                <w:sz w:val="20"/>
                <w:szCs w:val="20"/>
              </w:rPr>
              <w:t xml:space="preserve">Role</w:t>
            </w:r>
          </w:p>
        </w:tc>
        <w:tc>
          <w:tcPr>
            <w:tcW w:type="dxa" w:w="2400"/>
            <w:shd w:fill="0F3460" w:color="auto" w:val="clear"/>
            <w:vAlign w:val="center"/>
          </w:tcPr>
          <w:p>
            <w:pPr>
              <w:spacing w:after="80" w:before="80"/>
              <w:jc w:val="left"/>
            </w:pPr>
            <w:r>
              <w:rPr>
                <w:b/>
                <w:bCs/>
                <w:color w:val="FFFFFF"/>
                <w:sz w:val="20"/>
                <w:szCs w:val="20"/>
              </w:rPr>
              <w:t xml:space="preserve">Data Source</w:t>
            </w:r>
          </w:p>
        </w:tc>
        <w:tc>
          <w:tcPr>
            <w:tcW w:type="dxa" w:w="3760"/>
            <w:shd w:fill="0F3460" w:color="auto" w:val="clear"/>
            <w:vAlign w:val="center"/>
          </w:tcPr>
          <w:p>
            <w:pPr>
              <w:spacing w:after="80" w:before="80"/>
              <w:jc w:val="left"/>
            </w:pPr>
            <w:r>
              <w:rPr>
                <w:b/>
                <w:bCs/>
                <w:color w:val="FFFFFF"/>
                <w:sz w:val="20"/>
                <w:szCs w:val="20"/>
              </w:rPr>
              <w:t xml:space="preserve">Output</w:t>
            </w:r>
          </w:p>
        </w:tc>
      </w:tr>
      <w:tr>
        <w:tc>
          <w:tcPr>
            <w:tcW w:type="dxa" w:w="1200"/>
            <w:shd w:fill="FFFFFF" w:color="auto" w:val="clear"/>
            <w:vAlign w:val="center"/>
          </w:tcPr>
          <w:p>
            <w:pPr>
              <w:spacing w:after="80" w:before="80"/>
            </w:pPr>
            <w:r>
              <w:rPr>
                <w:color w:val="1A1A2E"/>
                <w:sz w:val="20"/>
                <w:szCs w:val="20"/>
              </w:rPr>
              <w:t xml:space="preserve">RECON</w:t>
            </w:r>
          </w:p>
        </w:tc>
        <w:tc>
          <w:tcPr>
            <w:tcW w:type="dxa" w:w="2000"/>
            <w:shd w:fill="FFFFFF" w:color="auto" w:val="clear"/>
            <w:vAlign w:val="center"/>
          </w:tcPr>
          <w:p>
            <w:pPr>
              <w:spacing w:after="80" w:before="80"/>
            </w:pPr>
            <w:r>
              <w:rPr>
                <w:color w:val="1A1A2E"/>
                <w:sz w:val="20"/>
                <w:szCs w:val="20"/>
              </w:rPr>
              <w:t xml:space="preserve">Ingest + normalize on-chain data</w:t>
            </w:r>
          </w:p>
        </w:tc>
        <w:tc>
          <w:tcPr>
            <w:tcW w:type="dxa" w:w="2400"/>
            <w:shd w:fill="FFFFFF" w:color="auto" w:val="clear"/>
            <w:vAlign w:val="center"/>
          </w:tcPr>
          <w:p>
            <w:pPr>
              <w:spacing w:after="80" w:before="80"/>
            </w:pPr>
            <w:r>
              <w:rPr>
                <w:color w:val="1A1A2E"/>
                <w:sz w:val="20"/>
                <w:szCs w:val="20"/>
              </w:rPr>
              <w:t xml:space="preserve">The Graph (Subgraph Studio + Substreams) — free</w:t>
            </w:r>
          </w:p>
        </w:tc>
        <w:tc>
          <w:tcPr>
            <w:tcW w:type="dxa" w:w="3760"/>
            <w:shd w:fill="FFFFFF" w:color="auto" w:val="clear"/>
            <w:vAlign w:val="center"/>
          </w:tcPr>
          <w:p>
            <w:pPr>
              <w:spacing w:after="80" w:before="80"/>
            </w:pPr>
            <w:r>
              <w:rPr>
                <w:color w:val="1A1A2E"/>
                <w:sz w:val="20"/>
                <w:szCs w:val="20"/>
              </w:rPr>
              <w:t xml:space="preserve">Normalized opportunity signals</w:t>
            </w:r>
          </w:p>
        </w:tc>
      </w:tr>
      <w:tr>
        <w:tc>
          <w:tcPr>
            <w:tcW w:type="dxa" w:w="1200"/>
            <w:shd w:fill="F0F8FF" w:color="auto" w:val="clear"/>
            <w:vAlign w:val="center"/>
          </w:tcPr>
          <w:p>
            <w:pPr>
              <w:spacing w:after="80" w:before="80"/>
            </w:pPr>
            <w:r>
              <w:rPr>
                <w:color w:val="1A1A2E"/>
                <w:sz w:val="20"/>
                <w:szCs w:val="20"/>
              </w:rPr>
              <w:t xml:space="preserve">SCOUT</w:t>
            </w:r>
          </w:p>
        </w:tc>
        <w:tc>
          <w:tcPr>
            <w:tcW w:type="dxa" w:w="2000"/>
            <w:shd w:fill="F0F8FF" w:color="auto" w:val="clear"/>
            <w:vAlign w:val="center"/>
          </w:tcPr>
          <w:p>
            <w:pPr>
              <w:spacing w:after="80" w:before="80"/>
            </w:pPr>
            <w:r>
              <w:rPr>
                <w:color w:val="1A1A2E"/>
                <w:sz w:val="20"/>
                <w:szCs w:val="20"/>
              </w:rPr>
              <w:t xml:space="preserve">Rank opportunities by raw potential</w:t>
            </w:r>
          </w:p>
        </w:tc>
        <w:tc>
          <w:tcPr>
            <w:tcW w:type="dxa" w:w="2400"/>
            <w:shd w:fill="F0F8FF" w:color="auto" w:val="clear"/>
            <w:vAlign w:val="center"/>
          </w:tcPr>
          <w:p>
            <w:pPr>
              <w:spacing w:after="80" w:before="80"/>
            </w:pPr>
            <w:r>
              <w:rPr>
                <w:color w:val="1A1A2E"/>
                <w:sz w:val="20"/>
                <w:szCs w:val="20"/>
              </w:rPr>
              <w:t xml:space="preserve">RECON output</w:t>
            </w:r>
          </w:p>
        </w:tc>
        <w:tc>
          <w:tcPr>
            <w:tcW w:type="dxa" w:w="3760"/>
            <w:shd w:fill="F0F8FF" w:color="auto" w:val="clear"/>
            <w:vAlign w:val="center"/>
          </w:tcPr>
          <w:p>
            <w:pPr>
              <w:spacing w:after="80" w:before="80"/>
            </w:pPr>
            <w:r>
              <w:rPr>
                <w:color w:val="1A1A2E"/>
                <w:sz w:val="20"/>
                <w:szCs w:val="20"/>
              </w:rPr>
              <w:t xml:space="preserve">Ranked opportunity list with scores</w:t>
            </w:r>
          </w:p>
        </w:tc>
      </w:tr>
      <w:tr>
        <w:tc>
          <w:tcPr>
            <w:tcW w:type="dxa" w:w="1200"/>
            <w:shd w:fill="FFFFFF" w:color="auto" w:val="clear"/>
            <w:vAlign w:val="center"/>
          </w:tcPr>
          <w:p>
            <w:pPr>
              <w:spacing w:after="80" w:before="80"/>
            </w:pPr>
            <w:r>
              <w:rPr>
                <w:color w:val="1A1A2E"/>
                <w:sz w:val="20"/>
                <w:szCs w:val="20"/>
              </w:rPr>
              <w:t xml:space="preserve">RISK</w:t>
            </w:r>
          </w:p>
        </w:tc>
        <w:tc>
          <w:tcPr>
            <w:tcW w:type="dxa" w:w="2000"/>
            <w:shd w:fill="FFFFFF" w:color="auto" w:val="clear"/>
            <w:vAlign w:val="center"/>
          </w:tcPr>
          <w:p>
            <w:pPr>
              <w:spacing w:after="80" w:before="80"/>
            </w:pPr>
            <w:r>
              <w:rPr>
                <w:color w:val="1A1A2E"/>
                <w:sz w:val="20"/>
                <w:szCs w:val="20"/>
              </w:rPr>
              <w:t xml:space="preserve">Score and size positions</w:t>
            </w:r>
          </w:p>
        </w:tc>
        <w:tc>
          <w:tcPr>
            <w:tcW w:type="dxa" w:w="2400"/>
            <w:shd w:fill="FFFFFF" w:color="auto" w:val="clear"/>
            <w:vAlign w:val="center"/>
          </w:tcPr>
          <w:p>
            <w:pPr>
              <w:spacing w:after="80" w:before="80"/>
            </w:pPr>
            <w:r>
              <w:rPr>
                <w:color w:val="1A1A2E"/>
                <w:sz w:val="20"/>
                <w:szCs w:val="20"/>
              </w:rPr>
              <w:t xml:space="preserve">SCOUT output + portfolio state</w:t>
            </w:r>
          </w:p>
        </w:tc>
        <w:tc>
          <w:tcPr>
            <w:tcW w:type="dxa" w:w="3760"/>
            <w:shd w:fill="FFFFFF" w:color="auto" w:val="clear"/>
            <w:vAlign w:val="center"/>
          </w:tcPr>
          <w:p>
            <w:pPr>
              <w:spacing w:after="80" w:before="80"/>
            </w:pPr>
            <w:r>
              <w:rPr>
                <w:color w:val="1A1A2E"/>
                <w:sz w:val="20"/>
                <w:szCs w:val="20"/>
              </w:rPr>
              <w:t xml:space="preserve">Risk-adjusted recommendations</w:t>
            </w:r>
          </w:p>
        </w:tc>
      </w:tr>
      <w:tr>
        <w:tc>
          <w:tcPr>
            <w:tcW w:type="dxa" w:w="1200"/>
            <w:shd w:fill="F0F8FF" w:color="auto" w:val="clear"/>
            <w:vAlign w:val="center"/>
          </w:tcPr>
          <w:p>
            <w:pPr>
              <w:spacing w:after="80" w:before="80"/>
            </w:pPr>
            <w:r>
              <w:rPr>
                <w:color w:val="1A1A2E"/>
                <w:sz w:val="20"/>
                <w:szCs w:val="20"/>
              </w:rPr>
              <w:t xml:space="preserve">ORACLE</w:t>
            </w:r>
          </w:p>
        </w:tc>
        <w:tc>
          <w:tcPr>
            <w:tcW w:type="dxa" w:w="2000"/>
            <w:shd w:fill="F0F8FF" w:color="auto" w:val="clear"/>
            <w:vAlign w:val="center"/>
          </w:tcPr>
          <w:p>
            <w:pPr>
              <w:spacing w:after="80" w:before="80"/>
            </w:pPr>
            <w:r>
              <w:rPr>
                <w:color w:val="1A1A2E"/>
                <w:sz w:val="20"/>
                <w:szCs w:val="20"/>
              </w:rPr>
              <w:t xml:space="preserve">Enrich signals — pays x402 MCP server</w:t>
            </w:r>
          </w:p>
        </w:tc>
        <w:tc>
          <w:tcPr>
            <w:tcW w:type="dxa" w:w="2400"/>
            <w:shd w:fill="F0F8FF" w:color="auto" w:val="clear"/>
            <w:vAlign w:val="center"/>
          </w:tcPr>
          <w:p>
            <w:pPr>
              <w:spacing w:after="80" w:before="80"/>
            </w:pPr>
            <w:r>
              <w:rPr>
                <w:color w:val="1A1A2E"/>
                <w:sz w:val="20"/>
                <w:szCs w:val="20"/>
              </w:rPr>
              <w:t xml:space="preserve">x402 MCP server tools (paid in HBAR)</w:t>
            </w:r>
          </w:p>
        </w:tc>
        <w:tc>
          <w:tcPr>
            <w:tcW w:type="dxa" w:w="3760"/>
            <w:shd w:fill="F0F8FF" w:color="auto" w:val="clear"/>
            <w:vAlign w:val="center"/>
          </w:tcPr>
          <w:p>
            <w:pPr>
              <w:spacing w:after="80" w:before="80"/>
            </w:pPr>
            <w:r>
              <w:rPr>
                <w:color w:val="1A1A2E"/>
                <w:sz w:val="20"/>
                <w:szCs w:val="20"/>
              </w:rPr>
              <w:t xml:space="preserve">Enriched signals with confidence delta</w:t>
            </w:r>
          </w:p>
        </w:tc>
      </w:tr>
      <w:tr>
        <w:tc>
          <w:tcPr>
            <w:tcW w:type="dxa" w:w="1200"/>
            <w:shd w:fill="FFFFFF" w:color="auto" w:val="clear"/>
            <w:vAlign w:val="center"/>
          </w:tcPr>
          <w:p>
            <w:pPr>
              <w:spacing w:after="80" w:before="80"/>
            </w:pPr>
            <w:r>
              <w:rPr>
                <w:color w:val="1A1A2E"/>
                <w:sz w:val="20"/>
                <w:szCs w:val="20"/>
              </w:rPr>
              <w:t xml:space="preserve">EXEC</w:t>
            </w:r>
          </w:p>
        </w:tc>
        <w:tc>
          <w:tcPr>
            <w:tcW w:type="dxa" w:w="2000"/>
            <w:shd w:fill="FFFFFF" w:color="auto" w:val="clear"/>
            <w:vAlign w:val="center"/>
          </w:tcPr>
          <w:p>
            <w:pPr>
              <w:spacing w:after="80" w:before="80"/>
            </w:pPr>
            <w:r>
              <w:rPr>
                <w:color w:val="1A1A2E"/>
                <w:sz w:val="20"/>
                <w:szCs w:val="20"/>
              </w:rPr>
              <w:t xml:space="preserve">Gate and dispatch actions</w:t>
            </w:r>
          </w:p>
        </w:tc>
        <w:tc>
          <w:tcPr>
            <w:tcW w:type="dxa" w:w="2400"/>
            <w:shd w:fill="FFFFFF" w:color="auto" w:val="clear"/>
            <w:vAlign w:val="center"/>
          </w:tcPr>
          <w:p>
            <w:pPr>
              <w:spacing w:after="80" w:before="80"/>
            </w:pPr>
            <w:r>
              <w:rPr>
                <w:color w:val="1A1A2E"/>
                <w:sz w:val="20"/>
                <w:szCs w:val="20"/>
              </w:rPr>
              <w:t xml:space="preserve">ORACLE output + risk threshold config</w:t>
            </w:r>
          </w:p>
        </w:tc>
        <w:tc>
          <w:tcPr>
            <w:tcW w:type="dxa" w:w="3760"/>
            <w:shd w:fill="FFFFFF" w:color="auto" w:val="clear"/>
            <w:vAlign w:val="center"/>
          </w:tcPr>
          <w:p>
            <w:pPr>
              <w:spacing w:after="80" w:before="80"/>
            </w:pPr>
            <w:r>
              <w:rPr>
                <w:color w:val="1A1A2E"/>
                <w:sz w:val="20"/>
                <w:szCs w:val="20"/>
              </w:rPr>
              <w:t xml:space="preserve">Executed actions or human alert queue</w:t>
            </w:r>
          </w:p>
        </w:tc>
      </w:tr>
      <w:tr>
        <w:tc>
          <w:tcPr>
            <w:tcW w:type="dxa" w:w="1200"/>
            <w:shd w:fill="F0F8FF" w:color="auto" w:val="clear"/>
            <w:vAlign w:val="center"/>
          </w:tcPr>
          <w:p>
            <w:pPr>
              <w:spacing w:after="80" w:before="80"/>
            </w:pPr>
            <w:r>
              <w:rPr>
                <w:color w:val="1A1A2E"/>
                <w:sz w:val="20"/>
                <w:szCs w:val="20"/>
              </w:rPr>
              <w:t xml:space="preserve">AUDIT</w:t>
            </w:r>
          </w:p>
        </w:tc>
        <w:tc>
          <w:tcPr>
            <w:tcW w:type="dxa" w:w="2000"/>
            <w:shd w:fill="F0F8FF" w:color="auto" w:val="clear"/>
            <w:vAlign w:val="center"/>
          </w:tcPr>
          <w:p>
            <w:pPr>
              <w:spacing w:after="80" w:before="80"/>
            </w:pPr>
            <w:r>
              <w:rPr>
                <w:color w:val="1A1A2E"/>
                <w:sz w:val="20"/>
                <w:szCs w:val="20"/>
              </w:rPr>
              <w:t xml:space="preserve">Log every action on-chain</w:t>
            </w:r>
          </w:p>
        </w:tc>
        <w:tc>
          <w:tcPr>
            <w:tcW w:type="dxa" w:w="2400"/>
            <w:shd w:fill="F0F8FF" w:color="auto" w:val="clear"/>
            <w:vAlign w:val="center"/>
          </w:tcPr>
          <w:p>
            <w:pPr>
              <w:spacing w:after="80" w:before="80"/>
            </w:pPr>
            <w:r>
              <w:rPr>
                <w:color w:val="1A1A2E"/>
                <w:sz w:val="20"/>
                <w:szCs w:val="20"/>
              </w:rPr>
              <w:t xml:space="preserve">EXEC output</w:t>
            </w:r>
          </w:p>
        </w:tc>
        <w:tc>
          <w:tcPr>
            <w:tcW w:type="dxa" w:w="3760"/>
            <w:shd w:fill="F0F8FF" w:color="auto" w:val="clear"/>
            <w:vAlign w:val="center"/>
          </w:tcPr>
          <w:p>
            <w:pPr>
              <w:spacing w:after="80" w:before="80"/>
            </w:pPr>
            <w:r>
              <w:rPr>
                <w:color w:val="1A1A2E"/>
                <w:sz w:val="20"/>
                <w:szCs w:val="20"/>
              </w:rPr>
              <w:t xml:space="preserve">Tamper-proof HCS entries</w:t>
            </w:r>
          </w:p>
        </w:tc>
      </w:tr>
    </w:tbl>
    <w:p>
      <w:pPr>
        <w:spacing w:after="80" w:before="80"/>
      </w:pPr>
      <w:r>
        <w:t xml:space="preserve"/>
      </w:r>
    </w:p>
    <w:p>
      <w:pPr>
        <w:spacing w:after="80" w:before="80"/>
        <w:jc w:val="left"/>
      </w:pPr>
      <w:r>
        <w:rPr>
          <w:b/>
          <w:bCs/>
          <w:i w:val="false"/>
          <w:iCs w:val="false"/>
          <w:color w:val="1A1A2E"/>
          <w:sz w:val="22"/>
          <w:szCs w:val="22"/>
        </w:rPr>
        <w:t xml:space="preserve">Key containment rule: ORACLE is the only agent with HBAR payment authority. RECON, SCOUT, RISK, EXEC, and AUDIT cannot trigger x402 payments. A reasoning error in any other agent cannot drain the HBAR wallet.</w:t>
      </w:r>
    </w:p>
    <w:p>
      <w:pPr>
        <w:spacing w:after="160" w:before="160"/>
      </w:pPr>
      <w:r>
        <w:t xml:space="preserve"/>
      </w:r>
    </w:p>
    <w:p>
      <w:pPr>
        <w:pStyle w:val="Heading2"/>
        <w:spacing w:after="160" w:before="320"/>
      </w:pPr>
      <w:r>
        <w:rPr>
          <w:b/>
          <w:bCs/>
          <w:color w:val="7B2FBE"/>
        </w:rPr>
        <w:t xml:space="preserve">3.4  Layer 3A — x402-Gated MCP Server (Commercial Enrichment)</w:t>
      </w:r>
    </w:p>
    <w:p>
      <w:pPr>
        <w:spacing w:after="80" w:before="80"/>
        <w:jc w:val="left"/>
      </w:pPr>
      <w:r>
        <w:rPr>
          <w:b w:val="false"/>
          <w:bCs w:val="false"/>
          <w:i w:val="false"/>
          <w:iCs w:val="false"/>
          <w:color w:val="1A1A2E"/>
          <w:sz w:val="22"/>
          <w:szCs w:val="22"/>
        </w:rPr>
        <w:t xml:space="preserve">The MCP server runs in HTTP/SSE mode (required for x402 middleware to intercept at transport layer). Every inbound tool call passes through Blocky402 payment verification before the tool function executes.</w:t>
      </w:r>
    </w:p>
    <w:p>
      <w:pPr>
        <w:spacing w:after="80" w:before="8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400"/>
        <w:gridCol w:w="2200"/>
        <w:gridCol w:w="2400"/>
        <w:gridCol w:w="2360"/>
      </w:tblGrid>
      <w:tr>
        <w:tc>
          <w:tcPr>
            <w:tcW w:type="dxa" w:w="2400"/>
            <w:shd w:fill="0F3460" w:color="auto" w:val="clear"/>
            <w:vAlign w:val="center"/>
          </w:tcPr>
          <w:p>
            <w:pPr>
              <w:spacing w:after="80" w:before="80"/>
              <w:jc w:val="left"/>
            </w:pPr>
            <w:r>
              <w:rPr>
                <w:b/>
                <w:bCs/>
                <w:color w:val="FFFFFF"/>
                <w:sz w:val="20"/>
                <w:szCs w:val="20"/>
              </w:rPr>
              <w:t xml:space="preserve">MCP Tool</w:t>
            </w:r>
          </w:p>
        </w:tc>
        <w:tc>
          <w:tcPr>
            <w:tcW w:type="dxa" w:w="2200"/>
            <w:shd w:fill="0F3460" w:color="auto" w:val="clear"/>
            <w:vAlign w:val="center"/>
          </w:tcPr>
          <w:p>
            <w:pPr>
              <w:spacing w:after="80" w:before="80"/>
              <w:jc w:val="left"/>
            </w:pPr>
            <w:r>
              <w:rPr>
                <w:b/>
                <w:bCs/>
                <w:color w:val="FFFFFF"/>
                <w:sz w:val="20"/>
                <w:szCs w:val="20"/>
              </w:rPr>
              <w:t xml:space="preserve">What It Does</w:t>
            </w:r>
          </w:p>
        </w:tc>
        <w:tc>
          <w:tcPr>
            <w:tcW w:type="dxa" w:w="2400"/>
            <w:shd w:fill="0F3460" w:color="auto" w:val="clear"/>
            <w:vAlign w:val="center"/>
          </w:tcPr>
          <w:p>
            <w:pPr>
              <w:spacing w:after="80" w:before="80"/>
              <w:jc w:val="left"/>
            </w:pPr>
            <w:r>
              <w:rPr>
                <w:b/>
                <w:bCs/>
                <w:color w:val="FFFFFF"/>
                <w:sz w:val="20"/>
                <w:szCs w:val="20"/>
              </w:rPr>
              <w:t xml:space="preserve">Data Sources Behind It</w:t>
            </w:r>
          </w:p>
        </w:tc>
        <w:tc>
          <w:tcPr>
            <w:tcW w:type="dxa" w:w="2360"/>
            <w:shd w:fill="0F3460" w:color="auto" w:val="clear"/>
            <w:vAlign w:val="center"/>
          </w:tcPr>
          <w:p>
            <w:pPr>
              <w:spacing w:after="80" w:before="80"/>
              <w:jc w:val="left"/>
            </w:pPr>
            <w:r>
              <w:rPr>
                <w:b/>
                <w:bCs/>
                <w:color w:val="FFFFFF"/>
                <w:sz w:val="20"/>
                <w:szCs w:val="20"/>
              </w:rPr>
              <w:t xml:space="preserve">Price per Call</w:t>
            </w:r>
          </w:p>
        </w:tc>
      </w:tr>
      <w:tr>
        <w:tc>
          <w:tcPr>
            <w:tcW w:type="dxa" w:w="2400"/>
            <w:shd w:fill="FFFFFF" w:color="auto" w:val="clear"/>
            <w:vAlign w:val="center"/>
          </w:tcPr>
          <w:p>
            <w:pPr>
              <w:spacing w:after="80" w:before="80"/>
            </w:pPr>
            <w:r>
              <w:rPr>
                <w:color w:val="1A1A2E"/>
                <w:sz w:val="20"/>
                <w:szCs w:val="20"/>
              </w:rPr>
              <w:t xml:space="preserve">get_gas_price(network)</w:t>
            </w:r>
          </w:p>
        </w:tc>
        <w:tc>
          <w:tcPr>
            <w:tcW w:type="dxa" w:w="2200"/>
            <w:shd w:fill="FFFFFF" w:color="auto" w:val="clear"/>
            <w:vAlign w:val="center"/>
          </w:tcPr>
          <w:p>
            <w:pPr>
              <w:spacing w:after="80" w:before="80"/>
            </w:pPr>
            <w:r>
              <w:rPr>
                <w:color w:val="1A1A2E"/>
                <w:sz w:val="20"/>
                <w:szCs w:val="20"/>
              </w:rPr>
              <w:t xml:space="preserve">Current gas price + EIP-1559 base fee</w:t>
            </w:r>
          </w:p>
        </w:tc>
        <w:tc>
          <w:tcPr>
            <w:tcW w:type="dxa" w:w="2400"/>
            <w:shd w:fill="FFFFFF" w:color="auto" w:val="clear"/>
            <w:vAlign w:val="center"/>
          </w:tcPr>
          <w:p>
            <w:pPr>
              <w:spacing w:after="80" w:before="80"/>
            </w:pPr>
            <w:r>
              <w:rPr>
                <w:color w:val="1A1A2E"/>
                <w:sz w:val="20"/>
                <w:szCs w:val="20"/>
              </w:rPr>
              <w:t xml:space="preserve">Etherscan Gas Tracker API (free tier)</w:t>
            </w:r>
          </w:p>
        </w:tc>
        <w:tc>
          <w:tcPr>
            <w:tcW w:type="dxa" w:w="2360"/>
            <w:shd w:fill="FFFFFF" w:color="auto" w:val="clear"/>
            <w:vAlign w:val="center"/>
          </w:tcPr>
          <w:p>
            <w:pPr>
              <w:spacing w:after="80" w:before="80"/>
            </w:pPr>
            <w:r>
              <w:rPr>
                <w:color w:val="1A1A2E"/>
                <w:sz w:val="20"/>
                <w:szCs w:val="20"/>
              </w:rPr>
              <w:t xml:space="preserve">0.0005 HBAR</w:t>
            </w:r>
          </w:p>
        </w:tc>
      </w:tr>
      <w:tr>
        <w:tc>
          <w:tcPr>
            <w:tcW w:type="dxa" w:w="2400"/>
            <w:shd w:fill="F0F8FF" w:color="auto" w:val="clear"/>
            <w:vAlign w:val="center"/>
          </w:tcPr>
          <w:p>
            <w:pPr>
              <w:spacing w:after="80" w:before="80"/>
            </w:pPr>
            <w:r>
              <w:rPr>
                <w:color w:val="1A1A2E"/>
                <w:sz w:val="20"/>
                <w:szCs w:val="20"/>
              </w:rPr>
              <w:t xml:space="preserve">get_sentiment(protocol)</w:t>
            </w:r>
          </w:p>
        </w:tc>
        <w:tc>
          <w:tcPr>
            <w:tcW w:type="dxa" w:w="2200"/>
            <w:shd w:fill="F0F8FF" w:color="auto" w:val="clear"/>
            <w:vAlign w:val="center"/>
          </w:tcPr>
          <w:p>
            <w:pPr>
              <w:spacing w:after="80" w:before="80"/>
            </w:pPr>
            <w:r>
              <w:rPr>
                <w:color w:val="1A1A2E"/>
                <w:sz w:val="20"/>
                <w:szCs w:val="20"/>
              </w:rPr>
              <w:t xml:space="preserve">Sentiment score for a protocol (0–1)</w:t>
            </w:r>
          </w:p>
        </w:tc>
        <w:tc>
          <w:tcPr>
            <w:tcW w:type="dxa" w:w="2400"/>
            <w:shd w:fill="F0F8FF" w:color="auto" w:val="clear"/>
            <w:vAlign w:val="center"/>
          </w:tcPr>
          <w:p>
            <w:pPr>
              <w:spacing w:after="80" w:before="80"/>
            </w:pPr>
            <w:r>
              <w:rPr>
                <w:color w:val="1A1A2E"/>
                <w:sz w:val="20"/>
                <w:szCs w:val="20"/>
              </w:rPr>
              <w:t xml:space="preserve">LLM synthesis over recent on-chain signals</w:t>
            </w:r>
          </w:p>
        </w:tc>
        <w:tc>
          <w:tcPr>
            <w:tcW w:type="dxa" w:w="2360"/>
            <w:shd w:fill="F0F8FF" w:color="auto" w:val="clear"/>
            <w:vAlign w:val="center"/>
          </w:tcPr>
          <w:p>
            <w:pPr>
              <w:spacing w:after="80" w:before="80"/>
            </w:pPr>
            <w:r>
              <w:rPr>
                <w:color w:val="1A1A2E"/>
                <w:sz w:val="20"/>
                <w:szCs w:val="20"/>
              </w:rPr>
              <w:t xml:space="preserve">0.001 HBAR</w:t>
            </w:r>
          </w:p>
        </w:tc>
      </w:tr>
      <w:tr>
        <w:tc>
          <w:tcPr>
            <w:tcW w:type="dxa" w:w="2400"/>
            <w:shd w:fill="FFFFFF" w:color="auto" w:val="clear"/>
            <w:vAlign w:val="center"/>
          </w:tcPr>
          <w:p>
            <w:pPr>
              <w:spacing w:after="80" w:before="80"/>
            </w:pPr>
            <w:r>
              <w:rPr>
                <w:color w:val="1A1A2E"/>
                <w:sz w:val="20"/>
                <w:szCs w:val="20"/>
              </w:rPr>
              <w:t xml:space="preserve">get_risk_score(opportunity)</w:t>
            </w:r>
          </w:p>
        </w:tc>
        <w:tc>
          <w:tcPr>
            <w:tcW w:type="dxa" w:w="2200"/>
            <w:shd w:fill="FFFFFF" w:color="auto" w:val="clear"/>
            <w:vAlign w:val="center"/>
          </w:tcPr>
          <w:p>
            <w:pPr>
              <w:spacing w:after="80" w:before="80"/>
            </w:pPr>
            <w:r>
              <w:rPr>
                <w:color w:val="1A1A2E"/>
                <w:sz w:val="20"/>
                <w:szCs w:val="20"/>
              </w:rPr>
              <w:t xml:space="preserve">Risk-adjusted confidence delta for a signal</w:t>
            </w:r>
          </w:p>
        </w:tc>
        <w:tc>
          <w:tcPr>
            <w:tcW w:type="dxa" w:w="2400"/>
            <w:shd w:fill="FFFFFF" w:color="auto" w:val="clear"/>
            <w:vAlign w:val="center"/>
          </w:tcPr>
          <w:p>
            <w:pPr>
              <w:spacing w:after="80" w:before="80"/>
            </w:pPr>
            <w:r>
              <w:rPr>
                <w:color w:val="1A1A2E"/>
                <w:sz w:val="20"/>
                <w:szCs w:val="20"/>
              </w:rPr>
              <w:t xml:space="preserve">LLM inference: gas + price + position data</w:t>
            </w:r>
          </w:p>
        </w:tc>
        <w:tc>
          <w:tcPr>
            <w:tcW w:type="dxa" w:w="2360"/>
            <w:shd w:fill="FFFFFF" w:color="auto" w:val="clear"/>
            <w:vAlign w:val="center"/>
          </w:tcPr>
          <w:p>
            <w:pPr>
              <w:spacing w:after="80" w:before="80"/>
            </w:pPr>
            <w:r>
              <w:rPr>
                <w:color w:val="1A1A2E"/>
                <w:sz w:val="20"/>
                <w:szCs w:val="20"/>
              </w:rPr>
              <w:t xml:space="preserve">0.002 HBAR</w:t>
            </w:r>
          </w:p>
        </w:tc>
      </w:tr>
      <w:tr>
        <w:tc>
          <w:tcPr>
            <w:tcW w:type="dxa" w:w="2400"/>
            <w:shd w:fill="F0F8FF" w:color="auto" w:val="clear"/>
            <w:vAlign w:val="center"/>
          </w:tcPr>
          <w:p>
            <w:pPr>
              <w:spacing w:after="80" w:before="80"/>
            </w:pPr>
            <w:r>
              <w:rPr>
                <w:color w:val="1A1A2E"/>
                <w:sz w:val="20"/>
                <w:szCs w:val="20"/>
              </w:rPr>
              <w:t xml:space="preserve">get_price_feed(token)</w:t>
            </w:r>
          </w:p>
        </w:tc>
        <w:tc>
          <w:tcPr>
            <w:tcW w:type="dxa" w:w="2200"/>
            <w:shd w:fill="F0F8FF" w:color="auto" w:val="clear"/>
            <w:vAlign w:val="center"/>
          </w:tcPr>
          <w:p>
            <w:pPr>
              <w:spacing w:after="80" w:before="80"/>
            </w:pPr>
            <w:r>
              <w:rPr>
                <w:color w:val="1A1A2E"/>
                <w:sz w:val="20"/>
                <w:szCs w:val="20"/>
              </w:rPr>
              <w:t xml:space="preserve">Spot price + 24h change</w:t>
            </w:r>
          </w:p>
        </w:tc>
        <w:tc>
          <w:tcPr>
            <w:tcW w:type="dxa" w:w="2400"/>
            <w:shd w:fill="F0F8FF" w:color="auto" w:val="clear"/>
            <w:vAlign w:val="center"/>
          </w:tcPr>
          <w:p>
            <w:pPr>
              <w:spacing w:after="80" w:before="80"/>
            </w:pPr>
            <w:r>
              <w:rPr>
                <w:color w:val="1A1A2E"/>
                <w:sz w:val="20"/>
                <w:szCs w:val="20"/>
              </w:rPr>
              <w:t xml:space="preserve">CoinGecko API (free tier)</w:t>
            </w:r>
          </w:p>
        </w:tc>
        <w:tc>
          <w:tcPr>
            <w:tcW w:type="dxa" w:w="2360"/>
            <w:shd w:fill="F0F8FF" w:color="auto" w:val="clear"/>
            <w:vAlign w:val="center"/>
          </w:tcPr>
          <w:p>
            <w:pPr>
              <w:spacing w:after="80" w:before="80"/>
            </w:pPr>
            <w:r>
              <w:rPr>
                <w:color w:val="1A1A2E"/>
                <w:sz w:val="20"/>
                <w:szCs w:val="20"/>
              </w:rPr>
              <w:t xml:space="preserve">0.0005 HBAR</w:t>
            </w:r>
          </w:p>
        </w:tc>
      </w:tr>
      <w:tr>
        <w:tc>
          <w:tcPr>
            <w:tcW w:type="dxa" w:w="2400"/>
            <w:shd w:fill="FFFFFF" w:color="auto" w:val="clear"/>
            <w:vAlign w:val="center"/>
          </w:tcPr>
          <w:p>
            <w:pPr>
              <w:spacing w:after="80" w:before="80"/>
            </w:pPr>
            <w:r>
              <w:rPr>
                <w:color w:val="1A1A2E"/>
                <w:sz w:val="20"/>
                <w:szCs w:val="20"/>
              </w:rPr>
              <w:t xml:space="preserve">stream_liquidation_alerts(protocol, threshold)</w:t>
            </w:r>
          </w:p>
        </w:tc>
        <w:tc>
          <w:tcPr>
            <w:tcW w:type="dxa" w:w="2200"/>
            <w:shd w:fill="FFFFFF" w:color="auto" w:val="clear"/>
            <w:vAlign w:val="center"/>
          </w:tcPr>
          <w:p>
            <w:pPr>
              <w:spacing w:after="80" w:before="80"/>
            </w:pPr>
            <w:r>
              <w:rPr>
                <w:color w:val="1A1A2E"/>
                <w:sz w:val="20"/>
                <w:szCs w:val="20"/>
              </w:rPr>
              <w:t xml:space="preserve">Pre-filtered liquidation proximity alerts</w:t>
            </w:r>
          </w:p>
        </w:tc>
        <w:tc>
          <w:tcPr>
            <w:tcW w:type="dxa" w:w="2400"/>
            <w:shd w:fill="FFFFFF" w:color="auto" w:val="clear"/>
            <w:vAlign w:val="center"/>
          </w:tcPr>
          <w:p>
            <w:pPr>
              <w:spacing w:after="80" w:before="80"/>
            </w:pPr>
            <w:r>
              <w:rPr>
                <w:color w:val="1A1A2E"/>
                <w:sz w:val="20"/>
                <w:szCs w:val="20"/>
              </w:rPr>
              <w:t xml:space="preserve">Substreams processed + normalized (value-added)</w:t>
            </w:r>
          </w:p>
        </w:tc>
        <w:tc>
          <w:tcPr>
            <w:tcW w:type="dxa" w:w="2360"/>
            <w:shd w:fill="FFFFFF" w:color="auto" w:val="clear"/>
            <w:vAlign w:val="center"/>
          </w:tcPr>
          <w:p>
            <w:pPr>
              <w:spacing w:after="80" w:before="80"/>
            </w:pPr>
            <w:r>
              <w:rPr>
                <w:color w:val="1A1A2E"/>
                <w:sz w:val="20"/>
                <w:szCs w:val="20"/>
              </w:rPr>
              <w:t xml:space="preserve">0.001 HBAR per alert</w:t>
            </w:r>
          </w:p>
        </w:tc>
      </w:tr>
    </w:tbl>
    <w:p>
      <w:pPr>
        <w:spacing w:after="80" w:before="80"/>
      </w:pPr>
      <w:r>
        <w:t xml:space="preserve"/>
      </w:r>
    </w:p>
    <w:p>
      <w:pPr>
        <w:spacing w:after="80" w:before="80"/>
        <w:jc w:val="left"/>
      </w:pPr>
      <w:r>
        <w:rPr>
          <w:b w:val="false"/>
          <w:bCs w:val="false"/>
          <w:i w:val="false"/>
          <w:iCs w:val="false"/>
          <w:color w:val="1A1A2E"/>
          <w:sz w:val="22"/>
          <w:szCs w:val="22"/>
        </w:rPr>
        <w:t xml:space="preserve">Note on stream_liquidation_alerts: the raw Substreams data is free from The Graph. What the MCP server sells is the filtered, normalized, agent-ready stream — the engineering work on top of raw data. This is a defensible commercial model, not a resale of public data.</w:t>
      </w:r>
    </w:p>
    <w:p>
      <w:pPr>
        <w:spacing w:after="80" w:before="80"/>
      </w:pPr>
      <w:r>
        <w:t xml:space="preserve"/>
      </w:r>
    </w:p>
    <w:p>
      <w:pPr>
        <w:spacing w:after="120" w:before="120"/>
      </w:pPr>
      <w:r>
        <w:rPr>
          <w:rFonts w:ascii="Courier New" w:cs="Courier New" w:eastAsia="Courier New" w:hAnsi="Courier New"/>
          <w:color w:val="1A1A2E"/>
          <w:sz w:val="17"/>
          <w:szCs w:val="17"/>
        </w:rPr>
        <w:t xml:space="preserve"># x402_mcp_server.py — simplified
@mcp.tool()
async def get_risk_score(opportunity: dict) -&gt; dict:
    """
    Risk-adjusted confidence score for a DeFi opportunity.
    Costs 0.002 HBAR per call via Hedera x402.
    """
    # x402 middleware has already verified payment before we reach here
    gas   = etherscan.get_gas("ethereum")
    price = coingecko.get_price(opportunity["token"])
    score = claude.complete(
        f"Given DeFi signal {opportunity}, gas={gas}, price={price},"
        f"return risk-adjusted confidence score as JSON"
    )
    return score
# x402 middleware wired at server startup:
# app = x402_middleware(app, facilitator="blocky402", network="testnet")</w:t>
      </w:r>
    </w:p>
    <w:p>
      <w:pPr>
        <w:spacing w:after="160" w:before="160"/>
      </w:pPr>
      <w:r>
        <w:t xml:space="preserve"/>
      </w:r>
    </w:p>
    <w:p>
      <w:pPr>
        <w:pStyle w:val="Heading2"/>
        <w:spacing w:after="160" w:before="320"/>
      </w:pPr>
      <w:r>
        <w:rPr>
          <w:b/>
          <w:bCs/>
          <w:color w:val="7B2FBE"/>
        </w:rPr>
        <w:t xml:space="preserve">3.5  Layer 3B — Hedera Infrastructure</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000"/>
        <w:gridCol w:w="2800"/>
        <w:gridCol w:w="4560"/>
      </w:tblGrid>
      <w:tr>
        <w:tc>
          <w:tcPr>
            <w:tcW w:type="dxa" w:w="2000"/>
            <w:shd w:fill="0F3460" w:color="auto" w:val="clear"/>
            <w:vAlign w:val="center"/>
          </w:tcPr>
          <w:p>
            <w:pPr>
              <w:spacing w:after="80" w:before="80"/>
              <w:jc w:val="left"/>
            </w:pPr>
            <w:r>
              <w:rPr>
                <w:b/>
                <w:bCs/>
                <w:color w:val="FFFFFF"/>
                <w:sz w:val="20"/>
                <w:szCs w:val="20"/>
              </w:rPr>
              <w:t xml:space="preserve">Component</w:t>
            </w:r>
          </w:p>
        </w:tc>
        <w:tc>
          <w:tcPr>
            <w:tcW w:type="dxa" w:w="2800"/>
            <w:shd w:fill="0F3460" w:color="auto" w:val="clear"/>
            <w:vAlign w:val="center"/>
          </w:tcPr>
          <w:p>
            <w:pPr>
              <w:spacing w:after="80" w:before="80"/>
              <w:jc w:val="left"/>
            </w:pPr>
            <w:r>
              <w:rPr>
                <w:b/>
                <w:bCs/>
                <w:color w:val="FFFFFF"/>
                <w:sz w:val="20"/>
                <w:szCs w:val="20"/>
              </w:rPr>
              <w:t xml:space="preserve">Purpose</w:t>
            </w:r>
          </w:p>
        </w:tc>
        <w:tc>
          <w:tcPr>
            <w:tcW w:type="dxa" w:w="4560"/>
            <w:shd w:fill="0F3460" w:color="auto" w:val="clear"/>
            <w:vAlign w:val="center"/>
          </w:tcPr>
          <w:p>
            <w:pPr>
              <w:spacing w:after="80" w:before="80"/>
              <w:jc w:val="left"/>
            </w:pPr>
            <w:r>
              <w:rPr>
                <w:b/>
                <w:bCs/>
                <w:color w:val="FFFFFF"/>
                <w:sz w:val="20"/>
                <w:szCs w:val="20"/>
              </w:rPr>
              <w:t xml:space="preserve">Implementation</w:t>
            </w:r>
          </w:p>
        </w:tc>
      </w:tr>
      <w:tr>
        <w:tc>
          <w:tcPr>
            <w:tcW w:type="dxa" w:w="2000"/>
            <w:shd w:fill="FFFFFF" w:color="auto" w:val="clear"/>
            <w:vAlign w:val="center"/>
          </w:tcPr>
          <w:p>
            <w:pPr>
              <w:spacing w:after="80" w:before="80"/>
            </w:pPr>
            <w:r>
              <w:rPr>
                <w:color w:val="1A1A2E"/>
                <w:sz w:val="20"/>
                <w:szCs w:val="20"/>
              </w:rPr>
              <w:t xml:space="preserve">Blocky402 Facilitator</w:t>
            </w:r>
          </w:p>
        </w:tc>
        <w:tc>
          <w:tcPr>
            <w:tcW w:type="dxa" w:w="2800"/>
            <w:shd w:fill="FFFFFF" w:color="auto" w:val="clear"/>
            <w:vAlign w:val="center"/>
          </w:tcPr>
          <w:p>
            <w:pPr>
              <w:spacing w:after="80" w:before="80"/>
            </w:pPr>
            <w:r>
              <w:rPr>
                <w:color w:val="1A1A2E"/>
                <w:sz w:val="20"/>
                <w:szCs w:val="20"/>
              </w:rPr>
              <w:t xml:space="preserve">Verifies HBAR payments before tool execution</w:t>
            </w:r>
          </w:p>
        </w:tc>
        <w:tc>
          <w:tcPr>
            <w:tcW w:type="dxa" w:w="4560"/>
            <w:shd w:fill="FFFFFF" w:color="auto" w:val="clear"/>
            <w:vAlign w:val="center"/>
          </w:tcPr>
          <w:p>
            <w:pPr>
              <w:spacing w:after="80" w:before="80"/>
            </w:pPr>
            <w:r>
              <w:rPr>
                <w:color w:val="1A1A2E"/>
                <w:sz w:val="20"/>
                <w:szCs w:val="20"/>
              </w:rPr>
              <w:t xml:space="preserve">x402 middleware registered with Blocky402 on Hedera testnet</w:t>
            </w:r>
          </w:p>
        </w:tc>
      </w:tr>
      <w:tr>
        <w:tc>
          <w:tcPr>
            <w:tcW w:type="dxa" w:w="2000"/>
            <w:shd w:fill="F0F8FF" w:color="auto" w:val="clear"/>
            <w:vAlign w:val="center"/>
          </w:tcPr>
          <w:p>
            <w:pPr>
              <w:spacing w:after="80" w:before="80"/>
            </w:pPr>
            <w:r>
              <w:rPr>
                <w:color w:val="1A1A2E"/>
                <w:sz w:val="20"/>
                <w:szCs w:val="20"/>
              </w:rPr>
              <w:t xml:space="preserve">HBAR Agent Wallet</w:t>
            </w:r>
          </w:p>
        </w:tc>
        <w:tc>
          <w:tcPr>
            <w:tcW w:type="dxa" w:w="2800"/>
            <w:shd w:fill="F0F8FF" w:color="auto" w:val="clear"/>
            <w:vAlign w:val="center"/>
          </w:tcPr>
          <w:p>
            <w:pPr>
              <w:spacing w:after="80" w:before="80"/>
            </w:pPr>
            <w:r>
              <w:rPr>
                <w:color w:val="1A1A2E"/>
                <w:sz w:val="20"/>
                <w:szCs w:val="20"/>
              </w:rPr>
              <w:t xml:space="preserve">ORACLE holds its own wallet, pays per call from session budget</w:t>
            </w:r>
          </w:p>
        </w:tc>
        <w:tc>
          <w:tcPr>
            <w:tcW w:type="dxa" w:w="4560"/>
            <w:shd w:fill="F0F8FF" w:color="auto" w:val="clear"/>
            <w:vAlign w:val="center"/>
          </w:tcPr>
          <w:p>
            <w:pPr>
              <w:spacing w:after="80" w:before="80"/>
            </w:pPr>
            <w:r>
              <w:rPr>
                <w:color w:val="1A1A2E"/>
                <w:sz w:val="20"/>
                <w:szCs w:val="20"/>
              </w:rPr>
              <w:t xml:space="preserve">Hedera SDK — funded from testnet faucet at startup</w:t>
            </w:r>
          </w:p>
        </w:tc>
      </w:tr>
      <w:tr>
        <w:tc>
          <w:tcPr>
            <w:tcW w:type="dxa" w:w="2000"/>
            <w:shd w:fill="FFFFFF" w:color="auto" w:val="clear"/>
            <w:vAlign w:val="center"/>
          </w:tcPr>
          <w:p>
            <w:pPr>
              <w:spacing w:after="80" w:before="80"/>
            </w:pPr>
            <w:r>
              <w:rPr>
                <w:color w:val="1A1A2E"/>
                <w:sz w:val="20"/>
                <w:szCs w:val="20"/>
              </w:rPr>
              <w:t xml:space="preserve">HCS Audit Trail</w:t>
            </w:r>
          </w:p>
        </w:tc>
        <w:tc>
          <w:tcPr>
            <w:tcW w:type="dxa" w:w="2800"/>
            <w:shd w:fill="FFFFFF" w:color="auto" w:val="clear"/>
            <w:vAlign w:val="center"/>
          </w:tcPr>
          <w:p>
            <w:pPr>
              <w:spacing w:after="80" w:before="80"/>
            </w:pPr>
            <w:r>
              <w:rPr>
                <w:color w:val="1A1A2E"/>
                <w:sz w:val="20"/>
                <w:szCs w:val="20"/>
              </w:rPr>
              <w:t xml:space="preserve">Tamper-proof, block-timestamped action log</w:t>
            </w:r>
          </w:p>
        </w:tc>
        <w:tc>
          <w:tcPr>
            <w:tcW w:type="dxa" w:w="4560"/>
            <w:shd w:fill="FFFFFF" w:color="auto" w:val="clear"/>
            <w:vAlign w:val="center"/>
          </w:tcPr>
          <w:p>
            <w:pPr>
              <w:spacing w:after="80" w:before="80"/>
            </w:pPr>
            <w:r>
              <w:rPr>
                <w:color w:val="1A1A2E"/>
                <w:sz w:val="20"/>
                <w:szCs w:val="20"/>
              </w:rPr>
              <w:t xml:space="preserve">AUDIT agent writes JSON payload to HCS topic after every EXEC cycle</w:t>
            </w:r>
          </w:p>
        </w:tc>
      </w:tr>
      <w:tr>
        <w:tc>
          <w:tcPr>
            <w:tcW w:type="dxa" w:w="2000"/>
            <w:shd w:fill="F0F8FF" w:color="auto" w:val="clear"/>
            <w:vAlign w:val="center"/>
          </w:tcPr>
          <w:p>
            <w:pPr>
              <w:spacing w:after="80" w:before="80"/>
            </w:pPr>
            <w:r>
              <w:rPr>
                <w:color w:val="1A1A2E"/>
                <w:sz w:val="20"/>
                <w:szCs w:val="20"/>
              </w:rPr>
              <w:t xml:space="preserve">ERC-8004 Identity</w:t>
            </w:r>
          </w:p>
        </w:tc>
        <w:tc>
          <w:tcPr>
            <w:tcW w:type="dxa" w:w="2800"/>
            <w:shd w:fill="F0F8FF" w:color="auto" w:val="clear"/>
            <w:vAlign w:val="center"/>
          </w:tcPr>
          <w:p>
            <w:pPr>
              <w:spacing w:after="80" w:before="80"/>
            </w:pPr>
            <w:r>
              <w:rPr>
                <w:color w:val="1A1A2E"/>
                <w:sz w:val="20"/>
                <w:szCs w:val="20"/>
              </w:rPr>
              <w:t xml:space="preserve">On-chain agent identity standard</w:t>
            </w:r>
          </w:p>
        </w:tc>
        <w:tc>
          <w:tcPr>
            <w:tcW w:type="dxa" w:w="4560"/>
            <w:shd w:fill="F0F8FF" w:color="auto" w:val="clear"/>
            <w:vAlign w:val="center"/>
          </w:tcPr>
          <w:p>
            <w:pPr>
              <w:spacing w:after="80" w:before="80"/>
            </w:pPr>
            <w:r>
              <w:rPr>
                <w:color w:val="1A1A2E"/>
                <w:sz w:val="20"/>
                <w:szCs w:val="20"/>
              </w:rPr>
              <w:t xml:space="preserve">Each RIA agent registered as ERC-8004 identity on Hedera testnet</w:t>
            </w:r>
          </w:p>
        </w:tc>
      </w:tr>
    </w:tbl>
    <w:p>
      <w:pPr>
        <w:spacing w:after="160" w:before="160"/>
      </w:pPr>
      <w:r>
        <w:t xml:space="preserve"/>
      </w:r>
    </w:p>
    <w:p>
      <w:pPr>
        <w:pStyle w:val="Heading2"/>
        <w:spacing w:after="160" w:before="320"/>
      </w:pPr>
      <w:r>
        <w:rPr>
          <w:b/>
          <w:bCs/>
          <w:color w:val="7B2FBE"/>
        </w:rPr>
        <w:t xml:space="preserve">3.6  Layer 3C — ENSv2 Agent Identity (Sepolia)</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000"/>
        <w:gridCol w:w="1400"/>
        <w:gridCol w:w="3400"/>
        <w:gridCol w:w="2560"/>
      </w:tblGrid>
      <w:tr>
        <w:tc>
          <w:tcPr>
            <w:tcW w:type="dxa" w:w="2000"/>
            <w:shd w:fill="0F3460" w:color="auto" w:val="clear"/>
            <w:vAlign w:val="center"/>
          </w:tcPr>
          <w:p>
            <w:pPr>
              <w:spacing w:after="80" w:before="80"/>
              <w:jc w:val="left"/>
            </w:pPr>
            <w:r>
              <w:rPr>
                <w:b/>
                <w:bCs/>
                <w:color w:val="FFFFFF"/>
                <w:sz w:val="20"/>
                <w:szCs w:val="20"/>
              </w:rPr>
              <w:t xml:space="preserve">ENS Name</w:t>
            </w:r>
          </w:p>
        </w:tc>
        <w:tc>
          <w:tcPr>
            <w:tcW w:type="dxa" w:w="1400"/>
            <w:shd w:fill="0F3460" w:color="auto" w:val="clear"/>
            <w:vAlign w:val="center"/>
          </w:tcPr>
          <w:p>
            <w:pPr>
              <w:spacing w:after="80" w:before="80"/>
              <w:jc w:val="left"/>
            </w:pPr>
            <w:r>
              <w:rPr>
                <w:b/>
                <w:bCs/>
                <w:color w:val="FFFFFF"/>
                <w:sz w:val="20"/>
                <w:szCs w:val="20"/>
              </w:rPr>
              <w:t xml:space="preserve">Agent</w:t>
            </w:r>
          </w:p>
        </w:tc>
        <w:tc>
          <w:tcPr>
            <w:tcW w:type="dxa" w:w="3400"/>
            <w:shd w:fill="0F3460" w:color="auto" w:val="clear"/>
            <w:vAlign w:val="center"/>
          </w:tcPr>
          <w:p>
            <w:pPr>
              <w:spacing w:after="80" w:before="80"/>
              <w:jc w:val="left"/>
            </w:pPr>
            <w:r>
              <w:rPr>
                <w:b/>
                <w:bCs/>
                <w:color w:val="FFFFFF"/>
                <w:sz w:val="20"/>
                <w:szCs w:val="20"/>
              </w:rPr>
              <w:t xml:space="preserve">Text Records (ENSIP-26)</w:t>
            </w:r>
          </w:p>
        </w:tc>
        <w:tc>
          <w:tcPr>
            <w:tcW w:type="dxa" w:w="2560"/>
            <w:shd w:fill="0F3460" w:color="auto" w:val="clear"/>
            <w:vAlign w:val="center"/>
          </w:tcPr>
          <w:p>
            <w:pPr>
              <w:spacing w:after="80" w:before="80"/>
              <w:jc w:val="left"/>
            </w:pPr>
            <w:r>
              <w:rPr>
                <w:b/>
                <w:bCs/>
                <w:color w:val="FFFFFF"/>
                <w:sz w:val="20"/>
                <w:szCs w:val="20"/>
              </w:rPr>
              <w:t xml:space="preserve">Access Control</w:t>
            </w:r>
          </w:p>
        </w:tc>
      </w:tr>
      <w:tr>
        <w:tc>
          <w:tcPr>
            <w:tcW w:type="dxa" w:w="2000"/>
            <w:shd w:fill="FFFFFF" w:color="auto" w:val="clear"/>
            <w:vAlign w:val="center"/>
          </w:tcPr>
          <w:p>
            <w:pPr>
              <w:spacing w:after="80" w:before="80"/>
            </w:pPr>
            <w:r>
              <w:rPr>
                <w:color w:val="1A1A2E"/>
                <w:sz w:val="20"/>
                <w:szCs w:val="20"/>
              </w:rPr>
              <w:t xml:space="preserve">ria-recon.ria.eth</w:t>
            </w:r>
          </w:p>
        </w:tc>
        <w:tc>
          <w:tcPr>
            <w:tcW w:type="dxa" w:w="1400"/>
            <w:shd w:fill="FFFFFF" w:color="auto" w:val="clear"/>
            <w:vAlign w:val="center"/>
          </w:tcPr>
          <w:p>
            <w:pPr>
              <w:spacing w:after="80" w:before="80"/>
            </w:pPr>
            <w:r>
              <w:rPr>
                <w:color w:val="1A1A2E"/>
                <w:sz w:val="20"/>
                <w:szCs w:val="20"/>
              </w:rPr>
              <w:t xml:space="preserve">RECON</w:t>
            </w:r>
          </w:p>
        </w:tc>
        <w:tc>
          <w:tcPr>
            <w:tcW w:type="dxa" w:w="3400"/>
            <w:shd w:fill="FFFFFF" w:color="auto" w:val="clear"/>
            <w:vAlign w:val="center"/>
          </w:tcPr>
          <w:p>
            <w:pPr>
              <w:spacing w:after="80" w:before="80"/>
            </w:pPr>
            <w:r>
              <w:rPr>
                <w:color w:val="1A1A2E"/>
                <w:sz w:val="20"/>
                <w:szCs w:val="20"/>
              </w:rPr>
              <w:t xml:space="preserve">endpoint, version, capabilities: data-ingestion</w:t>
            </w:r>
          </w:p>
        </w:tc>
        <w:tc>
          <w:tcPr>
            <w:tcW w:type="dxa" w:w="2560"/>
            <w:shd w:fill="FFFFFF" w:color="auto" w:val="clear"/>
            <w:vAlign w:val="center"/>
          </w:tcPr>
          <w:p>
            <w:pPr>
              <w:spacing w:after="80" w:before="80"/>
            </w:pPr>
            <w:r>
              <w:rPr>
                <w:color w:val="1A1A2E"/>
                <w:sz w:val="20"/>
                <w:szCs w:val="20"/>
              </w:rPr>
              <w:t xml:space="preserve">RECON only can update</w:t>
            </w:r>
          </w:p>
        </w:tc>
      </w:tr>
      <w:tr>
        <w:tc>
          <w:tcPr>
            <w:tcW w:type="dxa" w:w="2000"/>
            <w:shd w:fill="F0F8FF" w:color="auto" w:val="clear"/>
            <w:vAlign w:val="center"/>
          </w:tcPr>
          <w:p>
            <w:pPr>
              <w:spacing w:after="80" w:before="80"/>
            </w:pPr>
            <w:r>
              <w:rPr>
                <w:color w:val="1A1A2E"/>
                <w:sz w:val="20"/>
                <w:szCs w:val="20"/>
              </w:rPr>
              <w:t xml:space="preserve">ria-oracle.ria.eth</w:t>
            </w:r>
          </w:p>
        </w:tc>
        <w:tc>
          <w:tcPr>
            <w:tcW w:type="dxa" w:w="1400"/>
            <w:shd w:fill="F0F8FF" w:color="auto" w:val="clear"/>
            <w:vAlign w:val="center"/>
          </w:tcPr>
          <w:p>
            <w:pPr>
              <w:spacing w:after="80" w:before="80"/>
            </w:pPr>
            <w:r>
              <w:rPr>
                <w:color w:val="1A1A2E"/>
                <w:sz w:val="20"/>
                <w:szCs w:val="20"/>
              </w:rPr>
              <w:t xml:space="preserve">ORACLE</w:t>
            </w:r>
          </w:p>
        </w:tc>
        <w:tc>
          <w:tcPr>
            <w:tcW w:type="dxa" w:w="3400"/>
            <w:shd w:fill="F0F8FF" w:color="auto" w:val="clear"/>
            <w:vAlign w:val="center"/>
          </w:tcPr>
          <w:p>
            <w:pPr>
              <w:spacing w:after="80" w:before="80"/>
            </w:pPr>
            <w:r>
              <w:rPr>
                <w:color w:val="1A1A2E"/>
                <w:sz w:val="20"/>
                <w:szCs w:val="20"/>
              </w:rPr>
              <w:t xml:space="preserve">endpoint, version, capabilities: enrichment+payment</w:t>
            </w:r>
          </w:p>
        </w:tc>
        <w:tc>
          <w:tcPr>
            <w:tcW w:type="dxa" w:w="2560"/>
            <w:shd w:fill="F0F8FF" w:color="auto" w:val="clear"/>
            <w:vAlign w:val="center"/>
          </w:tcPr>
          <w:p>
            <w:pPr>
              <w:spacing w:after="80" w:before="80"/>
            </w:pPr>
            <w:r>
              <w:rPr>
                <w:color w:val="1A1A2E"/>
                <w:sz w:val="20"/>
                <w:szCs w:val="20"/>
              </w:rPr>
              <w:t xml:space="preserve">ORACLE only can update</w:t>
            </w:r>
          </w:p>
        </w:tc>
      </w:tr>
      <w:tr>
        <w:tc>
          <w:tcPr>
            <w:tcW w:type="dxa" w:w="2000"/>
            <w:shd w:fill="FFFFFF" w:color="auto" w:val="clear"/>
            <w:vAlign w:val="center"/>
          </w:tcPr>
          <w:p>
            <w:pPr>
              <w:spacing w:after="80" w:before="80"/>
            </w:pPr>
            <w:r>
              <w:rPr>
                <w:color w:val="1A1A2E"/>
                <w:sz w:val="20"/>
                <w:szCs w:val="20"/>
              </w:rPr>
              <w:t xml:space="preserve">ria-exec.ria.eth</w:t>
            </w:r>
          </w:p>
        </w:tc>
        <w:tc>
          <w:tcPr>
            <w:tcW w:type="dxa" w:w="1400"/>
            <w:shd w:fill="FFFFFF" w:color="auto" w:val="clear"/>
            <w:vAlign w:val="center"/>
          </w:tcPr>
          <w:p>
            <w:pPr>
              <w:spacing w:after="80" w:before="80"/>
            </w:pPr>
            <w:r>
              <w:rPr>
                <w:color w:val="1A1A2E"/>
                <w:sz w:val="20"/>
                <w:szCs w:val="20"/>
              </w:rPr>
              <w:t xml:space="preserve">EXEC</w:t>
            </w:r>
          </w:p>
        </w:tc>
        <w:tc>
          <w:tcPr>
            <w:tcW w:type="dxa" w:w="3400"/>
            <w:shd w:fill="FFFFFF" w:color="auto" w:val="clear"/>
            <w:vAlign w:val="center"/>
          </w:tcPr>
          <w:p>
            <w:pPr>
              <w:spacing w:after="80" w:before="80"/>
            </w:pPr>
            <w:r>
              <w:rPr>
                <w:color w:val="1A1A2E"/>
                <w:sz w:val="20"/>
                <w:szCs w:val="20"/>
              </w:rPr>
              <w:t xml:space="preserve">endpoint, version, capabilities: execution-gating</w:t>
            </w:r>
          </w:p>
        </w:tc>
        <w:tc>
          <w:tcPr>
            <w:tcW w:type="dxa" w:w="2560"/>
            <w:shd w:fill="FFFFFF" w:color="auto" w:val="clear"/>
            <w:vAlign w:val="center"/>
          </w:tcPr>
          <w:p>
            <w:pPr>
              <w:spacing w:after="80" w:before="80"/>
            </w:pPr>
            <w:r>
              <w:rPr>
                <w:color w:val="1A1A2E"/>
                <w:sz w:val="20"/>
                <w:szCs w:val="20"/>
              </w:rPr>
              <w:t xml:space="preserve">EXEC only can update</w:t>
            </w:r>
          </w:p>
        </w:tc>
      </w:tr>
      <w:tr>
        <w:tc>
          <w:tcPr>
            <w:tcW w:type="dxa" w:w="2000"/>
            <w:shd w:fill="F0F8FF" w:color="auto" w:val="clear"/>
            <w:vAlign w:val="center"/>
          </w:tcPr>
          <w:p>
            <w:pPr>
              <w:spacing w:after="80" w:before="80"/>
            </w:pPr>
            <w:r>
              <w:rPr>
                <w:color w:val="1A1A2E"/>
                <w:sz w:val="20"/>
                <w:szCs w:val="20"/>
              </w:rPr>
              <w:t xml:space="preserve">ria-audit.ria.eth</w:t>
            </w:r>
          </w:p>
        </w:tc>
        <w:tc>
          <w:tcPr>
            <w:tcW w:type="dxa" w:w="1400"/>
            <w:shd w:fill="F0F8FF" w:color="auto" w:val="clear"/>
            <w:vAlign w:val="center"/>
          </w:tcPr>
          <w:p>
            <w:pPr>
              <w:spacing w:after="80" w:before="80"/>
            </w:pPr>
            <w:r>
              <w:rPr>
                <w:color w:val="1A1A2E"/>
                <w:sz w:val="20"/>
                <w:szCs w:val="20"/>
              </w:rPr>
              <w:t xml:space="preserve">AUDIT</w:t>
            </w:r>
          </w:p>
        </w:tc>
        <w:tc>
          <w:tcPr>
            <w:tcW w:type="dxa" w:w="3400"/>
            <w:shd w:fill="F0F8FF" w:color="auto" w:val="clear"/>
            <w:vAlign w:val="center"/>
          </w:tcPr>
          <w:p>
            <w:pPr>
              <w:spacing w:after="80" w:before="80"/>
            </w:pPr>
            <w:r>
              <w:rPr>
                <w:color w:val="1A1A2E"/>
                <w:sz w:val="20"/>
                <w:szCs w:val="20"/>
              </w:rPr>
              <w:t xml:space="preserve">hcs-topic-id, version, capabilities: audit-logging</w:t>
            </w:r>
          </w:p>
        </w:tc>
        <w:tc>
          <w:tcPr>
            <w:tcW w:type="dxa" w:w="2560"/>
            <w:shd w:fill="F0F8FF" w:color="auto" w:val="clear"/>
            <w:vAlign w:val="center"/>
          </w:tcPr>
          <w:p>
            <w:pPr>
              <w:spacing w:after="80" w:before="80"/>
            </w:pPr>
            <w:r>
              <w:rPr>
                <w:color w:val="1A1A2E"/>
                <w:sz w:val="20"/>
                <w:szCs w:val="20"/>
              </w:rPr>
              <w:t xml:space="preserve">AUDIT only can update</w:t>
            </w:r>
          </w:p>
        </w:tc>
      </w:tr>
    </w:tbl>
    <w:p>
      <w:pPr>
        <w:spacing w:after="160" w:before="160"/>
      </w:pPr>
      <w:r>
        <w:t xml:space="preserve"/>
      </w:r>
    </w:p>
    <w:p>
      <w:pPr>
        <w:pStyle w:val="Heading2"/>
        <w:spacing w:after="160" w:before="320"/>
      </w:pPr>
      <w:r>
        <w:rPr>
          <w:b/>
          <w:bCs/>
          <w:color w:val="7B2FBE"/>
        </w:rPr>
        <w:t xml:space="preserve">3.7  Layer 3D — Next.js Dashboard (Visibility Layer)</w:t>
      </w:r>
    </w:p>
    <w:p>
      <w:pPr>
        <w:spacing w:after="80" w:before="80"/>
        <w:jc w:val="left"/>
      </w:pPr>
      <w:r>
        <w:rPr>
          <w:b w:val="false"/>
          <w:bCs w:val="false"/>
          <w:i w:val="false"/>
          <w:iCs w:val="false"/>
          <w:color w:val="1A1A2E"/>
          <w:sz w:val="22"/>
          <w:szCs w:val="22"/>
        </w:rPr>
        <w:t xml:space="preserve">The dashboard is a read-only observer. It makes the agent's work visible to judges. Four panels, each fed by a typed WebSocket event from the pipeline.</w:t>
      </w:r>
    </w:p>
    <w:p>
      <w:pPr>
        <w:spacing w:after="80" w:before="8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000"/>
        <w:gridCol w:w="2600"/>
        <w:gridCol w:w="4760"/>
      </w:tblGrid>
      <w:tr>
        <w:tc>
          <w:tcPr>
            <w:tcW w:type="dxa" w:w="2000"/>
            <w:shd w:fill="0F3460" w:color="auto" w:val="clear"/>
            <w:vAlign w:val="center"/>
          </w:tcPr>
          <w:p>
            <w:pPr>
              <w:spacing w:after="80" w:before="80"/>
              <w:jc w:val="left"/>
            </w:pPr>
            <w:r>
              <w:rPr>
                <w:b/>
                <w:bCs/>
                <w:color w:val="FFFFFF"/>
                <w:sz w:val="20"/>
                <w:szCs w:val="20"/>
              </w:rPr>
              <w:t xml:space="preserve">Panel</w:t>
            </w:r>
          </w:p>
        </w:tc>
        <w:tc>
          <w:tcPr>
            <w:tcW w:type="dxa" w:w="2600"/>
            <w:shd w:fill="0F3460" w:color="auto" w:val="clear"/>
            <w:vAlign w:val="center"/>
          </w:tcPr>
          <w:p>
            <w:pPr>
              <w:spacing w:after="80" w:before="80"/>
              <w:jc w:val="left"/>
            </w:pPr>
            <w:r>
              <w:rPr>
                <w:b/>
                <w:bCs/>
                <w:color w:val="FFFFFF"/>
                <w:sz w:val="20"/>
                <w:szCs w:val="20"/>
              </w:rPr>
              <w:t xml:space="preserve">WebSocket Event</w:t>
            </w:r>
          </w:p>
        </w:tc>
        <w:tc>
          <w:tcPr>
            <w:tcW w:type="dxa" w:w="4760"/>
            <w:shd w:fill="0F3460" w:color="auto" w:val="clear"/>
            <w:vAlign w:val="center"/>
          </w:tcPr>
          <w:p>
            <w:pPr>
              <w:spacing w:after="80" w:before="80"/>
              <w:jc w:val="left"/>
            </w:pPr>
            <w:r>
              <w:rPr>
                <w:b/>
                <w:bCs/>
                <w:color w:val="FFFFFF"/>
                <w:sz w:val="20"/>
                <w:szCs w:val="20"/>
              </w:rPr>
              <w:t xml:space="preserve">What Judge Sees</w:t>
            </w:r>
          </w:p>
        </w:tc>
      </w:tr>
      <w:tr>
        <w:tc>
          <w:tcPr>
            <w:tcW w:type="dxa" w:w="2000"/>
            <w:shd w:fill="FFFFFF" w:color="auto" w:val="clear"/>
            <w:vAlign w:val="center"/>
          </w:tcPr>
          <w:p>
            <w:pPr>
              <w:spacing w:after="80" w:before="80"/>
            </w:pPr>
            <w:r>
              <w:rPr>
                <w:color w:val="1A1A2E"/>
                <w:sz w:val="20"/>
                <w:szCs w:val="20"/>
              </w:rPr>
              <w:t xml:space="preserve">Opportunities Feed</w:t>
            </w:r>
          </w:p>
        </w:tc>
        <w:tc>
          <w:tcPr>
            <w:tcW w:type="dxa" w:w="2600"/>
            <w:shd w:fill="FFFFFF" w:color="auto" w:val="clear"/>
            <w:vAlign w:val="center"/>
          </w:tcPr>
          <w:p>
            <w:pPr>
              <w:spacing w:after="80" w:before="80"/>
            </w:pPr>
            <w:r>
              <w:rPr>
                <w:color w:val="1A1A2E"/>
                <w:sz w:val="20"/>
                <w:szCs w:val="20"/>
              </w:rPr>
              <w:t xml:space="preserve">SIGNAL event from SCOUT</w:t>
            </w:r>
          </w:p>
        </w:tc>
        <w:tc>
          <w:tcPr>
            <w:tcW w:type="dxa" w:w="4760"/>
            <w:shd w:fill="FFFFFF" w:color="auto" w:val="clear"/>
            <w:vAlign w:val="center"/>
          </w:tcPr>
          <w:p>
            <w:pPr>
              <w:spacing w:after="80" w:before="80"/>
            </w:pPr>
            <w:r>
              <w:rPr>
                <w:color w:val="1A1A2E"/>
                <w:sz w:val="20"/>
                <w:szCs w:val="20"/>
              </w:rPr>
              <w:t xml:space="preserve">Live DeFi signals: protocol, type, raw confidence, timestamp</w:t>
            </w:r>
          </w:p>
        </w:tc>
      </w:tr>
      <w:tr>
        <w:tc>
          <w:tcPr>
            <w:tcW w:type="dxa" w:w="2000"/>
            <w:shd w:fill="F0F8FF" w:color="auto" w:val="clear"/>
            <w:vAlign w:val="center"/>
          </w:tcPr>
          <w:p>
            <w:pPr>
              <w:spacing w:after="80" w:before="80"/>
            </w:pPr>
            <w:r>
              <w:rPr>
                <w:color w:val="1A1A2E"/>
                <w:sz w:val="20"/>
                <w:szCs w:val="20"/>
              </w:rPr>
              <w:t xml:space="preserve">Agent Trace</w:t>
            </w:r>
          </w:p>
        </w:tc>
        <w:tc>
          <w:tcPr>
            <w:tcW w:type="dxa" w:w="2600"/>
            <w:shd w:fill="F0F8FF" w:color="auto" w:val="clear"/>
            <w:vAlign w:val="center"/>
          </w:tcPr>
          <w:p>
            <w:pPr>
              <w:spacing w:after="80" w:before="80"/>
            </w:pPr>
            <w:r>
              <w:rPr>
                <w:color w:val="1A1A2E"/>
                <w:sz w:val="20"/>
                <w:szCs w:val="20"/>
              </w:rPr>
              <w:t xml:space="preserve">TRACE event from every StateGraph node</w:t>
            </w:r>
          </w:p>
        </w:tc>
        <w:tc>
          <w:tcPr>
            <w:tcW w:type="dxa" w:w="4760"/>
            <w:shd w:fill="F0F8FF" w:color="auto" w:val="clear"/>
            <w:vAlign w:val="center"/>
          </w:tcPr>
          <w:p>
            <w:pPr>
              <w:spacing w:after="80" w:before="80"/>
            </w:pPr>
            <w:r>
              <w:rPr>
                <w:color w:val="1A1A2E"/>
                <w:sz w:val="20"/>
                <w:szCs w:val="20"/>
              </w:rPr>
              <w:t xml:space="preserve">Active agent, reasoning step, routing decision, threshold</w:t>
            </w:r>
          </w:p>
        </w:tc>
      </w:tr>
      <w:tr>
        <w:tc>
          <w:tcPr>
            <w:tcW w:type="dxa" w:w="2000"/>
            <w:shd w:fill="FFFFFF" w:color="auto" w:val="clear"/>
            <w:vAlign w:val="center"/>
          </w:tcPr>
          <w:p>
            <w:pPr>
              <w:spacing w:after="80" w:before="80"/>
            </w:pPr>
            <w:r>
              <w:rPr>
                <w:color w:val="1A1A2E"/>
                <w:sz w:val="20"/>
                <w:szCs w:val="20"/>
              </w:rPr>
              <w:t xml:space="preserve">Payment Monitor</w:t>
            </w:r>
          </w:p>
        </w:tc>
        <w:tc>
          <w:tcPr>
            <w:tcW w:type="dxa" w:w="2600"/>
            <w:shd w:fill="FFFFFF" w:color="auto" w:val="clear"/>
            <w:vAlign w:val="center"/>
          </w:tcPr>
          <w:p>
            <w:pPr>
              <w:spacing w:after="80" w:before="80"/>
            </w:pPr>
            <w:r>
              <w:rPr>
                <w:color w:val="1A1A2E"/>
                <w:sz w:val="20"/>
                <w:szCs w:val="20"/>
              </w:rPr>
              <w:t xml:space="preserve">PAYMENT event from ORACLE after each x402 call</w:t>
            </w:r>
          </w:p>
        </w:tc>
        <w:tc>
          <w:tcPr>
            <w:tcW w:type="dxa" w:w="4760"/>
            <w:shd w:fill="FFFFFF" w:color="auto" w:val="clear"/>
            <w:vAlign w:val="center"/>
          </w:tcPr>
          <w:p>
            <w:pPr>
              <w:spacing w:after="80" w:before="80"/>
            </w:pPr>
            <w:r>
              <w:rPr>
                <w:color w:val="1A1A2E"/>
                <w:sz w:val="20"/>
                <w:szCs w:val="20"/>
              </w:rPr>
              <w:t xml:space="preserve">Tool called, HBAR amount, Hedera tx ID, live HashScan link</w:t>
            </w:r>
          </w:p>
        </w:tc>
      </w:tr>
      <w:tr>
        <w:tc>
          <w:tcPr>
            <w:tcW w:type="dxa" w:w="2000"/>
            <w:shd w:fill="F0F8FF" w:color="auto" w:val="clear"/>
            <w:vAlign w:val="center"/>
          </w:tcPr>
          <w:p>
            <w:pPr>
              <w:spacing w:after="80" w:before="80"/>
            </w:pPr>
            <w:r>
              <w:rPr>
                <w:color w:val="1A1A2E"/>
                <w:sz w:val="20"/>
                <w:szCs w:val="20"/>
              </w:rPr>
              <w:t xml:space="preserve">HCS Audit Trail</w:t>
            </w:r>
          </w:p>
        </w:tc>
        <w:tc>
          <w:tcPr>
            <w:tcW w:type="dxa" w:w="2600"/>
            <w:shd w:fill="F0F8FF" w:color="auto" w:val="clear"/>
            <w:vAlign w:val="center"/>
          </w:tcPr>
          <w:p>
            <w:pPr>
              <w:spacing w:after="80" w:before="80"/>
            </w:pPr>
            <w:r>
              <w:rPr>
                <w:color w:val="1A1A2E"/>
                <w:sz w:val="20"/>
                <w:szCs w:val="20"/>
              </w:rPr>
              <w:t xml:space="preserve">AUDIT event + HCS mirror node poll</w:t>
            </w:r>
          </w:p>
        </w:tc>
        <w:tc>
          <w:tcPr>
            <w:tcW w:type="dxa" w:w="4760"/>
            <w:shd w:fill="F0F8FF" w:color="auto" w:val="clear"/>
            <w:vAlign w:val="center"/>
          </w:tcPr>
          <w:p>
            <w:pPr>
              <w:spacing w:after="80" w:before="80"/>
            </w:pPr>
            <w:r>
              <w:rPr>
                <w:color w:val="1A1A2E"/>
                <w:sz w:val="20"/>
                <w:szCs w:val="20"/>
              </w:rPr>
              <w:t xml:space="preserve">Last 10 AUDIT entries with HCS topic link for verification</w:t>
            </w:r>
          </w:p>
        </w:tc>
      </w:tr>
    </w:tbl>
    <w:p>
      <w:r>
        <w:br w:type="page"/>
      </w:r>
    </w:p>
    <w:p>
      <w:pPr>
        <w:pStyle w:val="Heading1"/>
        <w:spacing w:after="160" w:before="320"/>
      </w:pPr>
      <w:r>
        <w:rPr>
          <w:b/>
          <w:bCs/>
          <w:color w:val="1A1A2E"/>
        </w:rPr>
        <w:t xml:space="preserve">4. x402 Payment Flow — Step by Step</w:t>
      </w:r>
    </w:p>
    <w:p>
      <w:pPr>
        <w:pBdr>
          <w:bottom w:val="single" w:color="00D4FF" w:sz="6"/>
        </w:pBdr>
        <w:spacing w:after="200" w:before="20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500"/>
        <w:gridCol w:w="1400"/>
        <w:gridCol w:w="5500"/>
        <w:gridCol w:w="1960"/>
      </w:tblGrid>
      <w:tr>
        <w:tc>
          <w:tcPr>
            <w:tcW w:type="dxa" w:w="500"/>
            <w:shd w:fill="0F3460" w:color="auto" w:val="clear"/>
            <w:vAlign w:val="center"/>
          </w:tcPr>
          <w:p>
            <w:pPr>
              <w:spacing w:after="80" w:before="80"/>
              <w:jc w:val="left"/>
            </w:pPr>
            <w:r>
              <w:rPr>
                <w:b/>
                <w:bCs/>
                <w:color w:val="FFFFFF"/>
                <w:sz w:val="20"/>
                <w:szCs w:val="20"/>
              </w:rPr>
              <w:t xml:space="preserve">Step</w:t>
            </w:r>
          </w:p>
        </w:tc>
        <w:tc>
          <w:tcPr>
            <w:tcW w:type="dxa" w:w="1400"/>
            <w:shd w:fill="0F3460" w:color="auto" w:val="clear"/>
            <w:vAlign w:val="center"/>
          </w:tcPr>
          <w:p>
            <w:pPr>
              <w:spacing w:after="80" w:before="80"/>
              <w:jc w:val="left"/>
            </w:pPr>
            <w:r>
              <w:rPr>
                <w:b/>
                <w:bCs/>
                <w:color w:val="FFFFFF"/>
                <w:sz w:val="20"/>
                <w:szCs w:val="20"/>
              </w:rPr>
              <w:t xml:space="preserve">Actor</w:t>
            </w:r>
          </w:p>
        </w:tc>
        <w:tc>
          <w:tcPr>
            <w:tcW w:type="dxa" w:w="5500"/>
            <w:shd w:fill="0F3460" w:color="auto" w:val="clear"/>
            <w:vAlign w:val="center"/>
          </w:tcPr>
          <w:p>
            <w:pPr>
              <w:spacing w:after="80" w:before="80"/>
              <w:jc w:val="left"/>
            </w:pPr>
            <w:r>
              <w:rPr>
                <w:b/>
                <w:bCs/>
                <w:color w:val="FFFFFF"/>
                <w:sz w:val="20"/>
                <w:szCs w:val="20"/>
              </w:rPr>
              <w:t xml:space="preserve">Action</w:t>
            </w:r>
          </w:p>
        </w:tc>
        <w:tc>
          <w:tcPr>
            <w:tcW w:type="dxa" w:w="1960"/>
            <w:shd w:fill="0F3460" w:color="auto" w:val="clear"/>
            <w:vAlign w:val="center"/>
          </w:tcPr>
          <w:p>
            <w:pPr>
              <w:spacing w:after="80" w:before="80"/>
              <w:jc w:val="left"/>
            </w:pPr>
            <w:r>
              <w:rPr>
                <w:b/>
                <w:bCs/>
                <w:color w:val="FFFFFF"/>
                <w:sz w:val="20"/>
                <w:szCs w:val="20"/>
              </w:rPr>
              <w:t xml:space="preserve">On-Chain?</w:t>
            </w:r>
          </w:p>
        </w:tc>
      </w:tr>
      <w:tr>
        <w:tc>
          <w:tcPr>
            <w:tcW w:type="dxa" w:w="500"/>
            <w:shd w:fill="FFFFFF" w:color="auto" w:val="clear"/>
            <w:vAlign w:val="center"/>
          </w:tcPr>
          <w:p>
            <w:pPr>
              <w:spacing w:after="80" w:before="80"/>
            </w:pPr>
            <w:r>
              <w:rPr>
                <w:color w:val="1A1A2E"/>
                <w:sz w:val="20"/>
                <w:szCs w:val="20"/>
              </w:rPr>
              <w:t xml:space="preserve">1</w:t>
            </w:r>
          </w:p>
        </w:tc>
        <w:tc>
          <w:tcPr>
            <w:tcW w:type="dxa" w:w="1400"/>
            <w:shd w:fill="FFFFFF" w:color="auto" w:val="clear"/>
            <w:vAlign w:val="center"/>
          </w:tcPr>
          <w:p>
            <w:pPr>
              <w:spacing w:after="80" w:before="80"/>
            </w:pPr>
            <w:r>
              <w:rPr>
                <w:color w:val="1A1A2E"/>
                <w:sz w:val="20"/>
                <w:szCs w:val="20"/>
              </w:rPr>
              <w:t xml:space="preserve">ORACLE Agent</w:t>
            </w:r>
          </w:p>
        </w:tc>
        <w:tc>
          <w:tcPr>
            <w:tcW w:type="dxa" w:w="5500"/>
            <w:shd w:fill="FFFFFF" w:color="auto" w:val="clear"/>
            <w:vAlign w:val="center"/>
          </w:tcPr>
          <w:p>
            <w:pPr>
              <w:spacing w:after="80" w:before="80"/>
            </w:pPr>
            <w:r>
              <w:rPr>
                <w:color w:val="1A1A2E"/>
                <w:sz w:val="20"/>
                <w:szCs w:val="20"/>
              </w:rPr>
              <w:t xml:space="preserve">Sends MCP tool call: get_risk_score(opportunity)</w:t>
            </w:r>
          </w:p>
        </w:tc>
        <w:tc>
          <w:tcPr>
            <w:tcW w:type="dxa" w:w="1960"/>
            <w:shd w:fill="FFFFFF" w:color="auto" w:val="clear"/>
            <w:vAlign w:val="center"/>
          </w:tcPr>
          <w:p>
            <w:pPr>
              <w:spacing w:after="80" w:before="80"/>
            </w:pPr>
            <w:r>
              <w:rPr>
                <w:color w:val="1A1A2E"/>
                <w:sz w:val="20"/>
                <w:szCs w:val="20"/>
              </w:rPr>
              <w:t xml:space="preserve">No</w:t>
            </w:r>
          </w:p>
        </w:tc>
      </w:tr>
      <w:tr>
        <w:tc>
          <w:tcPr>
            <w:tcW w:type="dxa" w:w="500"/>
            <w:shd w:fill="F0F8FF" w:color="auto" w:val="clear"/>
            <w:vAlign w:val="center"/>
          </w:tcPr>
          <w:p>
            <w:pPr>
              <w:spacing w:after="80" w:before="80"/>
            </w:pPr>
            <w:r>
              <w:rPr>
                <w:color w:val="1A1A2E"/>
                <w:sz w:val="20"/>
                <w:szCs w:val="20"/>
              </w:rPr>
              <w:t xml:space="preserve">2</w:t>
            </w:r>
          </w:p>
        </w:tc>
        <w:tc>
          <w:tcPr>
            <w:tcW w:type="dxa" w:w="1400"/>
            <w:shd w:fill="F0F8FF" w:color="auto" w:val="clear"/>
            <w:vAlign w:val="center"/>
          </w:tcPr>
          <w:p>
            <w:pPr>
              <w:spacing w:after="80" w:before="80"/>
            </w:pPr>
            <w:r>
              <w:rPr>
                <w:color w:val="1A1A2E"/>
                <w:sz w:val="20"/>
                <w:szCs w:val="20"/>
              </w:rPr>
              <w:t xml:space="preserve">x402 Middleware</w:t>
            </w:r>
          </w:p>
        </w:tc>
        <w:tc>
          <w:tcPr>
            <w:tcW w:type="dxa" w:w="5500"/>
            <w:shd w:fill="F0F8FF" w:color="auto" w:val="clear"/>
            <w:vAlign w:val="center"/>
          </w:tcPr>
          <w:p>
            <w:pPr>
              <w:spacing w:after="80" w:before="80"/>
            </w:pPr>
            <w:r>
              <w:rPr>
                <w:color w:val="1A1A2E"/>
                <w:sz w:val="20"/>
                <w:szCs w:val="20"/>
              </w:rPr>
              <w:t xml:space="preserve">Intercepts request, returns HTTP 402 with payment instructions: "pay 0.002 HBAR to Blocky402 account on Hedera testnet"</w:t>
            </w:r>
          </w:p>
        </w:tc>
        <w:tc>
          <w:tcPr>
            <w:tcW w:type="dxa" w:w="1960"/>
            <w:shd w:fill="F0F8FF" w:color="auto" w:val="clear"/>
            <w:vAlign w:val="center"/>
          </w:tcPr>
          <w:p>
            <w:pPr>
              <w:spacing w:after="80" w:before="80"/>
            </w:pPr>
            <w:r>
              <w:rPr>
                <w:color w:val="1A1A2E"/>
                <w:sz w:val="20"/>
                <w:szCs w:val="20"/>
              </w:rPr>
              <w:t xml:space="preserve">No</w:t>
            </w:r>
          </w:p>
        </w:tc>
      </w:tr>
      <w:tr>
        <w:tc>
          <w:tcPr>
            <w:tcW w:type="dxa" w:w="500"/>
            <w:shd w:fill="FFFFFF" w:color="auto" w:val="clear"/>
            <w:vAlign w:val="center"/>
          </w:tcPr>
          <w:p>
            <w:pPr>
              <w:spacing w:after="80" w:before="80"/>
            </w:pPr>
            <w:r>
              <w:rPr>
                <w:color w:val="1A1A2E"/>
                <w:sz w:val="20"/>
                <w:szCs w:val="20"/>
              </w:rPr>
              <w:t xml:space="preserve">3</w:t>
            </w:r>
          </w:p>
        </w:tc>
        <w:tc>
          <w:tcPr>
            <w:tcW w:type="dxa" w:w="1400"/>
            <w:shd w:fill="FFFFFF" w:color="auto" w:val="clear"/>
            <w:vAlign w:val="center"/>
          </w:tcPr>
          <w:p>
            <w:pPr>
              <w:spacing w:after="80" w:before="80"/>
            </w:pPr>
            <w:r>
              <w:rPr>
                <w:color w:val="1A1A2E"/>
                <w:sz w:val="20"/>
                <w:szCs w:val="20"/>
              </w:rPr>
              <w:t xml:space="preserve">ORACLE Agent</w:t>
            </w:r>
          </w:p>
        </w:tc>
        <w:tc>
          <w:tcPr>
            <w:tcW w:type="dxa" w:w="5500"/>
            <w:shd w:fill="FFFFFF" w:color="auto" w:val="clear"/>
            <w:vAlign w:val="center"/>
          </w:tcPr>
          <w:p>
            <w:pPr>
              <w:spacing w:after="80" w:before="80"/>
            </w:pPr>
            <w:r>
              <w:rPr>
                <w:color w:val="1A1A2E"/>
                <w:sz w:val="20"/>
                <w:szCs w:val="20"/>
              </w:rPr>
              <w:t xml:space="preserve">Reads 402 header, constructs Hedera CryptoTransfer transaction, signs with agent wallet private key</w:t>
            </w:r>
          </w:p>
        </w:tc>
        <w:tc>
          <w:tcPr>
            <w:tcW w:type="dxa" w:w="1960"/>
            <w:shd w:fill="FFFFFF" w:color="auto" w:val="clear"/>
            <w:vAlign w:val="center"/>
          </w:tcPr>
          <w:p>
            <w:pPr>
              <w:spacing w:after="80" w:before="80"/>
            </w:pPr>
            <w:r>
              <w:rPr>
                <w:color w:val="1A1A2E"/>
                <w:sz w:val="20"/>
                <w:szCs w:val="20"/>
              </w:rPr>
              <w:t xml:space="preserve">No</w:t>
            </w:r>
          </w:p>
        </w:tc>
      </w:tr>
      <w:tr>
        <w:tc>
          <w:tcPr>
            <w:tcW w:type="dxa" w:w="500"/>
            <w:shd w:fill="F0F8FF" w:color="auto" w:val="clear"/>
            <w:vAlign w:val="center"/>
          </w:tcPr>
          <w:p>
            <w:pPr>
              <w:spacing w:after="80" w:before="80"/>
            </w:pPr>
            <w:r>
              <w:rPr>
                <w:color w:val="1A1A2E"/>
                <w:sz w:val="20"/>
                <w:szCs w:val="20"/>
              </w:rPr>
              <w:t xml:space="preserve">4</w:t>
            </w:r>
          </w:p>
        </w:tc>
        <w:tc>
          <w:tcPr>
            <w:tcW w:type="dxa" w:w="1400"/>
            <w:shd w:fill="F0F8FF" w:color="auto" w:val="clear"/>
            <w:vAlign w:val="center"/>
          </w:tcPr>
          <w:p>
            <w:pPr>
              <w:spacing w:after="80" w:before="80"/>
            </w:pPr>
            <w:r>
              <w:rPr>
                <w:color w:val="1A1A2E"/>
                <w:sz w:val="20"/>
                <w:szCs w:val="20"/>
              </w:rPr>
              <w:t xml:space="preserve">Hedera Testnet</w:t>
            </w:r>
          </w:p>
        </w:tc>
        <w:tc>
          <w:tcPr>
            <w:tcW w:type="dxa" w:w="5500"/>
            <w:shd w:fill="F0F8FF" w:color="auto" w:val="clear"/>
            <w:vAlign w:val="center"/>
          </w:tcPr>
          <w:p>
            <w:pPr>
              <w:spacing w:after="80" w:before="80"/>
            </w:pPr>
            <w:r>
              <w:rPr>
                <w:color w:val="1A1A2E"/>
                <w:sz w:val="20"/>
                <w:szCs w:val="20"/>
              </w:rPr>
              <w:t xml:space="preserve">Transaction confirmed in &lt;3 seconds, sub-cent fee</w:t>
            </w:r>
          </w:p>
        </w:tc>
        <w:tc>
          <w:tcPr>
            <w:tcW w:type="dxa" w:w="1960"/>
            <w:shd w:fill="F0F8FF" w:color="auto" w:val="clear"/>
            <w:vAlign w:val="center"/>
          </w:tcPr>
          <w:p>
            <w:pPr>
              <w:spacing w:after="80" w:before="80"/>
            </w:pPr>
            <w:r>
              <w:rPr>
                <w:color w:val="1A1A2E"/>
                <w:sz w:val="20"/>
                <w:szCs w:val="20"/>
              </w:rPr>
              <w:t xml:space="preserve">Yes — Hedera</w:t>
            </w:r>
          </w:p>
        </w:tc>
      </w:tr>
      <w:tr>
        <w:tc>
          <w:tcPr>
            <w:tcW w:type="dxa" w:w="500"/>
            <w:shd w:fill="FFFFFF" w:color="auto" w:val="clear"/>
            <w:vAlign w:val="center"/>
          </w:tcPr>
          <w:p>
            <w:pPr>
              <w:spacing w:after="80" w:before="80"/>
            </w:pPr>
            <w:r>
              <w:rPr>
                <w:color w:val="1A1A2E"/>
                <w:sz w:val="20"/>
                <w:szCs w:val="20"/>
              </w:rPr>
              <w:t xml:space="preserve">5</w:t>
            </w:r>
          </w:p>
        </w:tc>
        <w:tc>
          <w:tcPr>
            <w:tcW w:type="dxa" w:w="1400"/>
            <w:shd w:fill="FFFFFF" w:color="auto" w:val="clear"/>
            <w:vAlign w:val="center"/>
          </w:tcPr>
          <w:p>
            <w:pPr>
              <w:spacing w:after="80" w:before="80"/>
            </w:pPr>
            <w:r>
              <w:rPr>
                <w:color w:val="1A1A2E"/>
                <w:sz w:val="20"/>
                <w:szCs w:val="20"/>
              </w:rPr>
              <w:t xml:space="preserve">Blocky402</w:t>
            </w:r>
          </w:p>
        </w:tc>
        <w:tc>
          <w:tcPr>
            <w:tcW w:type="dxa" w:w="5500"/>
            <w:shd w:fill="FFFFFF" w:color="auto" w:val="clear"/>
            <w:vAlign w:val="center"/>
          </w:tcPr>
          <w:p>
            <w:pPr>
              <w:spacing w:after="80" w:before="80"/>
            </w:pPr>
            <w:r>
              <w:rPr>
                <w:color w:val="1A1A2E"/>
                <w:sz w:val="20"/>
                <w:szCs w:val="20"/>
              </w:rPr>
              <w:t xml:space="preserve">Confirms payment on-chain, issues short-lived access token</w:t>
            </w:r>
          </w:p>
        </w:tc>
        <w:tc>
          <w:tcPr>
            <w:tcW w:type="dxa" w:w="1960"/>
            <w:shd w:fill="FFFFFF" w:color="auto" w:val="clear"/>
            <w:vAlign w:val="center"/>
          </w:tcPr>
          <w:p>
            <w:pPr>
              <w:spacing w:after="80" w:before="80"/>
            </w:pPr>
            <w:r>
              <w:rPr>
                <w:color w:val="1A1A2E"/>
                <w:sz w:val="20"/>
                <w:szCs w:val="20"/>
              </w:rPr>
              <w:t xml:space="preserve">Yes — Hedera</w:t>
            </w:r>
          </w:p>
        </w:tc>
      </w:tr>
      <w:tr>
        <w:tc>
          <w:tcPr>
            <w:tcW w:type="dxa" w:w="500"/>
            <w:shd w:fill="F0F8FF" w:color="auto" w:val="clear"/>
            <w:vAlign w:val="center"/>
          </w:tcPr>
          <w:p>
            <w:pPr>
              <w:spacing w:after="80" w:before="80"/>
            </w:pPr>
            <w:r>
              <w:rPr>
                <w:color w:val="1A1A2E"/>
                <w:sz w:val="20"/>
                <w:szCs w:val="20"/>
              </w:rPr>
              <w:t xml:space="preserve">6</w:t>
            </w:r>
          </w:p>
        </w:tc>
        <w:tc>
          <w:tcPr>
            <w:tcW w:type="dxa" w:w="1400"/>
            <w:shd w:fill="F0F8FF" w:color="auto" w:val="clear"/>
            <w:vAlign w:val="center"/>
          </w:tcPr>
          <w:p>
            <w:pPr>
              <w:spacing w:after="80" w:before="80"/>
            </w:pPr>
            <w:r>
              <w:rPr>
                <w:color w:val="1A1A2E"/>
                <w:sz w:val="20"/>
                <w:szCs w:val="20"/>
              </w:rPr>
              <w:t xml:space="preserve">ORACLE Agent</w:t>
            </w:r>
          </w:p>
        </w:tc>
        <w:tc>
          <w:tcPr>
            <w:tcW w:type="dxa" w:w="5500"/>
            <w:shd w:fill="F0F8FF" w:color="auto" w:val="clear"/>
            <w:vAlign w:val="center"/>
          </w:tcPr>
          <w:p>
            <w:pPr>
              <w:spacing w:after="80" w:before="80"/>
            </w:pPr>
            <w:r>
              <w:rPr>
                <w:color w:val="1A1A2E"/>
                <w:sz w:val="20"/>
                <w:szCs w:val="20"/>
              </w:rPr>
              <w:t xml:space="preserve">Retries MCP tool call with access token in header</w:t>
            </w:r>
          </w:p>
        </w:tc>
        <w:tc>
          <w:tcPr>
            <w:tcW w:type="dxa" w:w="1960"/>
            <w:shd w:fill="F0F8FF" w:color="auto" w:val="clear"/>
            <w:vAlign w:val="center"/>
          </w:tcPr>
          <w:p>
            <w:pPr>
              <w:spacing w:after="80" w:before="80"/>
            </w:pPr>
            <w:r>
              <w:rPr>
                <w:color w:val="1A1A2E"/>
                <w:sz w:val="20"/>
                <w:szCs w:val="20"/>
              </w:rPr>
              <w:t xml:space="preserve">No</w:t>
            </w:r>
          </w:p>
        </w:tc>
      </w:tr>
      <w:tr>
        <w:tc>
          <w:tcPr>
            <w:tcW w:type="dxa" w:w="500"/>
            <w:shd w:fill="FFFFFF" w:color="auto" w:val="clear"/>
            <w:vAlign w:val="center"/>
          </w:tcPr>
          <w:p>
            <w:pPr>
              <w:spacing w:after="80" w:before="80"/>
            </w:pPr>
            <w:r>
              <w:rPr>
                <w:color w:val="1A1A2E"/>
                <w:sz w:val="20"/>
                <w:szCs w:val="20"/>
              </w:rPr>
              <w:t xml:space="preserve">7</w:t>
            </w:r>
          </w:p>
        </w:tc>
        <w:tc>
          <w:tcPr>
            <w:tcW w:type="dxa" w:w="1400"/>
            <w:shd w:fill="FFFFFF" w:color="auto" w:val="clear"/>
            <w:vAlign w:val="center"/>
          </w:tcPr>
          <w:p>
            <w:pPr>
              <w:spacing w:after="80" w:before="80"/>
            </w:pPr>
            <w:r>
              <w:rPr>
                <w:color w:val="1A1A2E"/>
                <w:sz w:val="20"/>
                <w:szCs w:val="20"/>
              </w:rPr>
              <w:t xml:space="preserve">MCP Server</w:t>
            </w:r>
          </w:p>
        </w:tc>
        <w:tc>
          <w:tcPr>
            <w:tcW w:type="dxa" w:w="5500"/>
            <w:shd w:fill="FFFFFF" w:color="auto" w:val="clear"/>
            <w:vAlign w:val="center"/>
          </w:tcPr>
          <w:p>
            <w:pPr>
              <w:spacing w:after="80" w:before="80"/>
            </w:pPr>
            <w:r>
              <w:rPr>
                <w:color w:val="1A1A2E"/>
                <w:sz w:val="20"/>
                <w:szCs w:val="20"/>
              </w:rPr>
              <w:t xml:space="preserve">Token valid — tool executes: calls Etherscan + CoinGecko + Claude LLM, returns enriched signal</w:t>
            </w:r>
          </w:p>
        </w:tc>
        <w:tc>
          <w:tcPr>
            <w:tcW w:type="dxa" w:w="1960"/>
            <w:shd w:fill="FFFFFF" w:color="auto" w:val="clear"/>
            <w:vAlign w:val="center"/>
          </w:tcPr>
          <w:p>
            <w:pPr>
              <w:spacing w:after="80" w:before="80"/>
            </w:pPr>
            <w:r>
              <w:rPr>
                <w:color w:val="1A1A2E"/>
                <w:sz w:val="20"/>
                <w:szCs w:val="20"/>
              </w:rPr>
              <w:t xml:space="preserve">No</w:t>
            </w:r>
          </w:p>
        </w:tc>
      </w:tr>
      <w:tr>
        <w:tc>
          <w:tcPr>
            <w:tcW w:type="dxa" w:w="500"/>
            <w:shd w:fill="F0F8FF" w:color="auto" w:val="clear"/>
            <w:vAlign w:val="center"/>
          </w:tcPr>
          <w:p>
            <w:pPr>
              <w:spacing w:after="80" w:before="80"/>
            </w:pPr>
            <w:r>
              <w:rPr>
                <w:color w:val="1A1A2E"/>
                <w:sz w:val="20"/>
                <w:szCs w:val="20"/>
              </w:rPr>
              <w:t xml:space="preserve">8</w:t>
            </w:r>
          </w:p>
        </w:tc>
        <w:tc>
          <w:tcPr>
            <w:tcW w:type="dxa" w:w="1400"/>
            <w:shd w:fill="F0F8FF" w:color="auto" w:val="clear"/>
            <w:vAlign w:val="center"/>
          </w:tcPr>
          <w:p>
            <w:pPr>
              <w:spacing w:after="80" w:before="80"/>
            </w:pPr>
            <w:r>
              <w:rPr>
                <w:color w:val="1A1A2E"/>
                <w:sz w:val="20"/>
                <w:szCs w:val="20"/>
              </w:rPr>
              <w:t xml:space="preserve">AUDIT Agent</w:t>
            </w:r>
          </w:p>
        </w:tc>
        <w:tc>
          <w:tcPr>
            <w:tcW w:type="dxa" w:w="5500"/>
            <w:shd w:fill="F0F8FF" w:color="auto" w:val="clear"/>
            <w:vAlign w:val="center"/>
          </w:tcPr>
          <w:p>
            <w:pPr>
              <w:spacing w:after="80" w:before="80"/>
            </w:pPr>
            <w:r>
              <w:rPr>
                <w:color w:val="1A1A2E"/>
                <w:sz w:val="20"/>
                <w:szCs w:val="20"/>
              </w:rPr>
              <w:t xml:space="preserve">Logs: tool name, HBAR amount, Hedera tx ID, response hash → HCS topic</w:t>
            </w:r>
          </w:p>
        </w:tc>
        <w:tc>
          <w:tcPr>
            <w:tcW w:type="dxa" w:w="1960"/>
            <w:shd w:fill="F0F8FF" w:color="auto" w:val="clear"/>
            <w:vAlign w:val="center"/>
          </w:tcPr>
          <w:p>
            <w:pPr>
              <w:spacing w:after="80" w:before="80"/>
            </w:pPr>
            <w:r>
              <w:rPr>
                <w:color w:val="1A1A2E"/>
                <w:sz w:val="20"/>
                <w:szCs w:val="20"/>
              </w:rPr>
              <w:t xml:space="preserve">Yes — Hedera HCS</w:t>
            </w:r>
          </w:p>
        </w:tc>
      </w:tr>
      <w:tr>
        <w:tc>
          <w:tcPr>
            <w:tcW w:type="dxa" w:w="500"/>
            <w:shd w:fill="FFFFFF" w:color="auto" w:val="clear"/>
            <w:vAlign w:val="center"/>
          </w:tcPr>
          <w:p>
            <w:pPr>
              <w:spacing w:after="80" w:before="80"/>
            </w:pPr>
            <w:r>
              <w:rPr>
                <w:color w:val="1A1A2E"/>
                <w:sz w:val="20"/>
                <w:szCs w:val="20"/>
              </w:rPr>
              <w:t xml:space="preserve">9</w:t>
            </w:r>
          </w:p>
        </w:tc>
        <w:tc>
          <w:tcPr>
            <w:tcW w:type="dxa" w:w="1400"/>
            <w:shd w:fill="FFFFFF" w:color="auto" w:val="clear"/>
            <w:vAlign w:val="center"/>
          </w:tcPr>
          <w:p>
            <w:pPr>
              <w:spacing w:after="80" w:before="80"/>
            </w:pPr>
            <w:r>
              <w:rPr>
                <w:color w:val="1A1A2E"/>
                <w:sz w:val="20"/>
                <w:szCs w:val="20"/>
              </w:rPr>
              <w:t xml:space="preserve">Dashboard</w:t>
            </w:r>
          </w:p>
        </w:tc>
        <w:tc>
          <w:tcPr>
            <w:tcW w:type="dxa" w:w="5500"/>
            <w:shd w:fill="FFFFFF" w:color="auto" w:val="clear"/>
            <w:vAlign w:val="center"/>
          </w:tcPr>
          <w:p>
            <w:pPr>
              <w:spacing w:after="80" w:before="80"/>
            </w:pPr>
            <w:r>
              <w:rPr>
                <w:color w:val="1A1A2E"/>
                <w:sz w:val="20"/>
                <w:szCs w:val="20"/>
              </w:rPr>
              <w:t xml:space="preserve">Payment Monitor panel updates with tx ID and live HashScan link</w:t>
            </w:r>
          </w:p>
        </w:tc>
        <w:tc>
          <w:tcPr>
            <w:tcW w:type="dxa" w:w="1960"/>
            <w:shd w:fill="FFFFFF" w:color="auto" w:val="clear"/>
            <w:vAlign w:val="center"/>
          </w:tcPr>
          <w:p>
            <w:pPr>
              <w:spacing w:after="80" w:before="80"/>
            </w:pPr>
            <w:r>
              <w:rPr>
                <w:color w:val="1A1A2E"/>
                <w:sz w:val="20"/>
                <w:szCs w:val="20"/>
              </w:rPr>
              <w:t xml:space="preserve">No (reads HCS)</w:t>
            </w:r>
          </w:p>
        </w:tc>
      </w:tr>
    </w:tbl>
    <w:p>
      <w:r>
        <w:br w:type="page"/>
      </w:r>
    </w:p>
    <w:p>
      <w:pPr>
        <w:pStyle w:val="Heading1"/>
        <w:spacing w:after="160" w:before="320"/>
      </w:pPr>
      <w:r>
        <w:rPr>
          <w:b/>
          <w:bCs/>
          <w:color w:val="1A1A2E"/>
        </w:rPr>
        <w:t xml:space="preserve">5. Repository Structure &amp; Tech Stack</w:t>
      </w:r>
    </w:p>
    <w:p>
      <w:pPr>
        <w:pBdr>
          <w:bottom w:val="single" w:color="00D4FF" w:sz="6"/>
        </w:pBdr>
        <w:spacing w:after="200" w:before="200"/>
      </w:pPr>
      <w:r>
        <w:t xml:space="preserve"/>
      </w:r>
    </w:p>
    <w:p>
      <w:pPr>
        <w:pStyle w:val="Heading2"/>
        <w:spacing w:after="160" w:before="320"/>
      </w:pPr>
      <w:r>
        <w:rPr>
          <w:b/>
          <w:bCs/>
          <w:color w:val="7B2FBE"/>
        </w:rPr>
        <w:t xml:space="preserve">5.1  Repository Structure</w:t>
      </w:r>
    </w:p>
    <w:p>
      <w:pPr>
        <w:spacing w:after="120" w:before="120"/>
      </w:pPr>
      <w:r>
        <w:rPr>
          <w:rFonts w:ascii="Courier New" w:cs="Courier New" w:eastAsia="Courier New" w:hAnsi="Courier New"/>
          <w:color w:val="1A1A2E"/>
          <w:sz w:val="17"/>
          <w:szCs w:val="17"/>
        </w:rPr>
        <w:t xml:space="preserve">ria/
├── agents/
│   ├── recon.py        # Subgraph Studio GraphQL + Substreams client
│   ├── scout.py        # Opportunity ranking
│   ├── risk.py         # Risk scoring + position sizing
│   ├── oracle.py       # MCP client + x402 payment handler
│   ├── exec.py         # Execution gating + action dispatch
│   └── audit.py        # HCS audit trail writer
├── graph/
│   ├── subgraph_client.py     # Subgraph Studio GraphQL wrapper
│   ├── substreams_client.py   # Graph Market Substreams client
│   └── queries/               # GraphQL query templates (Messari schema)
├── mcp_server/                # ← NEW in v3: standalone x402-gated MCP server
│   ├── server.py              # MCP server (HTTP/SSE mode)
│   ├── x402_middleware.py     # Blocky402 payment verification middleware
│   ├── tools/
│   │   ├── gas_price.py       # Etherscan Gas Tracker integration
│   │   ├── sentiment.py       # LLM sentiment synthesis
│   │   ├── risk_score.py      # LLM risk scoring (main x402 SKU)
│   │   ├── price_feed.py      # CoinGecko integration
│   │   └── liquidation_stream.py  # Substreams processed alerts
│   └── pricing.py             # Per-tool HBAR price config
├── hedera/
│   ├── x402_client.py         # Agent-side x402 payment flow
│   ├── hcs_logger.py          # HCS audit trail
│   └── wallet.py              # HBAR wallet management
├── ens/
│   ├── register.py            # ENSv2 subname registration
│   └── resolver.py            # Permissioned resolver interactions
├── pipeline/
│   ├── state.py               # LangGraph StateGraph + typed state
│   ├── graph.py               # Agent wiring + conditional edges
│   ├── runner.py              # Main entrypoint
│   └── ws_server.py           # WebSocket server for dashboard
├── dashboard/                 # Next.js frontend
│   ├── pages/index.tsx
│   └── components/
│       ├── OpportunitiesFeed.tsx
│       ├── AgentTrace.tsx
│       ├── PaymentMonitor.tsx
│       └── HCSAuditTrail.tsx
├── tests/
├── .env.example
├── README.md
└── SKILL.md                   # Required for The Graph track</w:t>
      </w:r>
    </w:p>
    <w:p>
      <w:pPr>
        <w:spacing w:after="80" w:before="80"/>
      </w:pPr>
      <w:r>
        <w:t xml:space="preserve"/>
      </w:r>
    </w:p>
    <w:p>
      <w:pPr>
        <w:pStyle w:val="Heading2"/>
        <w:spacing w:after="160" w:before="320"/>
      </w:pPr>
      <w:r>
        <w:rPr>
          <w:b/>
          <w:bCs/>
          <w:color w:val="7B2FBE"/>
        </w:rPr>
        <w:t xml:space="preserve">5.2  Tech Stack</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000"/>
        <w:gridCol w:w="2800"/>
        <w:gridCol w:w="4560"/>
      </w:tblGrid>
      <w:tr>
        <w:tc>
          <w:tcPr>
            <w:tcW w:type="dxa" w:w="2000"/>
            <w:shd w:fill="0F3460" w:color="auto" w:val="clear"/>
            <w:vAlign w:val="center"/>
          </w:tcPr>
          <w:p>
            <w:pPr>
              <w:spacing w:after="80" w:before="80"/>
              <w:jc w:val="left"/>
            </w:pPr>
            <w:r>
              <w:rPr>
                <w:b/>
                <w:bCs/>
                <w:color w:val="FFFFFF"/>
                <w:sz w:val="20"/>
                <w:szCs w:val="20"/>
              </w:rPr>
              <w:t xml:space="preserve">Layer</w:t>
            </w:r>
          </w:p>
        </w:tc>
        <w:tc>
          <w:tcPr>
            <w:tcW w:type="dxa" w:w="2800"/>
            <w:shd w:fill="0F3460" w:color="auto" w:val="clear"/>
            <w:vAlign w:val="center"/>
          </w:tcPr>
          <w:p>
            <w:pPr>
              <w:spacing w:after="80" w:before="80"/>
              <w:jc w:val="left"/>
            </w:pPr>
            <w:r>
              <w:rPr>
                <w:b/>
                <w:bCs/>
                <w:color w:val="FFFFFF"/>
                <w:sz w:val="20"/>
                <w:szCs w:val="20"/>
              </w:rPr>
              <w:t xml:space="preserve">Technology</w:t>
            </w:r>
          </w:p>
        </w:tc>
        <w:tc>
          <w:tcPr>
            <w:tcW w:type="dxa" w:w="4560"/>
            <w:shd w:fill="0F3460" w:color="auto" w:val="clear"/>
            <w:vAlign w:val="center"/>
          </w:tcPr>
          <w:p>
            <w:pPr>
              <w:spacing w:after="80" w:before="80"/>
              <w:jc w:val="left"/>
            </w:pPr>
            <w:r>
              <w:rPr>
                <w:b/>
                <w:bCs/>
                <w:color w:val="FFFFFF"/>
                <w:sz w:val="20"/>
                <w:szCs w:val="20"/>
              </w:rPr>
              <w:t xml:space="preserve">Notes</w:t>
            </w:r>
          </w:p>
        </w:tc>
      </w:tr>
      <w:tr>
        <w:tc>
          <w:tcPr>
            <w:tcW w:type="dxa" w:w="2000"/>
            <w:shd w:fill="FFFFFF" w:color="auto" w:val="clear"/>
            <w:vAlign w:val="center"/>
          </w:tcPr>
          <w:p>
            <w:pPr>
              <w:spacing w:after="80" w:before="80"/>
            </w:pPr>
            <w:r>
              <w:rPr>
                <w:color w:val="1A1A2E"/>
                <w:sz w:val="20"/>
                <w:szCs w:val="20"/>
              </w:rPr>
              <w:t xml:space="preserve">Agent Framework</w:t>
            </w:r>
          </w:p>
        </w:tc>
        <w:tc>
          <w:tcPr>
            <w:tcW w:type="dxa" w:w="2800"/>
            <w:shd w:fill="FFFFFF" w:color="auto" w:val="clear"/>
            <w:vAlign w:val="center"/>
          </w:tcPr>
          <w:p>
            <w:pPr>
              <w:spacing w:after="80" w:before="80"/>
            </w:pPr>
            <w:r>
              <w:rPr>
                <w:color w:val="1A1A2E"/>
                <w:sz w:val="20"/>
                <w:szCs w:val="20"/>
              </w:rPr>
              <w:t xml:space="preserve">LangGraph (Python)</w:t>
            </w:r>
          </w:p>
        </w:tc>
        <w:tc>
          <w:tcPr>
            <w:tcW w:type="dxa" w:w="4560"/>
            <w:shd w:fill="FFFFFF" w:color="auto" w:val="clear"/>
            <w:vAlign w:val="center"/>
          </w:tcPr>
          <w:p>
            <w:pPr>
              <w:spacing w:after="80" w:before="80"/>
            </w:pPr>
            <w:r>
              <w:rPr>
                <w:color w:val="1A1A2E"/>
                <w:sz w:val="20"/>
                <w:szCs w:val="20"/>
              </w:rPr>
              <w:t xml:space="preserve">StateGraph with conditional edges and typed state object</w:t>
            </w:r>
          </w:p>
        </w:tc>
      </w:tr>
      <w:tr>
        <w:tc>
          <w:tcPr>
            <w:tcW w:type="dxa" w:w="2000"/>
            <w:shd w:fill="F0F8FF" w:color="auto" w:val="clear"/>
            <w:vAlign w:val="center"/>
          </w:tcPr>
          <w:p>
            <w:pPr>
              <w:spacing w:after="80" w:before="80"/>
            </w:pPr>
            <w:r>
              <w:rPr>
                <w:color w:val="1A1A2E"/>
                <w:sz w:val="20"/>
                <w:szCs w:val="20"/>
              </w:rPr>
              <w:t xml:space="preserve">LLM</w:t>
            </w:r>
          </w:p>
        </w:tc>
        <w:tc>
          <w:tcPr>
            <w:tcW w:type="dxa" w:w="2800"/>
            <w:shd w:fill="F0F8FF" w:color="auto" w:val="clear"/>
            <w:vAlign w:val="center"/>
          </w:tcPr>
          <w:p>
            <w:pPr>
              <w:spacing w:after="80" w:before="80"/>
            </w:pPr>
            <w:r>
              <w:rPr>
                <w:color w:val="1A1A2E"/>
                <w:sz w:val="20"/>
                <w:szCs w:val="20"/>
              </w:rPr>
              <w:t xml:space="preserve">Claude claude-sonnet-4-6 via Anthropic API</w:t>
            </w:r>
          </w:p>
        </w:tc>
        <w:tc>
          <w:tcPr>
            <w:tcW w:type="dxa" w:w="4560"/>
            <w:shd w:fill="F0F8FF" w:color="auto" w:val="clear"/>
            <w:vAlign w:val="center"/>
          </w:tcPr>
          <w:p>
            <w:pPr>
              <w:spacing w:after="80" w:before="80"/>
            </w:pPr>
            <w:r>
              <w:rPr>
                <w:color w:val="1A1A2E"/>
                <w:sz w:val="20"/>
                <w:szCs w:val="20"/>
              </w:rPr>
              <w:t xml:space="preserve">Tool-calling across all 6 agents + LLM inference inside MCP tools</w:t>
            </w:r>
          </w:p>
        </w:tc>
      </w:tr>
      <w:tr>
        <w:tc>
          <w:tcPr>
            <w:tcW w:type="dxa" w:w="2000"/>
            <w:shd w:fill="FFFFFF" w:color="auto" w:val="clear"/>
            <w:vAlign w:val="center"/>
          </w:tcPr>
          <w:p>
            <w:pPr>
              <w:spacing w:after="80" w:before="80"/>
            </w:pPr>
            <w:r>
              <w:rPr>
                <w:color w:val="1A1A2E"/>
                <w:sz w:val="20"/>
                <w:szCs w:val="20"/>
              </w:rPr>
              <w:t xml:space="preserve">Data — Subgraph</w:t>
            </w:r>
          </w:p>
        </w:tc>
        <w:tc>
          <w:tcPr>
            <w:tcW w:type="dxa" w:w="2800"/>
            <w:shd w:fill="FFFFFF" w:color="auto" w:val="clear"/>
            <w:vAlign w:val="center"/>
          </w:tcPr>
          <w:p>
            <w:pPr>
              <w:spacing w:after="80" w:before="80"/>
            </w:pPr>
            <w:r>
              <w:rPr>
                <w:color w:val="1A1A2E"/>
                <w:sz w:val="20"/>
                <w:szCs w:val="20"/>
              </w:rPr>
              <w:t xml:space="preserve">The Graph Subgraph Studio</w:t>
            </w:r>
          </w:p>
        </w:tc>
        <w:tc>
          <w:tcPr>
            <w:tcW w:type="dxa" w:w="4560"/>
            <w:shd w:fill="FFFFFF" w:color="auto" w:val="clear"/>
            <w:vAlign w:val="center"/>
          </w:tcPr>
          <w:p>
            <w:pPr>
              <w:spacing w:after="80" w:before="80"/>
            </w:pPr>
            <w:r>
              <w:rPr>
                <w:color w:val="1A1A2E"/>
                <w:sz w:val="20"/>
                <w:szCs w:val="20"/>
              </w:rPr>
              <w:t xml:space="preserve">100k free queries/month; ~17k used in hackathon — $0</w:t>
            </w:r>
          </w:p>
        </w:tc>
      </w:tr>
      <w:tr>
        <w:tc>
          <w:tcPr>
            <w:tcW w:type="dxa" w:w="2000"/>
            <w:shd w:fill="F0F8FF" w:color="auto" w:val="clear"/>
            <w:vAlign w:val="center"/>
          </w:tcPr>
          <w:p>
            <w:pPr>
              <w:spacing w:after="80" w:before="80"/>
            </w:pPr>
            <w:r>
              <w:rPr>
                <w:color w:val="1A1A2E"/>
                <w:sz w:val="20"/>
                <w:szCs w:val="20"/>
              </w:rPr>
              <w:t xml:space="preserve">Data — Schema</w:t>
            </w:r>
          </w:p>
        </w:tc>
        <w:tc>
          <w:tcPr>
            <w:tcW w:type="dxa" w:w="2800"/>
            <w:shd w:fill="F0F8FF" w:color="auto" w:val="clear"/>
            <w:vAlign w:val="center"/>
          </w:tcPr>
          <w:p>
            <w:pPr>
              <w:spacing w:after="80" w:before="80"/>
            </w:pPr>
            <w:r>
              <w:rPr>
                <w:color w:val="1A1A2E"/>
                <w:sz w:val="20"/>
                <w:szCs w:val="20"/>
              </w:rPr>
              <w:t xml:space="preserve">Messari Standardized Subgraphs</w:t>
            </w:r>
          </w:p>
        </w:tc>
        <w:tc>
          <w:tcPr>
            <w:tcW w:type="dxa" w:w="4560"/>
            <w:shd w:fill="F0F8FF" w:color="auto" w:val="clear"/>
            <w:vAlign w:val="center"/>
          </w:tcPr>
          <w:p>
            <w:pPr>
              <w:spacing w:after="80" w:before="80"/>
            </w:pPr>
            <w:r>
              <w:rPr>
                <w:color w:val="1A1A2E"/>
                <w:sz w:val="20"/>
                <w:szCs w:val="20"/>
              </w:rPr>
              <w:t xml:space="preserve">Single GraphQL schema spanning Uniswap, Aave, Compound, Curve</w:t>
            </w:r>
          </w:p>
        </w:tc>
      </w:tr>
      <w:tr>
        <w:tc>
          <w:tcPr>
            <w:tcW w:type="dxa" w:w="2000"/>
            <w:shd w:fill="FFFFFF" w:color="auto" w:val="clear"/>
            <w:vAlign w:val="center"/>
          </w:tcPr>
          <w:p>
            <w:pPr>
              <w:spacing w:after="80" w:before="80"/>
            </w:pPr>
            <w:r>
              <w:rPr>
                <w:color w:val="1A1A2E"/>
                <w:sz w:val="20"/>
                <w:szCs w:val="20"/>
              </w:rPr>
              <w:t xml:space="preserve">Data — Streams</w:t>
            </w:r>
          </w:p>
        </w:tc>
        <w:tc>
          <w:tcPr>
            <w:tcW w:type="dxa" w:w="2800"/>
            <w:shd w:fill="FFFFFF" w:color="auto" w:val="clear"/>
            <w:vAlign w:val="center"/>
          </w:tcPr>
          <w:p>
            <w:pPr>
              <w:spacing w:after="80" w:before="80"/>
            </w:pPr>
            <w:r>
              <w:rPr>
                <w:color w:val="1A1A2E"/>
                <w:sz w:val="20"/>
                <w:szCs w:val="20"/>
              </w:rPr>
              <w:t xml:space="preserve">The Graph Market (Substreams)</w:t>
            </w:r>
          </w:p>
        </w:tc>
        <w:tc>
          <w:tcPr>
            <w:tcW w:type="dxa" w:w="4560"/>
            <w:shd w:fill="FFFFFF" w:color="auto" w:val="clear"/>
            <w:vAlign w:val="center"/>
          </w:tcPr>
          <w:p>
            <w:pPr>
              <w:spacing w:after="80" w:before="80"/>
            </w:pPr>
            <w:r>
              <w:rPr>
                <w:color w:val="1A1A2E"/>
                <w:sz w:val="20"/>
                <w:szCs w:val="20"/>
              </w:rPr>
              <w:t xml:space="preserve">7M blocks + 5 GiB free; ~300k blocks used — $0</w:t>
            </w:r>
          </w:p>
        </w:tc>
      </w:tr>
      <w:tr>
        <w:tc>
          <w:tcPr>
            <w:tcW w:type="dxa" w:w="2000"/>
            <w:shd w:fill="F0F8FF" w:color="auto" w:val="clear"/>
            <w:vAlign w:val="center"/>
          </w:tcPr>
          <w:p>
            <w:pPr>
              <w:spacing w:after="80" w:before="80"/>
            </w:pPr>
            <w:r>
              <w:rPr>
                <w:color w:val="1A1A2E"/>
                <w:sz w:val="20"/>
                <w:szCs w:val="20"/>
              </w:rPr>
              <w:t xml:space="preserve">MCP Server</w:t>
            </w:r>
          </w:p>
        </w:tc>
        <w:tc>
          <w:tcPr>
            <w:tcW w:type="dxa" w:w="2800"/>
            <w:shd w:fill="F0F8FF" w:color="auto" w:val="clear"/>
            <w:vAlign w:val="center"/>
          </w:tcPr>
          <w:p>
            <w:pPr>
              <w:spacing w:after="80" w:before="80"/>
            </w:pPr>
            <w:r>
              <w:rPr>
                <w:color w:val="1A1A2E"/>
                <w:sz w:val="20"/>
                <w:szCs w:val="20"/>
              </w:rPr>
              <w:t xml:space="preserve">Python MCP SDK (HTTP/SSE mode)</w:t>
            </w:r>
          </w:p>
        </w:tc>
        <w:tc>
          <w:tcPr>
            <w:tcW w:type="dxa" w:w="4560"/>
            <w:shd w:fill="F0F8FF" w:color="auto" w:val="clear"/>
            <w:vAlign w:val="center"/>
          </w:tcPr>
          <w:p>
            <w:pPr>
              <w:spacing w:after="80" w:before="80"/>
            </w:pPr>
            <w:r>
              <w:rPr>
                <w:color w:val="1A1A2E"/>
                <w:sz w:val="20"/>
                <w:szCs w:val="20"/>
              </w:rPr>
              <w:t xml:space="preserve">Standalone server — any MCP agent can connect</w:t>
            </w:r>
          </w:p>
        </w:tc>
      </w:tr>
      <w:tr>
        <w:tc>
          <w:tcPr>
            <w:tcW w:type="dxa" w:w="2000"/>
            <w:shd w:fill="FFFFFF" w:color="auto" w:val="clear"/>
            <w:vAlign w:val="center"/>
          </w:tcPr>
          <w:p>
            <w:pPr>
              <w:spacing w:after="80" w:before="80"/>
            </w:pPr>
            <w:r>
              <w:rPr>
                <w:color w:val="1A1A2E"/>
                <w:sz w:val="20"/>
                <w:szCs w:val="20"/>
              </w:rPr>
              <w:t xml:space="preserve">x402 Payments</w:t>
            </w:r>
          </w:p>
        </w:tc>
        <w:tc>
          <w:tcPr>
            <w:tcW w:type="dxa" w:w="2800"/>
            <w:shd w:fill="FFFFFF" w:color="auto" w:val="clear"/>
            <w:vAlign w:val="center"/>
          </w:tcPr>
          <w:p>
            <w:pPr>
              <w:spacing w:after="80" w:before="80"/>
            </w:pPr>
            <w:r>
              <w:rPr>
                <w:color w:val="1A1A2E"/>
                <w:sz w:val="20"/>
                <w:szCs w:val="20"/>
              </w:rPr>
              <w:t xml:space="preserve">Hedera x402 + Blocky402</w:t>
            </w:r>
          </w:p>
        </w:tc>
        <w:tc>
          <w:tcPr>
            <w:tcW w:type="dxa" w:w="4560"/>
            <w:shd w:fill="FFFFFF" w:color="auto" w:val="clear"/>
            <w:vAlign w:val="center"/>
          </w:tcPr>
          <w:p>
            <w:pPr>
              <w:spacing w:after="80" w:before="80"/>
            </w:pPr>
            <w:r>
              <w:rPr>
                <w:color w:val="1A1A2E"/>
                <w:sz w:val="20"/>
                <w:szCs w:val="20"/>
              </w:rPr>
              <w:t xml:space="preserve">Per-tool HBAR micropayments, sub-3s finality on testnet</w:t>
            </w:r>
          </w:p>
        </w:tc>
      </w:tr>
      <w:tr>
        <w:tc>
          <w:tcPr>
            <w:tcW w:type="dxa" w:w="2000"/>
            <w:shd w:fill="F0F8FF" w:color="auto" w:val="clear"/>
            <w:vAlign w:val="center"/>
          </w:tcPr>
          <w:p>
            <w:pPr>
              <w:spacing w:after="80" w:before="80"/>
            </w:pPr>
            <w:r>
              <w:rPr>
                <w:color w:val="1A1A2E"/>
                <w:sz w:val="20"/>
                <w:szCs w:val="20"/>
              </w:rPr>
              <w:t xml:space="preserve">Payment Enrichment APIs</w:t>
            </w:r>
          </w:p>
        </w:tc>
        <w:tc>
          <w:tcPr>
            <w:tcW w:type="dxa" w:w="2800"/>
            <w:shd w:fill="F0F8FF" w:color="auto" w:val="clear"/>
            <w:vAlign w:val="center"/>
          </w:tcPr>
          <w:p>
            <w:pPr>
              <w:spacing w:after="80" w:before="80"/>
            </w:pPr>
            <w:r>
              <w:rPr>
                <w:color w:val="1A1A2E"/>
                <w:sz w:val="20"/>
                <w:szCs w:val="20"/>
              </w:rPr>
              <w:t xml:space="preserve">Etherscan (free) + CoinGecko (free) + Claude API</w:t>
            </w:r>
          </w:p>
        </w:tc>
        <w:tc>
          <w:tcPr>
            <w:tcW w:type="dxa" w:w="4560"/>
            <w:shd w:fill="F0F8FF" w:color="auto" w:val="clear"/>
            <w:vAlign w:val="center"/>
          </w:tcPr>
          <w:p>
            <w:pPr>
              <w:spacing w:after="80" w:before="80"/>
            </w:pPr>
            <w:r>
              <w:rPr>
                <w:color w:val="1A1A2E"/>
                <w:sz w:val="20"/>
                <w:szCs w:val="20"/>
              </w:rPr>
              <w:t xml:space="preserve">What the MCP tools call internally after payment confirmed</w:t>
            </w:r>
          </w:p>
        </w:tc>
      </w:tr>
      <w:tr>
        <w:tc>
          <w:tcPr>
            <w:tcW w:type="dxa" w:w="2000"/>
            <w:shd w:fill="FFFFFF" w:color="auto" w:val="clear"/>
            <w:vAlign w:val="center"/>
          </w:tcPr>
          <w:p>
            <w:pPr>
              <w:spacing w:after="80" w:before="80"/>
            </w:pPr>
            <w:r>
              <w:rPr>
                <w:color w:val="1A1A2E"/>
                <w:sz w:val="20"/>
                <w:szCs w:val="20"/>
              </w:rPr>
              <w:t xml:space="preserve">Audit Trail</w:t>
            </w:r>
          </w:p>
        </w:tc>
        <w:tc>
          <w:tcPr>
            <w:tcW w:type="dxa" w:w="2800"/>
            <w:shd w:fill="FFFFFF" w:color="auto" w:val="clear"/>
            <w:vAlign w:val="center"/>
          </w:tcPr>
          <w:p>
            <w:pPr>
              <w:spacing w:after="80" w:before="80"/>
            </w:pPr>
            <w:r>
              <w:rPr>
                <w:color w:val="1A1A2E"/>
                <w:sz w:val="20"/>
                <w:szCs w:val="20"/>
              </w:rPr>
              <w:t xml:space="preserve">Hedera Consensus Service (HCS)</w:t>
            </w:r>
          </w:p>
        </w:tc>
        <w:tc>
          <w:tcPr>
            <w:tcW w:type="dxa" w:w="4560"/>
            <w:shd w:fill="FFFFFF" w:color="auto" w:val="clear"/>
            <w:vAlign w:val="center"/>
          </w:tcPr>
          <w:p>
            <w:pPr>
              <w:spacing w:after="80" w:before="80"/>
            </w:pPr>
            <w:r>
              <w:rPr>
                <w:color w:val="1A1A2E"/>
                <w:sz w:val="20"/>
                <w:szCs w:val="20"/>
              </w:rPr>
              <w:t xml:space="preserve">Tamper-proof, block-timestamped action log</w:t>
            </w:r>
          </w:p>
        </w:tc>
      </w:tr>
      <w:tr>
        <w:tc>
          <w:tcPr>
            <w:tcW w:type="dxa" w:w="2000"/>
            <w:shd w:fill="F0F8FF" w:color="auto" w:val="clear"/>
            <w:vAlign w:val="center"/>
          </w:tcPr>
          <w:p>
            <w:pPr>
              <w:spacing w:after="80" w:before="80"/>
            </w:pPr>
            <w:r>
              <w:rPr>
                <w:color w:val="1A1A2E"/>
                <w:sz w:val="20"/>
                <w:szCs w:val="20"/>
              </w:rPr>
              <w:t xml:space="preserve">Agent Identity (Hedera)</w:t>
            </w:r>
          </w:p>
        </w:tc>
        <w:tc>
          <w:tcPr>
            <w:tcW w:type="dxa" w:w="2800"/>
            <w:shd w:fill="F0F8FF" w:color="auto" w:val="clear"/>
            <w:vAlign w:val="center"/>
          </w:tcPr>
          <w:p>
            <w:pPr>
              <w:spacing w:after="80" w:before="80"/>
            </w:pPr>
            <w:r>
              <w:rPr>
                <w:color w:val="1A1A2E"/>
                <w:sz w:val="20"/>
                <w:szCs w:val="20"/>
              </w:rPr>
              <w:t xml:space="preserve">ERC-8004</w:t>
            </w:r>
          </w:p>
        </w:tc>
        <w:tc>
          <w:tcPr>
            <w:tcW w:type="dxa" w:w="4560"/>
            <w:shd w:fill="F0F8FF" w:color="auto" w:val="clear"/>
            <w:vAlign w:val="center"/>
          </w:tcPr>
          <w:p>
            <w:pPr>
              <w:spacing w:after="80" w:before="80"/>
            </w:pPr>
            <w:r>
              <w:rPr>
                <w:color w:val="1A1A2E"/>
                <w:sz w:val="20"/>
                <w:szCs w:val="20"/>
              </w:rPr>
              <w:t xml:space="preserve">On-chain agent identity standard on Hedera testnet</w:t>
            </w:r>
          </w:p>
        </w:tc>
      </w:tr>
      <w:tr>
        <w:tc>
          <w:tcPr>
            <w:tcW w:type="dxa" w:w="2000"/>
            <w:shd w:fill="FFFFFF" w:color="auto" w:val="clear"/>
            <w:vAlign w:val="center"/>
          </w:tcPr>
          <w:p>
            <w:pPr>
              <w:spacing w:after="80" w:before="80"/>
            </w:pPr>
            <w:r>
              <w:rPr>
                <w:color w:val="1A1A2E"/>
                <w:sz w:val="20"/>
                <w:szCs w:val="20"/>
              </w:rPr>
              <w:t xml:space="preserve">Agent Identity (ENS)</w:t>
            </w:r>
          </w:p>
        </w:tc>
        <w:tc>
          <w:tcPr>
            <w:tcW w:type="dxa" w:w="2800"/>
            <w:shd w:fill="FFFFFF" w:color="auto" w:val="clear"/>
            <w:vAlign w:val="center"/>
          </w:tcPr>
          <w:p>
            <w:pPr>
              <w:spacing w:after="80" w:before="80"/>
            </w:pPr>
            <w:r>
              <w:rPr>
                <w:color w:val="1A1A2E"/>
                <w:sz w:val="20"/>
                <w:szCs w:val="20"/>
              </w:rPr>
              <w:t xml:space="preserve">ENSv2 on Sepolia</w:t>
            </w:r>
          </w:p>
        </w:tc>
        <w:tc>
          <w:tcPr>
            <w:tcW w:type="dxa" w:w="4560"/>
            <w:shd w:fill="FFFFFF" w:color="auto" w:val="clear"/>
            <w:vAlign w:val="center"/>
          </w:tcPr>
          <w:p>
            <w:pPr>
              <w:spacing w:after="80" w:before="80"/>
            </w:pPr>
            <w:r>
              <w:rPr>
                <w:color w:val="1A1A2E"/>
                <w:sz w:val="20"/>
                <w:szCs w:val="20"/>
              </w:rPr>
              <w:t xml:space="preserve">Permissioned Resolver + Enhanced Access Control per agent</w:t>
            </w:r>
          </w:p>
        </w:tc>
      </w:tr>
      <w:tr>
        <w:tc>
          <w:tcPr>
            <w:tcW w:type="dxa" w:w="2000"/>
            <w:shd w:fill="F0F8FF" w:color="auto" w:val="clear"/>
            <w:vAlign w:val="center"/>
          </w:tcPr>
          <w:p>
            <w:pPr>
              <w:spacing w:after="80" w:before="80"/>
            </w:pPr>
            <w:r>
              <w:rPr>
                <w:color w:val="1A1A2E"/>
                <w:sz w:val="20"/>
                <w:szCs w:val="20"/>
              </w:rPr>
              <w:t xml:space="preserve">Dashboard</w:t>
            </w:r>
          </w:p>
        </w:tc>
        <w:tc>
          <w:tcPr>
            <w:tcW w:type="dxa" w:w="2800"/>
            <w:shd w:fill="F0F8FF" w:color="auto" w:val="clear"/>
            <w:vAlign w:val="center"/>
          </w:tcPr>
          <w:p>
            <w:pPr>
              <w:spacing w:after="80" w:before="80"/>
            </w:pPr>
            <w:r>
              <w:rPr>
                <w:color w:val="1A1A2E"/>
                <w:sz w:val="20"/>
                <w:szCs w:val="20"/>
              </w:rPr>
              <w:t xml:space="preserve">Next.js + Tailwind CSS</w:t>
            </w:r>
          </w:p>
        </w:tc>
        <w:tc>
          <w:tcPr>
            <w:tcW w:type="dxa" w:w="4560"/>
            <w:shd w:fill="F0F8FF" w:color="auto" w:val="clear"/>
            <w:vAlign w:val="center"/>
          </w:tcPr>
          <w:p>
            <w:pPr>
              <w:spacing w:after="80" w:before="80"/>
            </w:pPr>
            <w:r>
              <w:rPr>
                <w:color w:val="1A1A2E"/>
                <w:sz w:val="20"/>
                <w:szCs w:val="20"/>
              </w:rPr>
              <w:t xml:space="preserve">4-panel read-only observer UI</w:t>
            </w:r>
          </w:p>
        </w:tc>
      </w:tr>
      <w:tr>
        <w:tc>
          <w:tcPr>
            <w:tcW w:type="dxa" w:w="2000"/>
            <w:shd w:fill="FFFFFF" w:color="auto" w:val="clear"/>
            <w:vAlign w:val="center"/>
          </w:tcPr>
          <w:p>
            <w:pPr>
              <w:spacing w:after="80" w:before="80"/>
            </w:pPr>
            <w:r>
              <w:rPr>
                <w:color w:val="1A1A2E"/>
                <w:sz w:val="20"/>
                <w:szCs w:val="20"/>
              </w:rPr>
              <w:t xml:space="preserve">Dashboard Feed</w:t>
            </w:r>
          </w:p>
        </w:tc>
        <w:tc>
          <w:tcPr>
            <w:tcW w:type="dxa" w:w="2800"/>
            <w:shd w:fill="FFFFFF" w:color="auto" w:val="clear"/>
            <w:vAlign w:val="center"/>
          </w:tcPr>
          <w:p>
            <w:pPr>
              <w:spacing w:after="80" w:before="80"/>
            </w:pPr>
            <w:r>
              <w:rPr>
                <w:color w:val="1A1A2E"/>
                <w:sz w:val="20"/>
                <w:szCs w:val="20"/>
              </w:rPr>
              <w:t xml:space="preserve">Python websockets + React hooks</w:t>
            </w:r>
          </w:p>
        </w:tc>
        <w:tc>
          <w:tcPr>
            <w:tcW w:type="dxa" w:w="4560"/>
            <w:shd w:fill="FFFFFF" w:color="auto" w:val="clear"/>
            <w:vAlign w:val="center"/>
          </w:tcPr>
          <w:p>
            <w:pPr>
              <w:spacing w:after="80" w:before="80"/>
            </w:pPr>
            <w:r>
              <w:rPr>
                <w:color w:val="1A1A2E"/>
                <w:sz w:val="20"/>
                <w:szCs w:val="20"/>
              </w:rPr>
              <w:t xml:space="preserve">Typed events: SIGNAL, TRACE, PAYMENT, AUDIT</w:t>
            </w:r>
          </w:p>
        </w:tc>
      </w:tr>
      <w:tr>
        <w:tc>
          <w:tcPr>
            <w:tcW w:type="dxa" w:w="2000"/>
            <w:shd w:fill="F0F8FF" w:color="auto" w:val="clear"/>
            <w:vAlign w:val="center"/>
          </w:tcPr>
          <w:p>
            <w:pPr>
              <w:spacing w:after="80" w:before="80"/>
            </w:pPr>
            <w:r>
              <w:rPr>
                <w:color w:val="1A1A2E"/>
                <w:sz w:val="20"/>
                <w:szCs w:val="20"/>
              </w:rPr>
              <w:t xml:space="preserve">Testing</w:t>
            </w:r>
          </w:p>
        </w:tc>
        <w:tc>
          <w:tcPr>
            <w:tcW w:type="dxa" w:w="2800"/>
            <w:shd w:fill="F0F8FF" w:color="auto" w:val="clear"/>
            <w:vAlign w:val="center"/>
          </w:tcPr>
          <w:p>
            <w:pPr>
              <w:spacing w:after="80" w:before="80"/>
            </w:pPr>
            <w:r>
              <w:rPr>
                <w:color w:val="1A1A2E"/>
                <w:sz w:val="20"/>
                <w:szCs w:val="20"/>
              </w:rPr>
              <w:t xml:space="preserve">pytest + Hardhat fork</w:t>
            </w:r>
          </w:p>
        </w:tc>
        <w:tc>
          <w:tcPr>
            <w:tcW w:type="dxa" w:w="4560"/>
            <w:shd w:fill="F0F8FF" w:color="auto" w:val="clear"/>
            <w:vAlign w:val="center"/>
          </w:tcPr>
          <w:p>
            <w:pPr>
              <w:spacing w:after="80" w:before="80"/>
            </w:pPr>
            <w:r>
              <w:rPr>
                <w:color w:val="1A1A2E"/>
                <w:sz w:val="20"/>
                <w:szCs w:val="20"/>
              </w:rPr>
              <w:t xml:space="preserve">Local fork for execution simulation; MCP tool unit tests</w:t>
            </w:r>
          </w:p>
        </w:tc>
      </w:tr>
    </w:tbl>
    <w:p>
      <w:r>
        <w:br w:type="page"/>
      </w:r>
    </w:p>
    <w:p>
      <w:pPr>
        <w:pStyle w:val="Heading1"/>
        <w:spacing w:after="160" w:before="320"/>
      </w:pPr>
      <w:r>
        <w:rPr>
          <w:b/>
          <w:bCs/>
          <w:color w:val="1A1A2E"/>
        </w:rPr>
        <w:t xml:space="preserve">6. Deployment Pipeline</w:t>
      </w:r>
    </w:p>
    <w:p>
      <w:pPr>
        <w:pBdr>
          <w:bottom w:val="single" w:color="00D4FF" w:sz="6"/>
        </w:pBdr>
        <w:spacing w:after="200" w:before="200"/>
      </w:pPr>
      <w:r>
        <w:t xml:space="preserve"/>
      </w:r>
    </w:p>
    <w:p>
      <w:pPr>
        <w:pStyle w:val="Heading2"/>
        <w:spacing w:after="160" w:before="320"/>
      </w:pPr>
      <w:r>
        <w:rPr>
          <w:b/>
          <w:bCs/>
          <w:color w:val="7B2FBE"/>
        </w:rPr>
        <w:t xml:space="preserve">6.1  Environment Variables</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400"/>
        <w:gridCol w:w="3200"/>
        <w:gridCol w:w="3760"/>
      </w:tblGrid>
      <w:tr>
        <w:tc>
          <w:tcPr>
            <w:tcW w:type="dxa" w:w="2400"/>
            <w:shd w:fill="0F3460" w:color="auto" w:val="clear"/>
            <w:vAlign w:val="center"/>
          </w:tcPr>
          <w:p>
            <w:pPr>
              <w:spacing w:after="80" w:before="80"/>
              <w:jc w:val="left"/>
            </w:pPr>
            <w:r>
              <w:rPr>
                <w:b/>
                <w:bCs/>
                <w:color w:val="FFFFFF"/>
                <w:sz w:val="20"/>
                <w:szCs w:val="20"/>
              </w:rPr>
              <w:t xml:space="preserve">Variable</w:t>
            </w:r>
          </w:p>
        </w:tc>
        <w:tc>
          <w:tcPr>
            <w:tcW w:type="dxa" w:w="3200"/>
            <w:shd w:fill="0F3460" w:color="auto" w:val="clear"/>
            <w:vAlign w:val="center"/>
          </w:tcPr>
          <w:p>
            <w:pPr>
              <w:spacing w:after="80" w:before="80"/>
              <w:jc w:val="left"/>
            </w:pPr>
            <w:r>
              <w:rPr>
                <w:b/>
                <w:bCs/>
                <w:color w:val="FFFFFF"/>
                <w:sz w:val="20"/>
                <w:szCs w:val="20"/>
              </w:rPr>
              <w:t xml:space="preserve">Where to Get It</w:t>
            </w:r>
          </w:p>
        </w:tc>
        <w:tc>
          <w:tcPr>
            <w:tcW w:type="dxa" w:w="3760"/>
            <w:shd w:fill="0F3460" w:color="auto" w:val="clear"/>
            <w:vAlign w:val="center"/>
          </w:tcPr>
          <w:p>
            <w:pPr>
              <w:spacing w:after="80" w:before="80"/>
              <w:jc w:val="left"/>
            </w:pPr>
            <w:r>
              <w:rPr>
                <w:b/>
                <w:bCs/>
                <w:color w:val="FFFFFF"/>
                <w:sz w:val="20"/>
                <w:szCs w:val="20"/>
              </w:rPr>
              <w:t xml:space="preserve">Cost</w:t>
            </w:r>
          </w:p>
        </w:tc>
      </w:tr>
      <w:tr>
        <w:tc>
          <w:tcPr>
            <w:tcW w:type="dxa" w:w="2400"/>
            <w:shd w:fill="FFFFFF" w:color="auto" w:val="clear"/>
            <w:vAlign w:val="center"/>
          </w:tcPr>
          <w:p>
            <w:pPr>
              <w:spacing w:after="80" w:before="80"/>
            </w:pPr>
            <w:r>
              <w:rPr>
                <w:color w:val="1A1A2E"/>
                <w:sz w:val="20"/>
                <w:szCs w:val="20"/>
              </w:rPr>
              <w:t xml:space="preserve">GRAPH_API_KEY</w:t>
            </w:r>
          </w:p>
        </w:tc>
        <w:tc>
          <w:tcPr>
            <w:tcW w:type="dxa" w:w="3200"/>
            <w:shd w:fill="FFFFFF" w:color="auto" w:val="clear"/>
            <w:vAlign w:val="center"/>
          </w:tcPr>
          <w:p>
            <w:pPr>
              <w:spacing w:after="80" w:before="80"/>
            </w:pPr>
            <w:r>
              <w:rPr>
                <w:color w:val="1A1A2E"/>
                <w:sz w:val="20"/>
                <w:szCs w:val="20"/>
              </w:rPr>
              <w:t xml:space="preserve">Subgraph Studio → API Keys tab</w:t>
            </w:r>
          </w:p>
        </w:tc>
        <w:tc>
          <w:tcPr>
            <w:tcW w:type="dxa" w:w="3760"/>
            <w:shd w:fill="FFFFFF" w:color="auto" w:val="clear"/>
            <w:vAlign w:val="center"/>
          </w:tcPr>
          <w:p>
            <w:pPr>
              <w:spacing w:after="80" w:before="80"/>
            </w:pPr>
            <w:r>
              <w:rPr>
                <w:color w:val="1A1A2E"/>
                <w:sz w:val="20"/>
                <w:szCs w:val="20"/>
              </w:rPr>
              <w:t xml:space="preserve">Free (100k q/month)</w:t>
            </w:r>
          </w:p>
        </w:tc>
      </w:tr>
      <w:tr>
        <w:tc>
          <w:tcPr>
            <w:tcW w:type="dxa" w:w="2400"/>
            <w:shd w:fill="F0F8FF" w:color="auto" w:val="clear"/>
            <w:vAlign w:val="center"/>
          </w:tcPr>
          <w:p>
            <w:pPr>
              <w:spacing w:after="80" w:before="80"/>
            </w:pPr>
            <w:r>
              <w:rPr>
                <w:color w:val="1A1A2E"/>
                <w:sz w:val="20"/>
                <w:szCs w:val="20"/>
              </w:rPr>
              <w:t xml:space="preserve">GRAPH_MARKET_TOKEN</w:t>
            </w:r>
          </w:p>
        </w:tc>
        <w:tc>
          <w:tcPr>
            <w:tcW w:type="dxa" w:w="3200"/>
            <w:shd w:fill="F0F8FF" w:color="auto" w:val="clear"/>
            <w:vAlign w:val="center"/>
          </w:tcPr>
          <w:p>
            <w:pPr>
              <w:spacing w:after="80" w:before="80"/>
            </w:pPr>
            <w:r>
              <w:rPr>
                <w:color w:val="1A1A2E"/>
                <w:sz w:val="20"/>
                <w:szCs w:val="20"/>
              </w:rPr>
              <w:t xml:space="preserve">thegraph.market → account → token</w:t>
            </w:r>
          </w:p>
        </w:tc>
        <w:tc>
          <w:tcPr>
            <w:tcW w:type="dxa" w:w="3760"/>
            <w:shd w:fill="F0F8FF" w:color="auto" w:val="clear"/>
            <w:vAlign w:val="center"/>
          </w:tcPr>
          <w:p>
            <w:pPr>
              <w:spacing w:after="80" w:before="80"/>
            </w:pPr>
            <w:r>
              <w:rPr>
                <w:color w:val="1A1A2E"/>
                <w:sz w:val="20"/>
                <w:szCs w:val="20"/>
              </w:rPr>
              <w:t xml:space="preserve">Free (7M blocks + 5 GiB)</w:t>
            </w:r>
          </w:p>
        </w:tc>
      </w:tr>
      <w:tr>
        <w:tc>
          <w:tcPr>
            <w:tcW w:type="dxa" w:w="2400"/>
            <w:shd w:fill="FFFFFF" w:color="auto" w:val="clear"/>
            <w:vAlign w:val="center"/>
          </w:tcPr>
          <w:p>
            <w:pPr>
              <w:spacing w:after="80" w:before="80"/>
            </w:pPr>
            <w:r>
              <w:rPr>
                <w:color w:val="1A1A2E"/>
                <w:sz w:val="20"/>
                <w:szCs w:val="20"/>
              </w:rPr>
              <w:t xml:space="preserve">HEDERA_ACCOUNT_ID</w:t>
            </w:r>
          </w:p>
        </w:tc>
        <w:tc>
          <w:tcPr>
            <w:tcW w:type="dxa" w:w="3200"/>
            <w:shd w:fill="FFFFFF" w:color="auto" w:val="clear"/>
            <w:vAlign w:val="center"/>
          </w:tcPr>
          <w:p>
            <w:pPr>
              <w:spacing w:after="80" w:before="80"/>
            </w:pPr>
            <w:r>
              <w:rPr>
                <w:color w:val="1A1A2E"/>
                <w:sz w:val="20"/>
                <w:szCs w:val="20"/>
              </w:rPr>
              <w:t xml:space="preserve">Hedera Testnet Portal</w:t>
            </w:r>
          </w:p>
        </w:tc>
        <w:tc>
          <w:tcPr>
            <w:tcW w:type="dxa" w:w="3760"/>
            <w:shd w:fill="FFFFFF" w:color="auto" w:val="clear"/>
            <w:vAlign w:val="center"/>
          </w:tcPr>
          <w:p>
            <w:pPr>
              <w:spacing w:after="80" w:before="80"/>
            </w:pPr>
            <w:r>
              <w:rPr>
                <w:color w:val="1A1A2E"/>
                <w:sz w:val="20"/>
                <w:szCs w:val="20"/>
              </w:rPr>
              <w:t xml:space="preserve">Free testnet</w:t>
            </w:r>
          </w:p>
        </w:tc>
      </w:tr>
      <w:tr>
        <w:tc>
          <w:tcPr>
            <w:tcW w:type="dxa" w:w="2400"/>
            <w:shd w:fill="F0F8FF" w:color="auto" w:val="clear"/>
            <w:vAlign w:val="center"/>
          </w:tcPr>
          <w:p>
            <w:pPr>
              <w:spacing w:after="80" w:before="80"/>
            </w:pPr>
            <w:r>
              <w:rPr>
                <w:color w:val="1A1A2E"/>
                <w:sz w:val="20"/>
                <w:szCs w:val="20"/>
              </w:rPr>
              <w:t xml:space="preserve">HEDERA_PRIVATE_KEY</w:t>
            </w:r>
          </w:p>
        </w:tc>
        <w:tc>
          <w:tcPr>
            <w:tcW w:type="dxa" w:w="3200"/>
            <w:shd w:fill="F0F8FF" w:color="auto" w:val="clear"/>
            <w:vAlign w:val="center"/>
          </w:tcPr>
          <w:p>
            <w:pPr>
              <w:spacing w:after="80" w:before="80"/>
            </w:pPr>
            <w:r>
              <w:rPr>
                <w:color w:val="1A1A2E"/>
                <w:sz w:val="20"/>
                <w:szCs w:val="20"/>
              </w:rPr>
              <w:t xml:space="preserve">Hedera Testnet Portal</w:t>
            </w:r>
          </w:p>
        </w:tc>
        <w:tc>
          <w:tcPr>
            <w:tcW w:type="dxa" w:w="3760"/>
            <w:shd w:fill="F0F8FF" w:color="auto" w:val="clear"/>
            <w:vAlign w:val="center"/>
          </w:tcPr>
          <w:p>
            <w:pPr>
              <w:spacing w:after="80" w:before="80"/>
            </w:pPr>
            <w:r>
              <w:rPr>
                <w:color w:val="1A1A2E"/>
                <w:sz w:val="20"/>
                <w:szCs w:val="20"/>
              </w:rPr>
              <w:t xml:space="preserve">Free testnet</w:t>
            </w:r>
          </w:p>
        </w:tc>
      </w:tr>
      <w:tr>
        <w:tc>
          <w:tcPr>
            <w:tcW w:type="dxa" w:w="2400"/>
            <w:shd w:fill="FFFFFF" w:color="auto" w:val="clear"/>
            <w:vAlign w:val="center"/>
          </w:tcPr>
          <w:p>
            <w:pPr>
              <w:spacing w:after="80" w:before="80"/>
            </w:pPr>
            <w:r>
              <w:rPr>
                <w:color w:val="1A1A2E"/>
                <w:sz w:val="20"/>
                <w:szCs w:val="20"/>
              </w:rPr>
              <w:t xml:space="preserve">ANTHROPIC_API_KEY</w:t>
            </w:r>
          </w:p>
        </w:tc>
        <w:tc>
          <w:tcPr>
            <w:tcW w:type="dxa" w:w="3200"/>
            <w:shd w:fill="FFFFFF" w:color="auto" w:val="clear"/>
            <w:vAlign w:val="center"/>
          </w:tcPr>
          <w:p>
            <w:pPr>
              <w:spacing w:after="80" w:before="80"/>
            </w:pPr>
            <w:r>
              <w:rPr>
                <w:color w:val="1A1A2E"/>
                <w:sz w:val="20"/>
                <w:szCs w:val="20"/>
              </w:rPr>
              <w:t xml:space="preserve">console.anthropic.com</w:t>
            </w:r>
          </w:p>
        </w:tc>
        <w:tc>
          <w:tcPr>
            <w:tcW w:type="dxa" w:w="3760"/>
            <w:shd w:fill="FFFFFF" w:color="auto" w:val="clear"/>
            <w:vAlign w:val="center"/>
          </w:tcPr>
          <w:p>
            <w:pPr>
              <w:spacing w:after="80" w:before="80"/>
            </w:pPr>
            <w:r>
              <w:rPr>
                <w:color w:val="1A1A2E"/>
                <w:sz w:val="20"/>
                <w:szCs w:val="20"/>
              </w:rPr>
              <w:t xml:space="preserve">Pay per token — minimal for hackathon</w:t>
            </w:r>
          </w:p>
        </w:tc>
      </w:tr>
      <w:tr>
        <w:tc>
          <w:tcPr>
            <w:tcW w:type="dxa" w:w="2400"/>
            <w:shd w:fill="F0F8FF" w:color="auto" w:val="clear"/>
            <w:vAlign w:val="center"/>
          </w:tcPr>
          <w:p>
            <w:pPr>
              <w:spacing w:after="80" w:before="80"/>
            </w:pPr>
            <w:r>
              <w:rPr>
                <w:color w:val="1A1A2E"/>
                <w:sz w:val="20"/>
                <w:szCs w:val="20"/>
              </w:rPr>
              <w:t xml:space="preserve">ETHERSCAN_API_KEY</w:t>
            </w:r>
          </w:p>
        </w:tc>
        <w:tc>
          <w:tcPr>
            <w:tcW w:type="dxa" w:w="3200"/>
            <w:shd w:fill="F0F8FF" w:color="auto" w:val="clear"/>
            <w:vAlign w:val="center"/>
          </w:tcPr>
          <w:p>
            <w:pPr>
              <w:spacing w:after="80" w:before="80"/>
            </w:pPr>
            <w:r>
              <w:rPr>
                <w:color w:val="1A1A2E"/>
                <w:sz w:val="20"/>
                <w:szCs w:val="20"/>
              </w:rPr>
              <w:t xml:space="preserve">etherscan.io/apis</w:t>
            </w:r>
          </w:p>
        </w:tc>
        <w:tc>
          <w:tcPr>
            <w:tcW w:type="dxa" w:w="3760"/>
            <w:shd w:fill="F0F8FF" w:color="auto" w:val="clear"/>
            <w:vAlign w:val="center"/>
          </w:tcPr>
          <w:p>
            <w:pPr>
              <w:spacing w:after="80" w:before="80"/>
            </w:pPr>
            <w:r>
              <w:rPr>
                <w:color w:val="1A1A2E"/>
                <w:sz w:val="20"/>
                <w:szCs w:val="20"/>
              </w:rPr>
              <w:t xml:space="preserve">Free tier (5 calls/sec)</w:t>
            </w:r>
          </w:p>
        </w:tc>
      </w:tr>
      <w:tr>
        <w:tc>
          <w:tcPr>
            <w:tcW w:type="dxa" w:w="2400"/>
            <w:shd w:fill="FFFFFF" w:color="auto" w:val="clear"/>
            <w:vAlign w:val="center"/>
          </w:tcPr>
          <w:p>
            <w:pPr>
              <w:spacing w:after="80" w:before="80"/>
            </w:pPr>
            <w:r>
              <w:rPr>
                <w:color w:val="1A1A2E"/>
                <w:sz w:val="20"/>
                <w:szCs w:val="20"/>
              </w:rPr>
              <w:t xml:space="preserve">COINGECKO_API_KEY</w:t>
            </w:r>
          </w:p>
        </w:tc>
        <w:tc>
          <w:tcPr>
            <w:tcW w:type="dxa" w:w="3200"/>
            <w:shd w:fill="FFFFFF" w:color="auto" w:val="clear"/>
            <w:vAlign w:val="center"/>
          </w:tcPr>
          <w:p>
            <w:pPr>
              <w:spacing w:after="80" w:before="80"/>
            </w:pPr>
            <w:r>
              <w:rPr>
                <w:color w:val="1A1A2E"/>
                <w:sz w:val="20"/>
                <w:szCs w:val="20"/>
              </w:rPr>
              <w:t xml:space="preserve">coingecko.com/en/api</w:t>
            </w:r>
          </w:p>
        </w:tc>
        <w:tc>
          <w:tcPr>
            <w:tcW w:type="dxa" w:w="3760"/>
            <w:shd w:fill="FFFFFF" w:color="auto" w:val="clear"/>
            <w:vAlign w:val="center"/>
          </w:tcPr>
          <w:p>
            <w:pPr>
              <w:spacing w:after="80" w:before="80"/>
            </w:pPr>
            <w:r>
              <w:rPr>
                <w:color w:val="1A1A2E"/>
                <w:sz w:val="20"/>
                <w:szCs w:val="20"/>
              </w:rPr>
              <w:t xml:space="preserve">Free tier (30 calls/min)</w:t>
            </w:r>
          </w:p>
        </w:tc>
      </w:tr>
      <w:tr>
        <w:tc>
          <w:tcPr>
            <w:tcW w:type="dxa" w:w="2400"/>
            <w:shd w:fill="F0F8FF" w:color="auto" w:val="clear"/>
            <w:vAlign w:val="center"/>
          </w:tcPr>
          <w:p>
            <w:pPr>
              <w:spacing w:after="80" w:before="80"/>
            </w:pPr>
            <w:r>
              <w:rPr>
                <w:color w:val="1A1A2E"/>
                <w:sz w:val="20"/>
                <w:szCs w:val="20"/>
              </w:rPr>
              <w:t xml:space="preserve">ENS_PRIVATE_KEY</w:t>
            </w:r>
          </w:p>
        </w:tc>
        <w:tc>
          <w:tcPr>
            <w:tcW w:type="dxa" w:w="3200"/>
            <w:shd w:fill="F0F8FF" w:color="auto" w:val="clear"/>
            <w:vAlign w:val="center"/>
          </w:tcPr>
          <w:p>
            <w:pPr>
              <w:spacing w:after="80" w:before="80"/>
            </w:pPr>
            <w:r>
              <w:rPr>
                <w:color w:val="1A1A2E"/>
                <w:sz w:val="20"/>
                <w:szCs w:val="20"/>
              </w:rPr>
              <w:t xml:space="preserve">Sepolia wallet with test ETH</w:t>
            </w:r>
          </w:p>
        </w:tc>
        <w:tc>
          <w:tcPr>
            <w:tcW w:type="dxa" w:w="3760"/>
            <w:shd w:fill="F0F8FF" w:color="auto" w:val="clear"/>
            <w:vAlign w:val="center"/>
          </w:tcPr>
          <w:p>
            <w:pPr>
              <w:spacing w:after="80" w:before="80"/>
            </w:pPr>
            <w:r>
              <w:rPr>
                <w:color w:val="1A1A2E"/>
                <w:sz w:val="20"/>
                <w:szCs w:val="20"/>
              </w:rPr>
              <w:t xml:space="preserve">Free from Sepolia faucet</w:t>
            </w:r>
          </w:p>
        </w:tc>
      </w:tr>
    </w:tbl>
    <w:p>
      <w:pPr>
        <w:spacing w:after="160" w:before="160"/>
      </w:pPr>
      <w:r>
        <w:t xml:space="preserve"/>
      </w:r>
    </w:p>
    <w:p>
      <w:pPr>
        <w:pStyle w:val="Heading2"/>
        <w:spacing w:after="160" w:before="320"/>
      </w:pPr>
      <w:r>
        <w:rPr>
          <w:b/>
          <w:bCs/>
          <w:color w:val="7B2FBE"/>
        </w:rPr>
        <w:t xml:space="preserve">6.2  Startup Sequence (4 Terminals)</w:t>
      </w:r>
    </w:p>
    <w:p>
      <w:pPr>
        <w:spacing w:after="120" w:before="120"/>
      </w:pPr>
      <w:r>
        <w:rPr>
          <w:rFonts w:ascii="Courier New" w:cs="Courier New" w:eastAsia="Courier New" w:hAnsi="Courier New"/>
          <w:color w:val="1A1A2E"/>
          <w:sz w:val="17"/>
          <w:szCs w:val="17"/>
        </w:rPr>
        <w:t xml:space="preserve"># Terminal 1 — x402-Gated MCP Server
cd mcp_server
python server.py \
  --host 0.0.0.0 --port 8080 \
  --facilitator blocky402 \
  --network testnet
# Terminal 2 — RIA Agent Pipeline + WebSocket server
python pipeline/runner.py \
  --mode live \
  --networks ethereum,arbitrum,polygon \
  --risk-threshold 0.65 \
  --budget-hbar 10 \
  --interval 30 \
  --ws-port 3001 \
  --mcp-server http://localhost:8080
# Terminal 3 — Next.js Dashboard
cd dashboard &amp;&amp; npm run dev
# Open http://localhost:3000
# Terminal 4 — Watch HCS audit trail live
python hedera/hcs_logger.py --follow --topic &lt;TOPIC_ID&gt;</w:t>
      </w:r>
    </w:p>
    <w:p>
      <w:pPr>
        <w:spacing w:after="160" w:before="160"/>
      </w:pPr>
      <w:r>
        <w:t xml:space="preserve"/>
      </w:r>
    </w:p>
    <w:p>
      <w:pPr>
        <w:pStyle w:val="Heading2"/>
        <w:spacing w:after="160" w:before="320"/>
      </w:pPr>
      <w:r>
        <w:rPr>
          <w:b/>
          <w:bCs/>
          <w:color w:val="7B2FBE"/>
        </w:rPr>
        <w:t xml:space="preserve">6.3  Hackathon Deployment Checklist</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4800"/>
        <w:gridCol w:w="2400"/>
        <w:gridCol w:w="760"/>
      </w:tblGrid>
      <w:tr>
        <w:tc>
          <w:tcPr>
            <w:tcW w:type="dxa" w:w="4800"/>
            <w:shd w:fill="0F3460" w:color="auto" w:val="clear"/>
            <w:vAlign w:val="center"/>
          </w:tcPr>
          <w:p>
            <w:pPr>
              <w:spacing w:after="80" w:before="80"/>
              <w:jc w:val="left"/>
            </w:pPr>
            <w:r>
              <w:rPr>
                <w:b/>
                <w:bCs/>
                <w:color w:val="FFFFFF"/>
                <w:sz w:val="20"/>
                <w:szCs w:val="20"/>
              </w:rPr>
              <w:t xml:space="preserve">Item</w:t>
            </w:r>
          </w:p>
        </w:tc>
        <w:tc>
          <w:tcPr>
            <w:tcW w:type="dxa" w:w="2400"/>
            <w:shd w:fill="0F3460" w:color="auto" w:val="clear"/>
            <w:vAlign w:val="center"/>
          </w:tcPr>
          <w:p>
            <w:pPr>
              <w:spacing w:after="80" w:before="80"/>
              <w:jc w:val="left"/>
            </w:pPr>
            <w:r>
              <w:rPr>
                <w:b/>
                <w:bCs/>
                <w:color w:val="FFFFFF"/>
                <w:sz w:val="20"/>
                <w:szCs w:val="20"/>
              </w:rPr>
              <w:t xml:space="preserve">Target</w:t>
            </w:r>
          </w:p>
        </w:tc>
        <w:tc>
          <w:tcPr>
            <w:tcW w:type="dxa" w:w="760"/>
            <w:shd w:fill="0F3460" w:color="auto" w:val="clear"/>
            <w:vAlign w:val="center"/>
          </w:tcPr>
          <w:p>
            <w:pPr>
              <w:spacing w:after="80" w:before="80"/>
              <w:jc w:val="left"/>
            </w:pPr>
            <w:r>
              <w:rPr>
                <w:b/>
                <w:bCs/>
                <w:color w:val="FFFFFF"/>
                <w:sz w:val="20"/>
                <w:szCs w:val="20"/>
              </w:rPr>
              <w:t xml:space="preserve">✓</w:t>
            </w:r>
          </w:p>
        </w:tc>
      </w:tr>
      <w:tr>
        <w:tc>
          <w:tcPr>
            <w:tcW w:type="dxa" w:w="4800"/>
            <w:shd w:fill="FFFFFF" w:color="auto" w:val="clear"/>
            <w:vAlign w:val="center"/>
          </w:tcPr>
          <w:p>
            <w:pPr>
              <w:spacing w:after="80" w:before="80"/>
            </w:pPr>
            <w:r>
              <w:rPr>
                <w:color w:val="1A1A2E"/>
                <w:sz w:val="20"/>
                <w:szCs w:val="20"/>
              </w:rPr>
              <w:t xml:space="preserve">Subgraph Studio API key live, querying Uniswap + Aave</w:t>
            </w:r>
          </w:p>
        </w:tc>
        <w:tc>
          <w:tcPr>
            <w:tcW w:type="dxa" w:w="2400"/>
            <w:shd w:fill="FFFFFF" w:color="auto" w:val="clear"/>
            <w:vAlign w:val="center"/>
          </w:tcPr>
          <w:p>
            <w:pPr>
              <w:spacing w:after="80" w:before="80"/>
            </w:pPr>
            <w:r>
              <w:rPr>
                <w:color w:val="1A1A2E"/>
                <w:sz w:val="20"/>
                <w:szCs w:val="20"/>
              </w:rPr>
              <w:t xml:space="preserve">The Graph Network</w:t>
            </w:r>
          </w:p>
        </w:tc>
        <w:tc>
          <w:tcPr>
            <w:tcW w:type="dxa" w:w="760"/>
            <w:shd w:fill="FFFFFF" w:color="auto" w:val="clear"/>
            <w:vAlign w:val="center"/>
          </w:tcPr>
          <w:p>
            <w:pPr>
              <w:spacing w:after="80" w:before="80"/>
            </w:pPr>
            <w:r>
              <w:rPr>
                <w:color w:val="1A1A2E"/>
                <w:sz w:val="20"/>
                <w:szCs w:val="20"/>
              </w:rPr>
              <w:t xml:space="preserve">☐</w:t>
            </w:r>
          </w:p>
        </w:tc>
      </w:tr>
      <w:tr>
        <w:tc>
          <w:tcPr>
            <w:tcW w:type="dxa" w:w="4800"/>
            <w:shd w:fill="F0F8FF" w:color="auto" w:val="clear"/>
            <w:vAlign w:val="center"/>
          </w:tcPr>
          <w:p>
            <w:pPr>
              <w:spacing w:after="80" w:before="80"/>
            </w:pPr>
            <w:r>
              <w:rPr>
                <w:color w:val="1A1A2E"/>
                <w:sz w:val="20"/>
                <w:szCs w:val="20"/>
              </w:rPr>
              <w:t xml:space="preserve">Messari Standardized Subgraphs queries returning normalized data</w:t>
            </w:r>
          </w:p>
        </w:tc>
        <w:tc>
          <w:tcPr>
            <w:tcW w:type="dxa" w:w="2400"/>
            <w:shd w:fill="F0F8FF" w:color="auto" w:val="clear"/>
            <w:vAlign w:val="center"/>
          </w:tcPr>
          <w:p>
            <w:pPr>
              <w:spacing w:after="80" w:before="80"/>
            </w:pPr>
            <w:r>
              <w:rPr>
                <w:color w:val="1A1A2E"/>
                <w:sz w:val="20"/>
                <w:szCs w:val="20"/>
              </w:rPr>
              <w:t xml:space="preserve">Subgraph Studio</w:t>
            </w:r>
          </w:p>
        </w:tc>
        <w:tc>
          <w:tcPr>
            <w:tcW w:type="dxa" w:w="760"/>
            <w:shd w:fill="F0F8FF" w:color="auto" w:val="clear"/>
            <w:vAlign w:val="center"/>
          </w:tcPr>
          <w:p>
            <w:pPr>
              <w:spacing w:after="80" w:before="80"/>
            </w:pPr>
            <w:r>
              <w:rPr>
                <w:color w:val="1A1A2E"/>
                <w:sz w:val="20"/>
                <w:szCs w:val="20"/>
              </w:rPr>
              <w:t xml:space="preserve">☐</w:t>
            </w:r>
          </w:p>
        </w:tc>
      </w:tr>
      <w:tr>
        <w:tc>
          <w:tcPr>
            <w:tcW w:type="dxa" w:w="4800"/>
            <w:shd w:fill="FFFFFF" w:color="auto" w:val="clear"/>
            <w:vAlign w:val="center"/>
          </w:tcPr>
          <w:p>
            <w:pPr>
              <w:spacing w:after="80" w:before="80"/>
            </w:pPr>
            <w:r>
              <w:rPr>
                <w:color w:val="1A1A2E"/>
                <w:sz w:val="20"/>
                <w:szCs w:val="20"/>
              </w:rPr>
              <w:t xml:space="preserve">Substreams pipeline subscribed to ETH mainnet liquidation events</w:t>
            </w:r>
          </w:p>
        </w:tc>
        <w:tc>
          <w:tcPr>
            <w:tcW w:type="dxa" w:w="2400"/>
            <w:shd w:fill="FFFFFF" w:color="auto" w:val="clear"/>
            <w:vAlign w:val="center"/>
          </w:tcPr>
          <w:p>
            <w:pPr>
              <w:spacing w:after="80" w:before="80"/>
            </w:pPr>
            <w:r>
              <w:rPr>
                <w:color w:val="1A1A2E"/>
                <w:sz w:val="20"/>
                <w:szCs w:val="20"/>
              </w:rPr>
              <w:t xml:space="preserve">Graph Market (free tier)</w:t>
            </w:r>
          </w:p>
        </w:tc>
        <w:tc>
          <w:tcPr>
            <w:tcW w:type="dxa" w:w="760"/>
            <w:shd w:fill="FFFFFF" w:color="auto" w:val="clear"/>
            <w:vAlign w:val="center"/>
          </w:tcPr>
          <w:p>
            <w:pPr>
              <w:spacing w:after="80" w:before="80"/>
            </w:pPr>
            <w:r>
              <w:rPr>
                <w:color w:val="1A1A2E"/>
                <w:sz w:val="20"/>
                <w:szCs w:val="20"/>
              </w:rPr>
              <w:t xml:space="preserve">☐</w:t>
            </w:r>
          </w:p>
        </w:tc>
      </w:tr>
      <w:tr>
        <w:tc>
          <w:tcPr>
            <w:tcW w:type="dxa" w:w="4800"/>
            <w:shd w:fill="F0F8FF" w:color="auto" w:val="clear"/>
            <w:vAlign w:val="center"/>
          </w:tcPr>
          <w:p>
            <w:pPr>
              <w:spacing w:after="80" w:before="80"/>
            </w:pPr>
            <w:r>
              <w:rPr>
                <w:color w:val="1A1A2E"/>
                <w:sz w:val="20"/>
                <w:szCs w:val="20"/>
              </w:rPr>
              <w:t xml:space="preserve">x402-Gated MCP Server running, all 5 tools responding</w:t>
            </w:r>
          </w:p>
        </w:tc>
        <w:tc>
          <w:tcPr>
            <w:tcW w:type="dxa" w:w="2400"/>
            <w:shd w:fill="F0F8FF" w:color="auto" w:val="clear"/>
            <w:vAlign w:val="center"/>
          </w:tcPr>
          <w:p>
            <w:pPr>
              <w:spacing w:after="80" w:before="80"/>
            </w:pPr>
            <w:r>
              <w:rPr>
                <w:color w:val="1A1A2E"/>
                <w:sz w:val="20"/>
                <w:szCs w:val="20"/>
              </w:rPr>
              <w:t xml:space="preserve">localhost:8080 / deployed</w:t>
            </w:r>
          </w:p>
        </w:tc>
        <w:tc>
          <w:tcPr>
            <w:tcW w:type="dxa" w:w="760"/>
            <w:shd w:fill="F0F8FF" w:color="auto" w:val="clear"/>
            <w:vAlign w:val="center"/>
          </w:tcPr>
          <w:p>
            <w:pPr>
              <w:spacing w:after="80" w:before="80"/>
            </w:pPr>
            <w:r>
              <w:rPr>
                <w:color w:val="1A1A2E"/>
                <w:sz w:val="20"/>
                <w:szCs w:val="20"/>
              </w:rPr>
              <w:t xml:space="preserve">☐</w:t>
            </w:r>
          </w:p>
        </w:tc>
      </w:tr>
      <w:tr>
        <w:tc>
          <w:tcPr>
            <w:tcW w:type="dxa" w:w="4800"/>
            <w:shd w:fill="FFFFFF" w:color="auto" w:val="clear"/>
            <w:vAlign w:val="center"/>
          </w:tcPr>
          <w:p>
            <w:pPr>
              <w:spacing w:after="80" w:before="80"/>
            </w:pPr>
            <w:r>
              <w:rPr>
                <w:color w:val="1A1A2E"/>
                <w:sz w:val="20"/>
                <w:szCs w:val="20"/>
              </w:rPr>
              <w:t xml:space="preserve">Blocky402 facilitator registered, x402 middleware intercepting</w:t>
            </w:r>
          </w:p>
        </w:tc>
        <w:tc>
          <w:tcPr>
            <w:tcW w:type="dxa" w:w="2400"/>
            <w:shd w:fill="FFFFFF" w:color="auto" w:val="clear"/>
            <w:vAlign w:val="center"/>
          </w:tcPr>
          <w:p>
            <w:pPr>
              <w:spacing w:after="80" w:before="80"/>
            </w:pPr>
            <w:r>
              <w:rPr>
                <w:color w:val="1A1A2E"/>
                <w:sz w:val="20"/>
                <w:szCs w:val="20"/>
              </w:rPr>
              <w:t xml:space="preserve">Hedera Testnet</w:t>
            </w:r>
          </w:p>
        </w:tc>
        <w:tc>
          <w:tcPr>
            <w:tcW w:type="dxa" w:w="760"/>
            <w:shd w:fill="FFFFFF" w:color="auto" w:val="clear"/>
            <w:vAlign w:val="center"/>
          </w:tcPr>
          <w:p>
            <w:pPr>
              <w:spacing w:after="80" w:before="80"/>
            </w:pPr>
            <w:r>
              <w:rPr>
                <w:color w:val="1A1A2E"/>
                <w:sz w:val="20"/>
                <w:szCs w:val="20"/>
              </w:rPr>
              <w:t xml:space="preserve">☐</w:t>
            </w:r>
          </w:p>
        </w:tc>
      </w:tr>
      <w:tr>
        <w:tc>
          <w:tcPr>
            <w:tcW w:type="dxa" w:w="4800"/>
            <w:shd w:fill="F0F8FF" w:color="auto" w:val="clear"/>
            <w:vAlign w:val="center"/>
          </w:tcPr>
          <w:p>
            <w:pPr>
              <w:spacing w:after="80" w:before="80"/>
            </w:pPr>
            <w:r>
              <w:rPr>
                <w:color w:val="1A1A2E"/>
                <w:sz w:val="20"/>
                <w:szCs w:val="20"/>
              </w:rPr>
              <w:t xml:space="preserve">ORACLE agent completing full x402 payment flow end-to-end</w:t>
            </w:r>
          </w:p>
        </w:tc>
        <w:tc>
          <w:tcPr>
            <w:tcW w:type="dxa" w:w="2400"/>
            <w:shd w:fill="F0F8FF" w:color="auto" w:val="clear"/>
            <w:vAlign w:val="center"/>
          </w:tcPr>
          <w:p>
            <w:pPr>
              <w:spacing w:after="80" w:before="80"/>
            </w:pPr>
            <w:r>
              <w:rPr>
                <w:color w:val="1A1A2E"/>
                <w:sz w:val="20"/>
                <w:szCs w:val="20"/>
              </w:rPr>
              <w:t xml:space="preserve">Hedera Testnet</w:t>
            </w:r>
          </w:p>
        </w:tc>
        <w:tc>
          <w:tcPr>
            <w:tcW w:type="dxa" w:w="760"/>
            <w:shd w:fill="F0F8FF" w:color="auto" w:val="clear"/>
            <w:vAlign w:val="center"/>
          </w:tcPr>
          <w:p>
            <w:pPr>
              <w:spacing w:after="80" w:before="80"/>
            </w:pPr>
            <w:r>
              <w:rPr>
                <w:color w:val="1A1A2E"/>
                <w:sz w:val="20"/>
                <w:szCs w:val="20"/>
              </w:rPr>
              <w:t xml:space="preserve">☐</w:t>
            </w:r>
          </w:p>
        </w:tc>
      </w:tr>
      <w:tr>
        <w:tc>
          <w:tcPr>
            <w:tcW w:type="dxa" w:w="4800"/>
            <w:shd w:fill="FFFFFF" w:color="auto" w:val="clear"/>
            <w:vAlign w:val="center"/>
          </w:tcPr>
          <w:p>
            <w:pPr>
              <w:spacing w:after="80" w:before="80"/>
            </w:pPr>
            <w:r>
              <w:rPr>
                <w:color w:val="1A1A2E"/>
                <w:sz w:val="20"/>
                <w:szCs w:val="20"/>
              </w:rPr>
              <w:t xml:space="preserve">HCS topic created, AUDIT agent writing entries</w:t>
            </w:r>
          </w:p>
        </w:tc>
        <w:tc>
          <w:tcPr>
            <w:tcW w:type="dxa" w:w="2400"/>
            <w:shd w:fill="FFFFFF" w:color="auto" w:val="clear"/>
            <w:vAlign w:val="center"/>
          </w:tcPr>
          <w:p>
            <w:pPr>
              <w:spacing w:after="80" w:before="80"/>
            </w:pPr>
            <w:r>
              <w:rPr>
                <w:color w:val="1A1A2E"/>
                <w:sz w:val="20"/>
                <w:szCs w:val="20"/>
              </w:rPr>
              <w:t xml:space="preserve">Hedera Testnet</w:t>
            </w:r>
          </w:p>
        </w:tc>
        <w:tc>
          <w:tcPr>
            <w:tcW w:type="dxa" w:w="760"/>
            <w:shd w:fill="FFFFFF" w:color="auto" w:val="clear"/>
            <w:vAlign w:val="center"/>
          </w:tcPr>
          <w:p>
            <w:pPr>
              <w:spacing w:after="80" w:before="80"/>
            </w:pPr>
            <w:r>
              <w:rPr>
                <w:color w:val="1A1A2E"/>
                <w:sz w:val="20"/>
                <w:szCs w:val="20"/>
              </w:rPr>
              <w:t xml:space="preserve">☐</w:t>
            </w:r>
          </w:p>
        </w:tc>
      </w:tr>
      <w:tr>
        <w:tc>
          <w:tcPr>
            <w:tcW w:type="dxa" w:w="4800"/>
            <w:shd w:fill="F0F8FF" w:color="auto" w:val="clear"/>
            <w:vAlign w:val="center"/>
          </w:tcPr>
          <w:p>
            <w:pPr>
              <w:spacing w:after="80" w:before="80"/>
            </w:pPr>
            <w:r>
              <w:rPr>
                <w:color w:val="1A1A2E"/>
                <w:sz w:val="20"/>
                <w:szCs w:val="20"/>
              </w:rPr>
              <w:t xml:space="preserve">ERC-8004 agent identities registered</w:t>
            </w:r>
          </w:p>
        </w:tc>
        <w:tc>
          <w:tcPr>
            <w:tcW w:type="dxa" w:w="2400"/>
            <w:shd w:fill="F0F8FF" w:color="auto" w:val="clear"/>
            <w:vAlign w:val="center"/>
          </w:tcPr>
          <w:p>
            <w:pPr>
              <w:spacing w:after="80" w:before="80"/>
            </w:pPr>
            <w:r>
              <w:rPr>
                <w:color w:val="1A1A2E"/>
                <w:sz w:val="20"/>
                <w:szCs w:val="20"/>
              </w:rPr>
              <w:t xml:space="preserve">Hedera Testnet</w:t>
            </w:r>
          </w:p>
        </w:tc>
        <w:tc>
          <w:tcPr>
            <w:tcW w:type="dxa" w:w="760"/>
            <w:shd w:fill="F0F8FF" w:color="auto" w:val="clear"/>
            <w:vAlign w:val="center"/>
          </w:tcPr>
          <w:p>
            <w:pPr>
              <w:spacing w:after="80" w:before="80"/>
            </w:pPr>
            <w:r>
              <w:rPr>
                <w:color w:val="1A1A2E"/>
                <w:sz w:val="20"/>
                <w:szCs w:val="20"/>
              </w:rPr>
              <w:t xml:space="preserve">☐</w:t>
            </w:r>
          </w:p>
        </w:tc>
      </w:tr>
      <w:tr>
        <w:tc>
          <w:tcPr>
            <w:tcW w:type="dxa" w:w="4800"/>
            <w:shd w:fill="FFFFFF" w:color="auto" w:val="clear"/>
            <w:vAlign w:val="center"/>
          </w:tcPr>
          <w:p>
            <w:pPr>
              <w:spacing w:after="80" w:before="80"/>
            </w:pPr>
            <w:r>
              <w:rPr>
                <w:color w:val="1A1A2E"/>
                <w:sz w:val="20"/>
                <w:szCs w:val="20"/>
              </w:rPr>
              <w:t xml:space="preserve">ENSv2 subnames registered with Permissioned Resolver</w:t>
            </w:r>
          </w:p>
        </w:tc>
        <w:tc>
          <w:tcPr>
            <w:tcW w:type="dxa" w:w="2400"/>
            <w:shd w:fill="FFFFFF" w:color="auto" w:val="clear"/>
            <w:vAlign w:val="center"/>
          </w:tcPr>
          <w:p>
            <w:pPr>
              <w:spacing w:after="80" w:before="80"/>
            </w:pPr>
            <w:r>
              <w:rPr>
                <w:color w:val="1A1A2E"/>
                <w:sz w:val="20"/>
                <w:szCs w:val="20"/>
              </w:rPr>
              <w:t xml:space="preserve">Sepolia</w:t>
            </w:r>
          </w:p>
        </w:tc>
        <w:tc>
          <w:tcPr>
            <w:tcW w:type="dxa" w:w="760"/>
            <w:shd w:fill="FFFFFF" w:color="auto" w:val="clear"/>
            <w:vAlign w:val="center"/>
          </w:tcPr>
          <w:p>
            <w:pPr>
              <w:spacing w:after="80" w:before="80"/>
            </w:pPr>
            <w:r>
              <w:rPr>
                <w:color w:val="1A1A2E"/>
                <w:sz w:val="20"/>
                <w:szCs w:val="20"/>
              </w:rPr>
              <w:t xml:space="preserve">☐</w:t>
            </w:r>
          </w:p>
        </w:tc>
      </w:tr>
      <w:tr>
        <w:tc>
          <w:tcPr>
            <w:tcW w:type="dxa" w:w="4800"/>
            <w:shd w:fill="F0F8FF" w:color="auto" w:val="clear"/>
            <w:vAlign w:val="center"/>
          </w:tcPr>
          <w:p>
            <w:pPr>
              <w:spacing w:after="80" w:before="80"/>
            </w:pPr>
            <w:r>
              <w:rPr>
                <w:color w:val="1A1A2E"/>
                <w:sz w:val="20"/>
                <w:szCs w:val="20"/>
              </w:rPr>
              <w:t xml:space="preserve">Dashboard — all 4 panels updating with live data</w:t>
            </w:r>
          </w:p>
        </w:tc>
        <w:tc>
          <w:tcPr>
            <w:tcW w:type="dxa" w:w="2400"/>
            <w:shd w:fill="F0F8FF" w:color="auto" w:val="clear"/>
            <w:vAlign w:val="center"/>
          </w:tcPr>
          <w:p>
            <w:pPr>
              <w:spacing w:after="80" w:before="80"/>
            </w:pPr>
            <w:r>
              <w:rPr>
                <w:color w:val="1A1A2E"/>
                <w:sz w:val="20"/>
                <w:szCs w:val="20"/>
              </w:rPr>
              <w:t xml:space="preserve">localhost:3000</w:t>
            </w:r>
          </w:p>
        </w:tc>
        <w:tc>
          <w:tcPr>
            <w:tcW w:type="dxa" w:w="760"/>
            <w:shd w:fill="F0F8FF" w:color="auto" w:val="clear"/>
            <w:vAlign w:val="center"/>
          </w:tcPr>
          <w:p>
            <w:pPr>
              <w:spacing w:after="80" w:before="80"/>
            </w:pPr>
            <w:r>
              <w:rPr>
                <w:color w:val="1A1A2E"/>
                <w:sz w:val="20"/>
                <w:szCs w:val="20"/>
              </w:rPr>
              <w:t xml:space="preserve">☐</w:t>
            </w:r>
          </w:p>
        </w:tc>
      </w:tr>
      <w:tr>
        <w:tc>
          <w:tcPr>
            <w:tcW w:type="dxa" w:w="4800"/>
            <w:shd w:fill="FFFFFF" w:color="auto" w:val="clear"/>
            <w:vAlign w:val="center"/>
          </w:tcPr>
          <w:p>
            <w:pPr>
              <w:spacing w:after="80" w:before="80"/>
            </w:pPr>
            <w:r>
              <w:rPr>
                <w:color w:val="1A1A2E"/>
                <w:sz w:val="20"/>
                <w:szCs w:val="20"/>
              </w:rPr>
              <w:t xml:space="preserve">External agent (Claude Desktop or curl) connecting to MCP server and paying x402</w:t>
            </w:r>
          </w:p>
        </w:tc>
        <w:tc>
          <w:tcPr>
            <w:tcW w:type="dxa" w:w="2400"/>
            <w:shd w:fill="FFFFFF" w:color="auto" w:val="clear"/>
            <w:vAlign w:val="center"/>
          </w:tcPr>
          <w:p>
            <w:pPr>
              <w:spacing w:after="80" w:before="80"/>
            </w:pPr>
            <w:r>
              <w:rPr>
                <w:color w:val="1A1A2E"/>
                <w:sz w:val="20"/>
                <w:szCs w:val="20"/>
              </w:rPr>
              <w:t xml:space="preserve">Demo proof</w:t>
            </w:r>
          </w:p>
        </w:tc>
        <w:tc>
          <w:tcPr>
            <w:tcW w:type="dxa" w:w="760"/>
            <w:shd w:fill="FFFFFF" w:color="auto" w:val="clear"/>
            <w:vAlign w:val="center"/>
          </w:tcPr>
          <w:p>
            <w:pPr>
              <w:spacing w:after="80" w:before="80"/>
            </w:pPr>
            <w:r>
              <w:rPr>
                <w:color w:val="1A1A2E"/>
                <w:sz w:val="20"/>
                <w:szCs w:val="20"/>
              </w:rPr>
              <w:t xml:space="preserve">☐</w:t>
            </w:r>
          </w:p>
        </w:tc>
      </w:tr>
      <w:tr>
        <w:tc>
          <w:tcPr>
            <w:tcW w:type="dxa" w:w="4800"/>
            <w:shd w:fill="F0F8FF" w:color="auto" w:val="clear"/>
            <w:vAlign w:val="center"/>
          </w:tcPr>
          <w:p>
            <w:pPr>
              <w:spacing w:after="80" w:before="80"/>
            </w:pPr>
            <w:r>
              <w:rPr>
                <w:color w:val="1A1A2E"/>
                <w:sz w:val="20"/>
                <w:szCs w:val="20"/>
              </w:rPr>
              <w:t xml:space="preserve">SKILL.md written describing The Graph integration</w:t>
            </w:r>
          </w:p>
        </w:tc>
        <w:tc>
          <w:tcPr>
            <w:tcW w:type="dxa" w:w="2400"/>
            <w:shd w:fill="F0F8FF" w:color="auto" w:val="clear"/>
            <w:vAlign w:val="center"/>
          </w:tcPr>
          <w:p>
            <w:pPr>
              <w:spacing w:after="80" w:before="80"/>
            </w:pPr>
            <w:r>
              <w:rPr>
                <w:color w:val="1A1A2E"/>
                <w:sz w:val="20"/>
                <w:szCs w:val="20"/>
              </w:rPr>
              <w:t xml:space="preserve">Repo root</w:t>
            </w:r>
          </w:p>
        </w:tc>
        <w:tc>
          <w:tcPr>
            <w:tcW w:type="dxa" w:w="760"/>
            <w:shd w:fill="F0F8FF" w:color="auto" w:val="clear"/>
            <w:vAlign w:val="center"/>
          </w:tcPr>
          <w:p>
            <w:pPr>
              <w:spacing w:after="80" w:before="80"/>
            </w:pPr>
            <w:r>
              <w:rPr>
                <w:color w:val="1A1A2E"/>
                <w:sz w:val="20"/>
                <w:szCs w:val="20"/>
              </w:rPr>
              <w:t xml:space="preserve">☐</w:t>
            </w:r>
          </w:p>
        </w:tc>
      </w:tr>
      <w:tr>
        <w:tc>
          <w:tcPr>
            <w:tcW w:type="dxa" w:w="4800"/>
            <w:shd w:fill="FFFFFF" w:color="auto" w:val="clear"/>
            <w:vAlign w:val="center"/>
          </w:tcPr>
          <w:p>
            <w:pPr>
              <w:spacing w:after="80" w:before="80"/>
            </w:pPr>
            <w:r>
              <w:rPr>
                <w:color w:val="1A1A2E"/>
                <w:sz w:val="20"/>
                <w:szCs w:val="20"/>
              </w:rPr>
              <w:t xml:space="preserve">README complete with architecture, setup, and payment flow</w:t>
            </w:r>
          </w:p>
        </w:tc>
        <w:tc>
          <w:tcPr>
            <w:tcW w:type="dxa" w:w="2400"/>
            <w:shd w:fill="FFFFFF" w:color="auto" w:val="clear"/>
            <w:vAlign w:val="center"/>
          </w:tcPr>
          <w:p>
            <w:pPr>
              <w:spacing w:after="80" w:before="80"/>
            </w:pPr>
            <w:r>
              <w:rPr>
                <w:color w:val="1A1A2E"/>
                <w:sz w:val="20"/>
                <w:szCs w:val="20"/>
              </w:rPr>
              <w:t xml:space="preserve">Repo root</w:t>
            </w:r>
          </w:p>
        </w:tc>
        <w:tc>
          <w:tcPr>
            <w:tcW w:type="dxa" w:w="760"/>
            <w:shd w:fill="FFFFFF" w:color="auto" w:val="clear"/>
            <w:vAlign w:val="center"/>
          </w:tcPr>
          <w:p>
            <w:pPr>
              <w:spacing w:after="80" w:before="80"/>
            </w:pPr>
            <w:r>
              <w:rPr>
                <w:color w:val="1A1A2E"/>
                <w:sz w:val="20"/>
                <w:szCs w:val="20"/>
              </w:rPr>
              <w:t xml:space="preserve">☐</w:t>
            </w:r>
          </w:p>
        </w:tc>
      </w:tr>
      <w:tr>
        <w:tc>
          <w:tcPr>
            <w:tcW w:type="dxa" w:w="4800"/>
            <w:shd w:fill="F0F8FF" w:color="auto" w:val="clear"/>
            <w:vAlign w:val="center"/>
          </w:tcPr>
          <w:p>
            <w:pPr>
              <w:spacing w:after="80" w:before="80"/>
            </w:pPr>
            <w:r>
              <w:rPr>
                <w:color w:val="1A1A2E"/>
                <w:sz w:val="20"/>
                <w:szCs w:val="20"/>
              </w:rPr>
              <w:t xml:space="preserve">3-minute demo video following demo script</w:t>
            </w:r>
          </w:p>
        </w:tc>
        <w:tc>
          <w:tcPr>
            <w:tcW w:type="dxa" w:w="2400"/>
            <w:shd w:fill="F0F8FF" w:color="auto" w:val="clear"/>
            <w:vAlign w:val="center"/>
          </w:tcPr>
          <w:p>
            <w:pPr>
              <w:spacing w:after="80" w:before="80"/>
            </w:pPr>
            <w:r>
              <w:rPr>
                <w:color w:val="1A1A2E"/>
                <w:sz w:val="20"/>
                <w:szCs w:val="20"/>
              </w:rPr>
              <w:t xml:space="preserve">YouTube / Loom</w:t>
            </w:r>
          </w:p>
        </w:tc>
        <w:tc>
          <w:tcPr>
            <w:tcW w:type="dxa" w:w="760"/>
            <w:shd w:fill="F0F8FF" w:color="auto" w:val="clear"/>
            <w:vAlign w:val="center"/>
          </w:tcPr>
          <w:p>
            <w:pPr>
              <w:spacing w:after="80" w:before="80"/>
            </w:pPr>
            <w:r>
              <w:rPr>
                <w:color w:val="1A1A2E"/>
                <w:sz w:val="20"/>
                <w:szCs w:val="20"/>
              </w:rPr>
              <w:t xml:space="preserve">☐</w:t>
            </w:r>
          </w:p>
        </w:tc>
      </w:tr>
      <w:tr>
        <w:tc>
          <w:tcPr>
            <w:tcW w:type="dxa" w:w="4800"/>
            <w:shd w:fill="FFFFFF" w:color="auto" w:val="clear"/>
            <w:vAlign w:val="center"/>
          </w:tcPr>
          <w:p>
            <w:pPr>
              <w:spacing w:after="80" w:before="80"/>
            </w:pPr>
            <w:r>
              <w:rPr>
                <w:color w:val="1A1A2E"/>
                <w:sz w:val="20"/>
                <w:szCs w:val="20"/>
              </w:rPr>
              <w:t xml:space="preserve">ETHGlobal submission with public repo link</w:t>
            </w:r>
          </w:p>
        </w:tc>
        <w:tc>
          <w:tcPr>
            <w:tcW w:type="dxa" w:w="2400"/>
            <w:shd w:fill="FFFFFF" w:color="auto" w:val="clear"/>
            <w:vAlign w:val="center"/>
          </w:tcPr>
          <w:p>
            <w:pPr>
              <w:spacing w:after="80" w:before="80"/>
            </w:pPr>
            <w:r>
              <w:rPr>
                <w:color w:val="1A1A2E"/>
                <w:sz w:val="20"/>
                <w:szCs w:val="20"/>
              </w:rPr>
              <w:t xml:space="preserve">ethglobal.com</w:t>
            </w:r>
          </w:p>
        </w:tc>
        <w:tc>
          <w:tcPr>
            <w:tcW w:type="dxa" w:w="760"/>
            <w:shd w:fill="FFFFFF" w:color="auto" w:val="clear"/>
            <w:vAlign w:val="center"/>
          </w:tcPr>
          <w:p>
            <w:pPr>
              <w:spacing w:after="80" w:before="80"/>
            </w:pPr>
            <w:r>
              <w:rPr>
                <w:color w:val="1A1A2E"/>
                <w:sz w:val="20"/>
                <w:szCs w:val="20"/>
              </w:rPr>
              <w:t xml:space="preserve">☐</w:t>
            </w:r>
          </w:p>
        </w:tc>
      </w:tr>
    </w:tbl>
    <w:p>
      <w:r>
        <w:br w:type="page"/>
      </w:r>
    </w:p>
    <w:p>
      <w:pPr>
        <w:pStyle w:val="Heading1"/>
        <w:spacing w:after="160" w:before="320"/>
      </w:pPr>
      <w:r>
        <w:rPr>
          <w:b/>
          <w:bCs/>
          <w:color w:val="1A1A2E"/>
        </w:rPr>
        <w:t xml:space="preserve">7. Demo Strategy</w:t>
      </w:r>
    </w:p>
    <w:p>
      <w:pPr>
        <w:pBdr>
          <w:bottom w:val="single" w:color="00D4FF" w:sz="6"/>
        </w:pBdr>
        <w:spacing w:after="200" w:before="200"/>
      </w:pPr>
      <w:r>
        <w:t xml:space="preserve"/>
      </w:r>
    </w:p>
    <w:p>
      <w:pPr>
        <w:spacing w:after="80" w:before="80"/>
        <w:jc w:val="left"/>
      </w:pPr>
      <w:r>
        <w:rPr>
          <w:b w:val="false"/>
          <w:bCs w:val="false"/>
          <w:i w:val="false"/>
          <w:iCs w:val="false"/>
          <w:color w:val="1A1A2E"/>
          <w:sz w:val="22"/>
          <w:szCs w:val="22"/>
        </w:rPr>
        <w:t xml:space="preserve">The demo has one job: show judges that every claim is verifiable on-chain in real time. No pre-recorded outputs. No mocked data. Every panel updates live during the recording.</w:t>
      </w:r>
    </w:p>
    <w:p>
      <w:pPr>
        <w:spacing w:after="80" w:before="80"/>
      </w:pPr>
      <w:r>
        <w:t xml:space="preserve"/>
      </w:r>
    </w:p>
    <w:p>
      <w:pPr>
        <w:pStyle w:val="Heading2"/>
        <w:spacing w:after="160" w:before="320"/>
      </w:pPr>
      <w:r>
        <w:rPr>
          <w:b/>
          <w:bCs/>
          <w:color w:val="7B2FBE"/>
        </w:rPr>
        <w:t xml:space="preserve">7.1  Demo Script (3 Minutes)</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2600"/>
        <w:gridCol w:w="5560"/>
      </w:tblGrid>
      <w:tr>
        <w:tc>
          <w:tcPr>
            <w:tcW w:type="dxa" w:w="1200"/>
            <w:shd w:fill="0F3460" w:color="auto" w:val="clear"/>
            <w:vAlign w:val="center"/>
          </w:tcPr>
          <w:p>
            <w:pPr>
              <w:spacing w:after="80" w:before="80"/>
              <w:jc w:val="left"/>
            </w:pPr>
            <w:r>
              <w:rPr>
                <w:b/>
                <w:bCs/>
                <w:color w:val="FFFFFF"/>
                <w:sz w:val="20"/>
                <w:szCs w:val="20"/>
              </w:rPr>
              <w:t xml:space="preserve">Time</w:t>
            </w:r>
          </w:p>
        </w:tc>
        <w:tc>
          <w:tcPr>
            <w:tcW w:type="dxa" w:w="2600"/>
            <w:shd w:fill="0F3460" w:color="auto" w:val="clear"/>
            <w:vAlign w:val="center"/>
          </w:tcPr>
          <w:p>
            <w:pPr>
              <w:spacing w:after="80" w:before="80"/>
              <w:jc w:val="left"/>
            </w:pPr>
            <w:r>
              <w:rPr>
                <w:b/>
                <w:bCs/>
                <w:color w:val="FFFFFF"/>
                <w:sz w:val="20"/>
                <w:szCs w:val="20"/>
              </w:rPr>
              <w:t xml:space="preserve">Action</w:t>
            </w:r>
          </w:p>
        </w:tc>
        <w:tc>
          <w:tcPr>
            <w:tcW w:type="dxa" w:w="5560"/>
            <w:shd w:fill="0F3460" w:color="auto" w:val="clear"/>
            <w:vAlign w:val="center"/>
          </w:tcPr>
          <w:p>
            <w:pPr>
              <w:spacing w:after="80" w:before="80"/>
              <w:jc w:val="left"/>
            </w:pPr>
            <w:r>
              <w:rPr>
                <w:b/>
                <w:bCs/>
                <w:color w:val="FFFFFF"/>
                <w:sz w:val="20"/>
                <w:szCs w:val="20"/>
              </w:rPr>
              <w:t xml:space="preserve">What Judge Sees</w:t>
            </w:r>
          </w:p>
        </w:tc>
      </w:tr>
      <w:tr>
        <w:tc>
          <w:tcPr>
            <w:tcW w:type="dxa" w:w="1200"/>
            <w:shd w:fill="FFFFFF" w:color="auto" w:val="clear"/>
            <w:vAlign w:val="center"/>
          </w:tcPr>
          <w:p>
            <w:pPr>
              <w:spacing w:after="80" w:before="80"/>
            </w:pPr>
            <w:r>
              <w:rPr>
                <w:color w:val="1A1A2E"/>
                <w:sz w:val="20"/>
                <w:szCs w:val="20"/>
              </w:rPr>
              <w:t xml:space="preserve">0:00–0:20</w:t>
            </w:r>
          </w:p>
        </w:tc>
        <w:tc>
          <w:tcPr>
            <w:tcW w:type="dxa" w:w="2600"/>
            <w:shd w:fill="FFFFFF" w:color="auto" w:val="clear"/>
            <w:vAlign w:val="center"/>
          </w:tcPr>
          <w:p>
            <w:pPr>
              <w:spacing w:after="80" w:before="80"/>
            </w:pPr>
            <w:r>
              <w:rPr>
                <w:color w:val="1A1A2E"/>
                <w:sz w:val="20"/>
                <w:szCs w:val="20"/>
              </w:rPr>
              <w:t xml:space="preserve">Open dashboard, open MCP server logs side by side</w:t>
            </w:r>
          </w:p>
        </w:tc>
        <w:tc>
          <w:tcPr>
            <w:tcW w:type="dxa" w:w="5560"/>
            <w:shd w:fill="FFFFFF" w:color="auto" w:val="clear"/>
            <w:vAlign w:val="center"/>
          </w:tcPr>
          <w:p>
            <w:pPr>
              <w:spacing w:after="80" w:before="80"/>
            </w:pPr>
            <w:r>
              <w:rPr>
                <w:color w:val="1A1A2E"/>
                <w:sz w:val="20"/>
                <w:szCs w:val="20"/>
              </w:rPr>
              <w:t xml:space="preserve">Four panels empty — pipeline not started. MCP server idle.</w:t>
            </w:r>
          </w:p>
        </w:tc>
      </w:tr>
      <w:tr>
        <w:tc>
          <w:tcPr>
            <w:tcW w:type="dxa" w:w="1200"/>
            <w:shd w:fill="F0F8FF" w:color="auto" w:val="clear"/>
            <w:vAlign w:val="center"/>
          </w:tcPr>
          <w:p>
            <w:pPr>
              <w:spacing w:after="80" w:before="80"/>
            </w:pPr>
            <w:r>
              <w:rPr>
                <w:color w:val="1A1A2E"/>
                <w:sz w:val="20"/>
                <w:szCs w:val="20"/>
              </w:rPr>
              <w:t xml:space="preserve">0:20–0:50</w:t>
            </w:r>
          </w:p>
        </w:tc>
        <w:tc>
          <w:tcPr>
            <w:tcW w:type="dxa" w:w="2600"/>
            <w:shd w:fill="F0F8FF" w:color="auto" w:val="clear"/>
            <w:vAlign w:val="center"/>
          </w:tcPr>
          <w:p>
            <w:pPr>
              <w:spacing w:after="80" w:before="80"/>
            </w:pPr>
            <w:r>
              <w:rPr>
                <w:color w:val="1A1A2E"/>
                <w:sz w:val="20"/>
                <w:szCs w:val="20"/>
              </w:rPr>
              <w:t xml:space="preserve">Start pipeline in terminal</w:t>
            </w:r>
          </w:p>
        </w:tc>
        <w:tc>
          <w:tcPr>
            <w:tcW w:type="dxa" w:w="5560"/>
            <w:shd w:fill="F0F8FF" w:color="auto" w:val="clear"/>
            <w:vAlign w:val="center"/>
          </w:tcPr>
          <w:p>
            <w:pPr>
              <w:spacing w:after="80" w:before="80"/>
            </w:pPr>
            <w:r>
              <w:rPr>
                <w:color w:val="1A1A2E"/>
                <w:sz w:val="20"/>
                <w:szCs w:val="20"/>
              </w:rPr>
              <w:t xml:space="preserve">Opportunities Feed populates: Uniswap yield gap + Aave liquidation proximity from live The Graph data</w:t>
            </w:r>
          </w:p>
        </w:tc>
      </w:tr>
      <w:tr>
        <w:tc>
          <w:tcPr>
            <w:tcW w:type="dxa" w:w="1200"/>
            <w:shd w:fill="FFFFFF" w:color="auto" w:val="clear"/>
            <w:vAlign w:val="center"/>
          </w:tcPr>
          <w:p>
            <w:pPr>
              <w:spacing w:after="80" w:before="80"/>
            </w:pPr>
            <w:r>
              <w:rPr>
                <w:color w:val="1A1A2E"/>
                <w:sz w:val="20"/>
                <w:szCs w:val="20"/>
              </w:rPr>
              <w:t xml:space="preserve">0:50–1:20</w:t>
            </w:r>
          </w:p>
        </w:tc>
        <w:tc>
          <w:tcPr>
            <w:tcW w:type="dxa" w:w="2600"/>
            <w:shd w:fill="FFFFFF" w:color="auto" w:val="clear"/>
            <w:vAlign w:val="center"/>
          </w:tcPr>
          <w:p>
            <w:pPr>
              <w:spacing w:after="80" w:before="80"/>
            </w:pPr>
            <w:r>
              <w:rPr>
                <w:color w:val="1A1A2E"/>
                <w:sz w:val="20"/>
                <w:szCs w:val="20"/>
              </w:rPr>
              <w:t xml:space="preserve">Walk Agent Trace panel</w:t>
            </w:r>
          </w:p>
        </w:tc>
        <w:tc>
          <w:tcPr>
            <w:tcW w:type="dxa" w:w="5560"/>
            <w:shd w:fill="FFFFFF" w:color="auto" w:val="clear"/>
            <w:vAlign w:val="center"/>
          </w:tcPr>
          <w:p>
            <w:pPr>
              <w:spacing w:after="80" w:before="80"/>
            </w:pPr>
            <w:r>
              <w:rPr>
                <w:color w:val="1A1A2E"/>
                <w:sz w:val="20"/>
                <w:szCs w:val="20"/>
              </w:rPr>
              <w:t xml:space="preserve">RECON → SCOUT → RISK progression visible with confidence scores and routing decision</w:t>
            </w:r>
          </w:p>
        </w:tc>
      </w:tr>
      <w:tr>
        <w:tc>
          <w:tcPr>
            <w:tcW w:type="dxa" w:w="1200"/>
            <w:shd w:fill="F0F8FF" w:color="auto" w:val="clear"/>
            <w:vAlign w:val="center"/>
          </w:tcPr>
          <w:p>
            <w:pPr>
              <w:spacing w:after="80" w:before="80"/>
            </w:pPr>
            <w:r>
              <w:rPr>
                <w:color w:val="1A1A2E"/>
                <w:sz w:val="20"/>
                <w:szCs w:val="20"/>
              </w:rPr>
              <w:t xml:space="preserve">1:20–2:00</w:t>
            </w:r>
          </w:p>
        </w:tc>
        <w:tc>
          <w:tcPr>
            <w:tcW w:type="dxa" w:w="2600"/>
            <w:shd w:fill="F0F8FF" w:color="auto" w:val="clear"/>
            <w:vAlign w:val="center"/>
          </w:tcPr>
          <w:p>
            <w:pPr>
              <w:spacing w:after="80" w:before="80"/>
            </w:pPr>
            <w:r>
              <w:rPr>
                <w:color w:val="1A1A2E"/>
                <w:sz w:val="20"/>
                <w:szCs w:val="20"/>
              </w:rPr>
              <w:t xml:space="preserve">ORACLE fires x402 MCP call</w:t>
            </w:r>
          </w:p>
        </w:tc>
        <w:tc>
          <w:tcPr>
            <w:tcW w:type="dxa" w:w="5560"/>
            <w:shd w:fill="F0F8FF" w:color="auto" w:val="clear"/>
            <w:vAlign w:val="center"/>
          </w:tcPr>
          <w:p>
            <w:pPr>
              <w:spacing w:after="80" w:before="80"/>
            </w:pPr>
            <w:r>
              <w:rPr>
                <w:color w:val="1A1A2E"/>
                <w:sz w:val="20"/>
                <w:szCs w:val="20"/>
              </w:rPr>
              <w:t xml:space="preserve">MCP server log shows incoming tool call → 402 → payment → tool execution. Payment Monitor shows HBAR amount + HashScan link. Click it live.</w:t>
            </w:r>
          </w:p>
        </w:tc>
      </w:tr>
      <w:tr>
        <w:tc>
          <w:tcPr>
            <w:tcW w:type="dxa" w:w="1200"/>
            <w:shd w:fill="FFFFFF" w:color="auto" w:val="clear"/>
            <w:vAlign w:val="center"/>
          </w:tcPr>
          <w:p>
            <w:pPr>
              <w:spacing w:after="80" w:before="80"/>
            </w:pPr>
            <w:r>
              <w:rPr>
                <w:color w:val="1A1A2E"/>
                <w:sz w:val="20"/>
                <w:szCs w:val="20"/>
              </w:rPr>
              <w:t xml:space="preserve">2:00–2:20</w:t>
            </w:r>
          </w:p>
        </w:tc>
        <w:tc>
          <w:tcPr>
            <w:tcW w:type="dxa" w:w="2600"/>
            <w:shd w:fill="FFFFFF" w:color="auto" w:val="clear"/>
            <w:vAlign w:val="center"/>
          </w:tcPr>
          <w:p>
            <w:pPr>
              <w:spacing w:after="80" w:before="80"/>
            </w:pPr>
            <w:r>
              <w:rPr>
                <w:color w:val="1A1A2E"/>
                <w:sz w:val="20"/>
                <w:szCs w:val="20"/>
              </w:rPr>
              <w:t xml:space="preserve">EXEC dispatches, AUDIT logs</w:t>
            </w:r>
          </w:p>
        </w:tc>
        <w:tc>
          <w:tcPr>
            <w:tcW w:type="dxa" w:w="5560"/>
            <w:shd w:fill="FFFFFF" w:color="auto" w:val="clear"/>
            <w:vAlign w:val="center"/>
          </w:tcPr>
          <w:p>
            <w:pPr>
              <w:spacing w:after="80" w:before="80"/>
            </w:pPr>
            <w:r>
              <w:rPr>
                <w:color w:val="1A1A2E"/>
                <w:sz w:val="20"/>
                <w:szCs w:val="20"/>
              </w:rPr>
              <w:t xml:space="preserve">Agent Trace shows final routing. HCS Audit Trail entry appears. Click HCS mirror node link live.</w:t>
            </w:r>
          </w:p>
        </w:tc>
      </w:tr>
      <w:tr>
        <w:tc>
          <w:tcPr>
            <w:tcW w:type="dxa" w:w="1200"/>
            <w:shd w:fill="F0F8FF" w:color="auto" w:val="clear"/>
            <w:vAlign w:val="center"/>
          </w:tcPr>
          <w:p>
            <w:pPr>
              <w:spacing w:after="80" w:before="80"/>
            </w:pPr>
            <w:r>
              <w:rPr>
                <w:color w:val="1A1A2E"/>
                <w:sz w:val="20"/>
                <w:szCs w:val="20"/>
              </w:rPr>
              <w:t xml:space="preserve">2:20–2:40</w:t>
            </w:r>
          </w:p>
        </w:tc>
        <w:tc>
          <w:tcPr>
            <w:tcW w:type="dxa" w:w="2600"/>
            <w:shd w:fill="F0F8FF" w:color="auto" w:val="clear"/>
            <w:vAlign w:val="center"/>
          </w:tcPr>
          <w:p>
            <w:pPr>
              <w:spacing w:after="80" w:before="80"/>
            </w:pPr>
            <w:r>
              <w:rPr>
                <w:color w:val="1A1A2E"/>
                <w:sz w:val="20"/>
                <w:szCs w:val="20"/>
              </w:rPr>
              <w:t xml:space="preserve">Show second agent connecting to MCP server</w:t>
            </w:r>
          </w:p>
        </w:tc>
        <w:tc>
          <w:tcPr>
            <w:tcW w:type="dxa" w:w="5560"/>
            <w:shd w:fill="F0F8FF" w:color="auto" w:val="clear"/>
            <w:vAlign w:val="center"/>
          </w:tcPr>
          <w:p>
            <w:pPr>
              <w:spacing w:after="80" w:before="80"/>
            </w:pPr>
            <w:r>
              <w:rPr>
                <w:color w:val="1A1A2E"/>
                <w:sz w:val="20"/>
                <w:szCs w:val="20"/>
              </w:rPr>
              <w:t xml:space="preserve">curl or Claude Desktop connects to MCP server, gets 402, pays, receives data — proves it works for ANY agent, not just RIA</w:t>
            </w:r>
          </w:p>
        </w:tc>
      </w:tr>
      <w:tr>
        <w:tc>
          <w:tcPr>
            <w:tcW w:type="dxa" w:w="1200"/>
            <w:shd w:fill="FFFFFF" w:color="auto" w:val="clear"/>
            <w:vAlign w:val="center"/>
          </w:tcPr>
          <w:p>
            <w:pPr>
              <w:spacing w:after="80" w:before="80"/>
            </w:pPr>
            <w:r>
              <w:rPr>
                <w:color w:val="1A1A2E"/>
                <w:sz w:val="20"/>
                <w:szCs w:val="20"/>
              </w:rPr>
              <w:t xml:space="preserve">2:40–3:00</w:t>
            </w:r>
          </w:p>
        </w:tc>
        <w:tc>
          <w:tcPr>
            <w:tcW w:type="dxa" w:w="2600"/>
            <w:shd w:fill="FFFFFF" w:color="auto" w:val="clear"/>
            <w:vAlign w:val="center"/>
          </w:tcPr>
          <w:p>
            <w:pPr>
              <w:spacing w:after="80" w:before="80"/>
            </w:pPr>
            <w:r>
              <w:rPr>
                <w:color w:val="1A1A2E"/>
                <w:sz w:val="20"/>
                <w:szCs w:val="20"/>
              </w:rPr>
              <w:t xml:space="preserve">Show ENS identity</w:t>
            </w:r>
          </w:p>
        </w:tc>
        <w:tc>
          <w:tcPr>
            <w:tcW w:type="dxa" w:w="5560"/>
            <w:shd w:fill="FFFFFF" w:color="auto" w:val="clear"/>
            <w:vAlign w:val="center"/>
          </w:tcPr>
          <w:p>
            <w:pPr>
              <w:spacing w:after="80" w:before="80"/>
            </w:pPr>
            <w:r>
              <w:rPr>
                <w:color w:val="1A1A2E"/>
                <w:sz w:val="20"/>
                <w:szCs w:val="20"/>
              </w:rPr>
              <w:t xml:space="preserve">ENS app on Sepolia resolves ria-oracle.ria.eth with ENSIP-26 agent metadata</w:t>
            </w:r>
          </w:p>
        </w:tc>
      </w:tr>
    </w:tbl>
    <w:p>
      <w:pPr>
        <w:spacing w:after="160" w:before="160"/>
      </w:pPr>
      <w:r>
        <w:t xml:space="preserve"/>
      </w:r>
    </w:p>
    <w:p>
      <w:pPr>
        <w:pStyle w:val="Heading2"/>
        <w:spacing w:after="160" w:before="320"/>
      </w:pPr>
      <w:r>
        <w:rPr>
          <w:b/>
          <w:bCs/>
          <w:color w:val="7B2FBE"/>
        </w:rPr>
        <w:t xml:space="preserve">7.2  The Killer Moment (2:20–2:40)</w:t>
      </w:r>
    </w:p>
    <w:p>
      <w:pPr>
        <w:spacing w:after="80" w:before="80"/>
        <w:jc w:val="left"/>
      </w:pPr>
      <w:r>
        <w:rPr>
          <w:b w:val="false"/>
          <w:bCs w:val="false"/>
          <w:i w:val="false"/>
          <w:iCs w:val="false"/>
          <w:color w:val="1A1A2E"/>
          <w:sz w:val="22"/>
          <w:szCs w:val="22"/>
        </w:rPr>
        <w:t xml:space="preserve">The single most memorable thing you can show any judge: a second agent — not RIA — connecting to the MCP server cold, receiving a 402, paying HBAR, and getting data back. This proves the MCP server is a generalized commercial primitive, not a RIA-specific hack. A simple curl command with MCP-formatted headers achieves this in 20 seconds and no judge will forget it.</w:t>
      </w:r>
    </w:p>
    <w:p>
      <w:r>
        <w:br w:type="page"/>
      </w:r>
    </w:p>
    <w:p>
      <w:pPr>
        <w:pStyle w:val="Heading1"/>
        <w:spacing w:after="160" w:before="320"/>
      </w:pPr>
      <w:r>
        <w:rPr>
          <w:b/>
          <w:bCs/>
          <w:color w:val="1A1A2E"/>
        </w:rPr>
        <w:t xml:space="preserve">8. Track Qualification Mapping</w:t>
      </w:r>
    </w:p>
    <w:p>
      <w:pPr>
        <w:pBdr>
          <w:bottom w:val="single" w:color="00D4FF" w:sz="6"/>
        </w:pBdr>
        <w:spacing w:after="200" w:before="200"/>
      </w:pPr>
      <w:r>
        <w:t xml:space="preserve"/>
      </w:r>
    </w:p>
    <w:p>
      <w:pPr>
        <w:pStyle w:val="Heading2"/>
        <w:spacing w:after="160" w:before="320"/>
      </w:pPr>
      <w:r>
        <w:rPr>
          <w:b/>
          <w:bCs/>
          <w:color w:val="7B2FBE"/>
        </w:rPr>
        <w:t xml:space="preserve">8.1  The Graph — AI Use Case (From Scratch)</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3000"/>
        <w:gridCol w:w="6360"/>
      </w:tblGrid>
      <w:tr>
        <w:tc>
          <w:tcPr>
            <w:tcW w:type="dxa" w:w="3000"/>
            <w:shd w:fill="0F3460" w:color="auto" w:val="clear"/>
            <w:vAlign w:val="center"/>
          </w:tcPr>
          <w:p>
            <w:pPr>
              <w:spacing w:after="80" w:before="80"/>
              <w:jc w:val="left"/>
            </w:pPr>
            <w:r>
              <w:rPr>
                <w:b/>
                <w:bCs/>
                <w:color w:val="FFFFFF"/>
                <w:sz w:val="20"/>
                <w:szCs w:val="20"/>
              </w:rPr>
              <w:t xml:space="preserve">Requirement</w:t>
            </w:r>
          </w:p>
        </w:tc>
        <w:tc>
          <w:tcPr>
            <w:tcW w:type="dxa" w:w="6360"/>
            <w:shd w:fill="0F3460" w:color="auto" w:val="clear"/>
            <w:vAlign w:val="center"/>
          </w:tcPr>
          <w:p>
            <w:pPr>
              <w:spacing w:after="80" w:before="80"/>
              <w:jc w:val="left"/>
            </w:pPr>
            <w:r>
              <w:rPr>
                <w:b/>
                <w:bCs/>
                <w:color w:val="FFFFFF"/>
                <w:sz w:val="20"/>
                <w:szCs w:val="20"/>
              </w:rPr>
              <w:t xml:space="preserve">How RIA Satisfies It</w:t>
            </w:r>
          </w:p>
        </w:tc>
      </w:tr>
      <w:tr>
        <w:tc>
          <w:tcPr>
            <w:tcW w:type="dxa" w:w="3000"/>
            <w:shd w:fill="FFFFFF" w:color="auto" w:val="clear"/>
            <w:vAlign w:val="center"/>
          </w:tcPr>
          <w:p>
            <w:pPr>
              <w:spacing w:after="80" w:before="80"/>
            </w:pPr>
            <w:r>
              <w:rPr>
                <w:color w:val="1A1A2E"/>
                <w:sz w:val="20"/>
                <w:szCs w:val="20"/>
              </w:rPr>
              <w:t xml:space="preserve">The Graph is load-bearing</w:t>
            </w:r>
          </w:p>
        </w:tc>
        <w:tc>
          <w:tcPr>
            <w:tcW w:type="dxa" w:w="6360"/>
            <w:shd w:fill="FFFFFF" w:color="auto" w:val="clear"/>
            <w:vAlign w:val="center"/>
          </w:tcPr>
          <w:p>
            <w:pPr>
              <w:spacing w:after="80" w:before="80"/>
            </w:pPr>
            <w:r>
              <w:rPr>
                <w:color w:val="1A1A2E"/>
                <w:sz w:val="20"/>
                <w:szCs w:val="20"/>
              </w:rPr>
              <w:t xml:space="preserve">RECON cannot function without Subgraph Studio — it is the sole on-chain data source. Zero mocked data.</w:t>
            </w:r>
          </w:p>
        </w:tc>
      </w:tr>
      <w:tr>
        <w:tc>
          <w:tcPr>
            <w:tcW w:type="dxa" w:w="3000"/>
            <w:shd w:fill="F0F8FF" w:color="auto" w:val="clear"/>
            <w:vAlign w:val="center"/>
          </w:tcPr>
          <w:p>
            <w:pPr>
              <w:spacing w:after="80" w:before="80"/>
            </w:pPr>
            <w:r>
              <w:rPr>
                <w:color w:val="1A1A2E"/>
                <w:sz w:val="20"/>
                <w:szCs w:val="20"/>
              </w:rPr>
              <w:t xml:space="preserve">Live data</w:t>
            </w:r>
          </w:p>
        </w:tc>
        <w:tc>
          <w:tcPr>
            <w:tcW w:type="dxa" w:w="6360"/>
            <w:shd w:fill="F0F8FF" w:color="auto" w:val="clear"/>
            <w:vAlign w:val="center"/>
          </w:tcPr>
          <w:p>
            <w:pPr>
              <w:spacing w:after="80" w:before="80"/>
            </w:pPr>
            <w:r>
              <w:rPr>
                <w:color w:val="1A1A2E"/>
                <w:sz w:val="20"/>
                <w:szCs w:val="20"/>
              </w:rPr>
              <w:t xml:space="preserve">Subgraph Studio API key + Graph Market Substreams — all hitting live mainnet. $0 within free tiers.</w:t>
            </w:r>
          </w:p>
        </w:tc>
      </w:tr>
      <w:tr>
        <w:tc>
          <w:tcPr>
            <w:tcW w:type="dxa" w:w="3000"/>
            <w:shd w:fill="FFFFFF" w:color="auto" w:val="clear"/>
            <w:vAlign w:val="center"/>
          </w:tcPr>
          <w:p>
            <w:pPr>
              <w:spacing w:after="80" w:before="80"/>
            </w:pPr>
            <w:r>
              <w:rPr>
                <w:color w:val="1A1A2E"/>
                <w:sz w:val="20"/>
                <w:szCs w:val="20"/>
              </w:rPr>
              <w:t xml:space="preserve">Meaningful work with data</w:t>
            </w:r>
          </w:p>
        </w:tc>
        <w:tc>
          <w:tcPr>
            <w:tcW w:type="dxa" w:w="6360"/>
            <w:shd w:fill="FFFFFF" w:color="auto" w:val="clear"/>
            <w:vAlign w:val="center"/>
          </w:tcPr>
          <w:p>
            <w:pPr>
              <w:spacing w:after="80" w:before="80"/>
            </w:pPr>
            <w:r>
              <w:rPr>
                <w:color w:val="1A1A2E"/>
                <w:sz w:val="20"/>
                <w:szCs w:val="20"/>
              </w:rPr>
              <w:t xml:space="preserve">6-agent reasoning pipeline: detection → scoring → paid enrichment → execution → on-chain audit</w:t>
            </w:r>
          </w:p>
        </w:tc>
      </w:tr>
      <w:tr>
        <w:tc>
          <w:tcPr>
            <w:tcW w:type="dxa" w:w="3000"/>
            <w:shd w:fill="F0F8FF" w:color="auto" w:val="clear"/>
            <w:vAlign w:val="center"/>
          </w:tcPr>
          <w:p>
            <w:pPr>
              <w:spacing w:after="80" w:before="80"/>
            </w:pPr>
            <w:r>
              <w:rPr>
                <w:color w:val="1A1A2E"/>
                <w:sz w:val="20"/>
                <w:szCs w:val="20"/>
              </w:rPr>
              <w:t xml:space="preserve">AI use case</w:t>
            </w:r>
          </w:p>
        </w:tc>
        <w:tc>
          <w:tcPr>
            <w:tcW w:type="dxa" w:w="6360"/>
            <w:shd w:fill="F0F8FF" w:color="auto" w:val="clear"/>
            <w:vAlign w:val="center"/>
          </w:tcPr>
          <w:p>
            <w:pPr>
              <w:spacing w:after="80" w:before="80"/>
            </w:pPr>
            <w:r>
              <w:rPr>
                <w:color w:val="1A1A2E"/>
                <w:sz w:val="20"/>
                <w:szCs w:val="20"/>
              </w:rPr>
              <w:t xml:space="preserve">LangGraph multi-agent pipeline using Graph data for autonomous DeFi intelligence</w:t>
            </w:r>
          </w:p>
        </w:tc>
      </w:tr>
      <w:tr>
        <w:tc>
          <w:tcPr>
            <w:tcW w:type="dxa" w:w="3000"/>
            <w:shd w:fill="FFFFFF" w:color="auto" w:val="clear"/>
            <w:vAlign w:val="center"/>
          </w:tcPr>
          <w:p>
            <w:pPr>
              <w:spacing w:after="80" w:before="80"/>
            </w:pPr>
            <w:r>
              <w:rPr>
                <w:color w:val="1A1A2E"/>
                <w:sz w:val="20"/>
                <w:szCs w:val="20"/>
              </w:rPr>
              <w:t xml:space="preserve">Composable Graph products</w:t>
            </w:r>
          </w:p>
        </w:tc>
        <w:tc>
          <w:tcPr>
            <w:tcW w:type="dxa" w:w="6360"/>
            <w:shd w:fill="FFFFFF" w:color="auto" w:val="clear"/>
            <w:vAlign w:val="center"/>
          </w:tcPr>
          <w:p>
            <w:pPr>
              <w:spacing w:after="80" w:before="80"/>
            </w:pPr>
            <w:r>
              <w:rPr>
                <w:color w:val="1A1A2E"/>
                <w:sz w:val="20"/>
                <w:szCs w:val="20"/>
              </w:rPr>
              <w:t xml:space="preserve">Composes 3 products: Subgraph Studio + Messari Standardized Subgraphs + Substreams — highest tier</w:t>
            </w:r>
          </w:p>
        </w:tc>
      </w:tr>
      <w:tr>
        <w:tc>
          <w:tcPr>
            <w:tcW w:type="dxa" w:w="3000"/>
            <w:shd w:fill="F0F8FF" w:color="auto" w:val="clear"/>
            <w:vAlign w:val="center"/>
          </w:tcPr>
          <w:p>
            <w:pPr>
              <w:spacing w:after="80" w:before="80"/>
            </w:pPr>
            <w:r>
              <w:rPr>
                <w:color w:val="1A1A2E"/>
                <w:sz w:val="20"/>
                <w:szCs w:val="20"/>
              </w:rPr>
              <w:t xml:space="preserve">Open source + SKILL.md + README</w:t>
            </w:r>
          </w:p>
        </w:tc>
        <w:tc>
          <w:tcPr>
            <w:tcW w:type="dxa" w:w="6360"/>
            <w:shd w:fill="F0F8FF" w:color="auto" w:val="clear"/>
            <w:vAlign w:val="center"/>
          </w:tcPr>
          <w:p>
            <w:pPr>
              <w:spacing w:after="80" w:before="80"/>
            </w:pPr>
            <w:r>
              <w:rPr>
                <w:color w:val="1A1A2E"/>
                <w:sz w:val="20"/>
                <w:szCs w:val="20"/>
              </w:rPr>
              <w:t xml:space="preserve">SKILL.md at repo root, full README, public GitHub repo</w:t>
            </w:r>
          </w:p>
        </w:tc>
      </w:tr>
      <w:tr>
        <w:tc>
          <w:tcPr>
            <w:tcW w:type="dxa" w:w="3000"/>
            <w:shd w:fill="FFFFFF" w:color="auto" w:val="clear"/>
            <w:vAlign w:val="center"/>
          </w:tcPr>
          <w:p>
            <w:pPr>
              <w:spacing w:after="80" w:before="80"/>
            </w:pPr>
            <w:r>
              <w:rPr>
                <w:color w:val="1A1A2E"/>
                <w:sz w:val="20"/>
                <w:szCs w:val="20"/>
              </w:rPr>
              <w:t xml:space="preserve">From Scratch pool</w:t>
            </w:r>
          </w:p>
        </w:tc>
        <w:tc>
          <w:tcPr>
            <w:tcW w:type="dxa" w:w="6360"/>
            <w:shd w:fill="FFFFFF" w:color="auto" w:val="clear"/>
            <w:vAlign w:val="center"/>
          </w:tcPr>
          <w:p>
            <w:pPr>
              <w:spacing w:after="80" w:before="80"/>
            </w:pPr>
            <w:r>
              <w:rPr>
                <w:color w:val="1A1A2E"/>
                <w:sz w:val="20"/>
                <w:szCs w:val="20"/>
              </w:rPr>
              <w:t xml:space="preserve">Net-new build — no prior project-specific code reused</w:t>
            </w:r>
          </w:p>
        </w:tc>
      </w:tr>
    </w:tbl>
    <w:p>
      <w:pPr>
        <w:spacing w:after="160" w:before="160"/>
      </w:pPr>
      <w:r>
        <w:t xml:space="preserve"/>
      </w:r>
    </w:p>
    <w:p>
      <w:pPr>
        <w:pStyle w:val="Heading2"/>
        <w:spacing w:after="160" w:before="320"/>
      </w:pPr>
      <w:r>
        <w:rPr>
          <w:b/>
          <w:bCs/>
          <w:color w:val="7B2FBE"/>
        </w:rPr>
        <w:t xml:space="preserve">8.2  Hedera — AI &amp; Agentic Payments</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3000"/>
        <w:gridCol w:w="6360"/>
      </w:tblGrid>
      <w:tr>
        <w:tc>
          <w:tcPr>
            <w:tcW w:type="dxa" w:w="3000"/>
            <w:shd w:fill="0F3460" w:color="auto" w:val="clear"/>
            <w:vAlign w:val="center"/>
          </w:tcPr>
          <w:p>
            <w:pPr>
              <w:spacing w:after="80" w:before="80"/>
              <w:jc w:val="left"/>
            </w:pPr>
            <w:r>
              <w:rPr>
                <w:b/>
                <w:bCs/>
                <w:color w:val="FFFFFF"/>
                <w:sz w:val="20"/>
                <w:szCs w:val="20"/>
              </w:rPr>
              <w:t xml:space="preserve">Requirement</w:t>
            </w:r>
          </w:p>
        </w:tc>
        <w:tc>
          <w:tcPr>
            <w:tcW w:type="dxa" w:w="6360"/>
            <w:shd w:fill="0F3460" w:color="auto" w:val="clear"/>
            <w:vAlign w:val="center"/>
          </w:tcPr>
          <w:p>
            <w:pPr>
              <w:spacing w:after="80" w:before="80"/>
              <w:jc w:val="left"/>
            </w:pPr>
            <w:r>
              <w:rPr>
                <w:b/>
                <w:bCs/>
                <w:color w:val="FFFFFF"/>
                <w:sz w:val="20"/>
                <w:szCs w:val="20"/>
              </w:rPr>
              <w:t xml:space="preserve">How RIA Satisfies It</w:t>
            </w:r>
          </w:p>
        </w:tc>
      </w:tr>
      <w:tr>
        <w:tc>
          <w:tcPr>
            <w:tcW w:type="dxa" w:w="3000"/>
            <w:shd w:fill="FFFFFF" w:color="auto" w:val="clear"/>
            <w:vAlign w:val="center"/>
          </w:tcPr>
          <w:p>
            <w:pPr>
              <w:spacing w:after="80" w:before="80"/>
            </w:pPr>
            <w:r>
              <w:rPr>
                <w:color w:val="1A1A2E"/>
                <w:sz w:val="20"/>
                <w:szCs w:val="20"/>
              </w:rPr>
              <w:t xml:space="preserve">Live x402-gated service on Hedera testnet</w:t>
            </w:r>
          </w:p>
        </w:tc>
        <w:tc>
          <w:tcPr>
            <w:tcW w:type="dxa" w:w="6360"/>
            <w:shd w:fill="FFFFFF" w:color="auto" w:val="clear"/>
            <w:vAlign w:val="center"/>
          </w:tcPr>
          <w:p>
            <w:pPr>
              <w:spacing w:after="80" w:before="80"/>
            </w:pPr>
            <w:r>
              <w:rPr>
                <w:color w:val="1A1A2E"/>
                <w:sz w:val="20"/>
                <w:szCs w:val="20"/>
              </w:rPr>
              <w:t xml:space="preserve">x402-Gated MCP Server registered via Blocky402 on Hedera testnet — live, not mocked</w:t>
            </w:r>
          </w:p>
        </w:tc>
      </w:tr>
      <w:tr>
        <w:tc>
          <w:tcPr>
            <w:tcW w:type="dxa" w:w="3000"/>
            <w:shd w:fill="F0F8FF" w:color="auto" w:val="clear"/>
            <w:vAlign w:val="center"/>
          </w:tcPr>
          <w:p>
            <w:pPr>
              <w:spacing w:after="80" w:before="80"/>
            </w:pPr>
            <w:r>
              <w:rPr>
                <w:color w:val="1A1A2E"/>
                <w:sz w:val="20"/>
                <w:szCs w:val="20"/>
              </w:rPr>
              <w:t xml:space="preserve">Platform/agent that consumes it</w:t>
            </w:r>
          </w:p>
        </w:tc>
        <w:tc>
          <w:tcPr>
            <w:tcW w:type="dxa" w:w="6360"/>
            <w:shd w:fill="F0F8FF" w:color="auto" w:val="clear"/>
            <w:vAlign w:val="center"/>
          </w:tcPr>
          <w:p>
            <w:pPr>
              <w:spacing w:after="80" w:before="80"/>
            </w:pPr>
            <w:r>
              <w:rPr>
                <w:color w:val="1A1A2E"/>
                <w:sz w:val="20"/>
                <w:szCs w:val="20"/>
              </w:rPr>
              <w:t xml:space="preserve">ORACLE agent pays per MCP tool call autonomously — AND a second external agent shown in demo</w:t>
            </w:r>
          </w:p>
        </w:tc>
      </w:tr>
      <w:tr>
        <w:tc>
          <w:tcPr>
            <w:tcW w:type="dxa" w:w="3000"/>
            <w:shd w:fill="FFFFFF" w:color="auto" w:val="clear"/>
            <w:vAlign w:val="center"/>
          </w:tcPr>
          <w:p>
            <w:pPr>
              <w:spacing w:after="80" w:before="80"/>
            </w:pPr>
            <w:r>
              <w:rPr>
                <w:color w:val="1A1A2E"/>
                <w:sz w:val="20"/>
                <w:szCs w:val="20"/>
              </w:rPr>
              <w:t xml:space="preserve">At least one real paid request end-to-end</w:t>
            </w:r>
          </w:p>
        </w:tc>
        <w:tc>
          <w:tcPr>
            <w:tcW w:type="dxa" w:w="6360"/>
            <w:shd w:fill="FFFFFF" w:color="auto" w:val="clear"/>
            <w:vAlign w:val="center"/>
          </w:tcPr>
          <w:p>
            <w:pPr>
              <w:spacing w:after="80" w:before="80"/>
            </w:pPr>
            <w:r>
              <w:rPr>
                <w:color w:val="1A1A2E"/>
                <w:sz w:val="20"/>
                <w:szCs w:val="20"/>
              </w:rPr>
              <w:t xml:space="preserve">Live demo: MCP call → 402 → HBAR payment → Hedera tx confirmed → tool executes → data returned</w:t>
            </w:r>
          </w:p>
        </w:tc>
      </w:tr>
      <w:tr>
        <w:tc>
          <w:tcPr>
            <w:tcW w:type="dxa" w:w="3000"/>
            <w:shd w:fill="F0F8FF" w:color="auto" w:val="clear"/>
            <w:vAlign w:val="center"/>
          </w:tcPr>
          <w:p>
            <w:pPr>
              <w:spacing w:after="80" w:before="80"/>
            </w:pPr>
            <w:r>
              <w:rPr>
                <w:color w:val="1A1A2E"/>
                <w:sz w:val="20"/>
                <w:szCs w:val="20"/>
              </w:rPr>
              <w:t xml:space="preserve">Public repo + README</w:t>
            </w:r>
          </w:p>
        </w:tc>
        <w:tc>
          <w:tcPr>
            <w:tcW w:type="dxa" w:w="6360"/>
            <w:shd w:fill="F0F8FF" w:color="auto" w:val="clear"/>
            <w:vAlign w:val="center"/>
          </w:tcPr>
          <w:p>
            <w:pPr>
              <w:spacing w:after="80" w:before="80"/>
            </w:pPr>
            <w:r>
              <w:rPr>
                <w:color w:val="1A1A2E"/>
                <w:sz w:val="20"/>
                <w:szCs w:val="20"/>
              </w:rPr>
              <w:t xml:space="preserve">Full README covering x402 architecture, MCP server setup, and complete payment flow</w:t>
            </w:r>
          </w:p>
        </w:tc>
      </w:tr>
      <w:tr>
        <w:tc>
          <w:tcPr>
            <w:tcW w:type="dxa" w:w="3000"/>
            <w:shd w:fill="FFFFFF" w:color="auto" w:val="clear"/>
            <w:vAlign w:val="center"/>
          </w:tcPr>
          <w:p>
            <w:pPr>
              <w:spacing w:after="80" w:before="80"/>
            </w:pPr>
            <w:r>
              <w:rPr>
                <w:color w:val="1A1A2E"/>
                <w:sz w:val="20"/>
                <w:szCs w:val="20"/>
              </w:rPr>
              <w:t xml:space="preserve">Demo video ≤5 min</w:t>
            </w:r>
          </w:p>
        </w:tc>
        <w:tc>
          <w:tcPr>
            <w:tcW w:type="dxa" w:w="6360"/>
            <w:shd w:fill="FFFFFF" w:color="auto" w:val="clear"/>
            <w:vAlign w:val="center"/>
          </w:tcPr>
          <w:p>
            <w:pPr>
              <w:spacing w:after="80" w:before="80"/>
            </w:pPr>
            <w:r>
              <w:rPr>
                <w:color w:val="1A1A2E"/>
                <w:sz w:val="20"/>
                <w:szCs w:val="20"/>
              </w:rPr>
              <w:t xml:space="preserve">3-minute demo video with live HashScan tx verification</w:t>
            </w:r>
          </w:p>
        </w:tc>
      </w:tr>
      <w:tr>
        <w:tc>
          <w:tcPr>
            <w:tcW w:type="dxa" w:w="3000"/>
            <w:shd w:fill="F0F8FF" w:color="auto" w:val="clear"/>
            <w:vAlign w:val="center"/>
          </w:tcPr>
          <w:p>
            <w:pPr>
              <w:spacing w:after="80" w:before="80"/>
            </w:pPr>
            <w:r>
              <w:rPr>
                <w:color w:val="1A1A2E"/>
                <w:sz w:val="20"/>
                <w:szCs w:val="20"/>
              </w:rPr>
              <w:t xml:space="preserve">Extra: ERC-8004 agent identity</w:t>
            </w:r>
          </w:p>
        </w:tc>
        <w:tc>
          <w:tcPr>
            <w:tcW w:type="dxa" w:w="6360"/>
            <w:shd w:fill="F0F8FF" w:color="auto" w:val="clear"/>
            <w:vAlign w:val="center"/>
          </w:tcPr>
          <w:p>
            <w:pPr>
              <w:spacing w:after="80" w:before="80"/>
            </w:pPr>
            <w:r>
              <w:rPr>
                <w:color w:val="1A1A2E"/>
                <w:sz w:val="20"/>
                <w:szCs w:val="20"/>
              </w:rPr>
              <w:t xml:space="preserve">All 4 RIA agents registered via ERC-8004 on Hedera testnet</w:t>
            </w:r>
          </w:p>
        </w:tc>
      </w:tr>
      <w:tr>
        <w:tc>
          <w:tcPr>
            <w:tcW w:type="dxa" w:w="3000"/>
            <w:shd w:fill="FFFFFF" w:color="auto" w:val="clear"/>
            <w:vAlign w:val="center"/>
          </w:tcPr>
          <w:p>
            <w:pPr>
              <w:spacing w:after="80" w:before="80"/>
            </w:pPr>
            <w:r>
              <w:rPr>
                <w:color w:val="1A1A2E"/>
                <w:sz w:val="20"/>
                <w:szCs w:val="20"/>
              </w:rPr>
              <w:t xml:space="preserve">Extra: HCS audit trail</w:t>
            </w:r>
          </w:p>
        </w:tc>
        <w:tc>
          <w:tcPr>
            <w:tcW w:type="dxa" w:w="6360"/>
            <w:shd w:fill="FFFFFF" w:color="auto" w:val="clear"/>
            <w:vAlign w:val="center"/>
          </w:tcPr>
          <w:p>
            <w:pPr>
              <w:spacing w:after="80" w:before="80"/>
            </w:pPr>
            <w:r>
              <w:rPr>
                <w:color w:val="1A1A2E"/>
                <w:sz w:val="20"/>
                <w:szCs w:val="20"/>
              </w:rPr>
              <w:t xml:space="preserve">AUDIT agent writes every payment + action hash to HCS — shown live in dashboard</w:t>
            </w:r>
          </w:p>
        </w:tc>
      </w:tr>
      <w:tr>
        <w:tc>
          <w:tcPr>
            <w:tcW w:type="dxa" w:w="3000"/>
            <w:shd w:fill="F0F8FF" w:color="auto" w:val="clear"/>
            <w:vAlign w:val="center"/>
          </w:tcPr>
          <w:p>
            <w:pPr>
              <w:spacing w:after="80" w:before="80"/>
            </w:pPr>
            <w:r>
              <w:rPr>
                <w:color w:val="1A1A2E"/>
                <w:sz w:val="20"/>
                <w:szCs w:val="20"/>
              </w:rPr>
              <w:t xml:space="preserve">Extra: generalized commercial model</w:t>
            </w:r>
          </w:p>
        </w:tc>
        <w:tc>
          <w:tcPr>
            <w:tcW w:type="dxa" w:w="6360"/>
            <w:shd w:fill="F0F8FF" w:color="auto" w:val="clear"/>
            <w:vAlign w:val="center"/>
          </w:tcPr>
          <w:p>
            <w:pPr>
              <w:spacing w:after="80" w:before="80"/>
            </w:pPr>
            <w:r>
              <w:rPr>
                <w:color w:val="1A1A2E"/>
                <w:sz w:val="20"/>
                <w:szCs w:val="20"/>
              </w:rPr>
              <w:t xml:space="preserve">MCP server usable by ANY AI agent — not RIA-specific. Strongest possible demo of the track's intent.</w:t>
            </w:r>
          </w:p>
        </w:tc>
      </w:tr>
    </w:tbl>
    <w:p>
      <w:pPr>
        <w:spacing w:after="160" w:before="160"/>
      </w:pPr>
      <w:r>
        <w:t xml:space="preserve"/>
      </w:r>
    </w:p>
    <w:p>
      <w:pPr>
        <w:pStyle w:val="Heading2"/>
        <w:spacing w:after="160" w:before="320"/>
      </w:pPr>
      <w:r>
        <w:rPr>
          <w:b/>
          <w:bCs/>
          <w:color w:val="7B2FBE"/>
        </w:rPr>
        <w:t xml:space="preserve">8.3  ENS — Best Use of ENSv2 (Bonus)</w:t>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3000"/>
        <w:gridCol w:w="6360"/>
      </w:tblGrid>
      <w:tr>
        <w:tc>
          <w:tcPr>
            <w:tcW w:type="dxa" w:w="3000"/>
            <w:shd w:fill="0F3460" w:color="auto" w:val="clear"/>
            <w:vAlign w:val="center"/>
          </w:tcPr>
          <w:p>
            <w:pPr>
              <w:spacing w:after="80" w:before="80"/>
              <w:jc w:val="left"/>
            </w:pPr>
            <w:r>
              <w:rPr>
                <w:b/>
                <w:bCs/>
                <w:color w:val="FFFFFF"/>
                <w:sz w:val="20"/>
                <w:szCs w:val="20"/>
              </w:rPr>
              <w:t xml:space="preserve">Requirement</w:t>
            </w:r>
          </w:p>
        </w:tc>
        <w:tc>
          <w:tcPr>
            <w:tcW w:type="dxa" w:w="6360"/>
            <w:shd w:fill="0F3460" w:color="auto" w:val="clear"/>
            <w:vAlign w:val="center"/>
          </w:tcPr>
          <w:p>
            <w:pPr>
              <w:spacing w:after="80" w:before="80"/>
              <w:jc w:val="left"/>
            </w:pPr>
            <w:r>
              <w:rPr>
                <w:b/>
                <w:bCs/>
                <w:color w:val="FFFFFF"/>
                <w:sz w:val="20"/>
                <w:szCs w:val="20"/>
              </w:rPr>
              <w:t xml:space="preserve">How RIA Satisfies It</w:t>
            </w:r>
          </w:p>
        </w:tc>
      </w:tr>
      <w:tr>
        <w:tc>
          <w:tcPr>
            <w:tcW w:type="dxa" w:w="3000"/>
            <w:shd w:fill="FFFFFF" w:color="auto" w:val="clear"/>
            <w:vAlign w:val="center"/>
          </w:tcPr>
          <w:p>
            <w:pPr>
              <w:spacing w:after="80" w:before="80"/>
            </w:pPr>
            <w:r>
              <w:rPr>
                <w:color w:val="1A1A2E"/>
                <w:sz w:val="20"/>
                <w:szCs w:val="20"/>
              </w:rPr>
              <w:t xml:space="preserve">Built on ENSv2 (Sepolia)</w:t>
            </w:r>
          </w:p>
        </w:tc>
        <w:tc>
          <w:tcPr>
            <w:tcW w:type="dxa" w:w="6360"/>
            <w:shd w:fill="FFFFFF" w:color="auto" w:val="clear"/>
            <w:vAlign w:val="center"/>
          </w:tcPr>
          <w:p>
            <w:pPr>
              <w:spacing w:after="80" w:before="80"/>
            </w:pPr>
            <w:r>
              <w:rPr>
                <w:color w:val="1A1A2E"/>
                <w:sz w:val="20"/>
                <w:szCs w:val="20"/>
              </w:rPr>
              <w:t xml:space="preserve">All agent subnames registered on ENSv2 Sepolia</w:t>
            </w:r>
          </w:p>
        </w:tc>
      </w:tr>
      <w:tr>
        <w:tc>
          <w:tcPr>
            <w:tcW w:type="dxa" w:w="3000"/>
            <w:shd w:fill="F0F8FF" w:color="auto" w:val="clear"/>
            <w:vAlign w:val="center"/>
          </w:tcPr>
          <w:p>
            <w:pPr>
              <w:spacing w:after="80" w:before="80"/>
            </w:pPr>
            <w:r>
              <w:rPr>
                <w:color w:val="1A1A2E"/>
                <w:sz w:val="20"/>
                <w:szCs w:val="20"/>
              </w:rPr>
              <w:t xml:space="preserve">ENSv2 features central to product</w:t>
            </w:r>
          </w:p>
        </w:tc>
        <w:tc>
          <w:tcPr>
            <w:tcW w:type="dxa" w:w="6360"/>
            <w:shd w:fill="F0F8FF" w:color="auto" w:val="clear"/>
            <w:vAlign w:val="center"/>
          </w:tcPr>
          <w:p>
            <w:pPr>
              <w:spacing w:after="80" w:before="80"/>
            </w:pPr>
            <w:r>
              <w:rPr>
                <w:color w:val="1A1A2E"/>
                <w:sz w:val="20"/>
                <w:szCs w:val="20"/>
              </w:rPr>
              <w:t xml:space="preserve">Permissioned Resolver gives each agent isolated record ownership — core to identity model</w:t>
            </w:r>
          </w:p>
        </w:tc>
      </w:tr>
      <w:tr>
        <w:tc>
          <w:tcPr>
            <w:tcW w:type="dxa" w:w="3000"/>
            <w:shd w:fill="FFFFFF" w:color="auto" w:val="clear"/>
            <w:vAlign w:val="center"/>
          </w:tcPr>
          <w:p>
            <w:pPr>
              <w:spacing w:after="80" w:before="80"/>
            </w:pPr>
            <w:r>
              <w:rPr>
                <w:color w:val="1A1A2E"/>
                <w:sz w:val="20"/>
                <w:szCs w:val="20"/>
              </w:rPr>
              <w:t xml:space="preserve">Functional demo</w:t>
            </w:r>
          </w:p>
        </w:tc>
        <w:tc>
          <w:tcPr>
            <w:tcW w:type="dxa" w:w="6360"/>
            <w:shd w:fill="FFFFFF" w:color="auto" w:val="clear"/>
            <w:vAlign w:val="center"/>
          </w:tcPr>
          <w:p>
            <w:pPr>
              <w:spacing w:after="80" w:before="80"/>
            </w:pPr>
            <w:r>
              <w:rPr>
                <w:color w:val="1A1A2E"/>
                <w:sz w:val="20"/>
                <w:szCs w:val="20"/>
              </w:rPr>
              <w:t xml:space="preserve">Live ENS app resolution of ria-oracle.ria.eth with ENSIP-26 text records in demo video</w:t>
            </w:r>
          </w:p>
        </w:tc>
      </w:tr>
      <w:tr>
        <w:tc>
          <w:tcPr>
            <w:tcW w:type="dxa" w:w="3000"/>
            <w:shd w:fill="F0F8FF" w:color="auto" w:val="clear"/>
            <w:vAlign w:val="center"/>
          </w:tcPr>
          <w:p>
            <w:pPr>
              <w:spacing w:after="80" w:before="80"/>
            </w:pPr>
            <w:r>
              <w:rPr>
                <w:color w:val="1A1A2E"/>
                <w:sz w:val="20"/>
                <w:szCs w:val="20"/>
              </w:rPr>
              <w:t xml:space="preserve">Extra: AI agent namespace</w:t>
            </w:r>
          </w:p>
        </w:tc>
        <w:tc>
          <w:tcPr>
            <w:tcW w:type="dxa" w:w="6360"/>
            <w:shd w:fill="F0F8FF" w:color="auto" w:val="clear"/>
            <w:vAlign w:val="center"/>
          </w:tcPr>
          <w:p>
            <w:pPr>
              <w:spacing w:after="80" w:before="80"/>
            </w:pPr>
            <w:r>
              <w:rPr>
                <w:color w:val="1A1A2E"/>
                <w:sz w:val="20"/>
                <w:szCs w:val="20"/>
              </w:rPr>
              <w:t xml:space="preserve">4 agents × subnames with ENSIP-26 metadata — endpoint, version, capabilities per agent</w:t>
            </w:r>
          </w:p>
        </w:tc>
      </w:tr>
    </w:tbl>
    <w:p>
      <w:r>
        <w:br w:type="page"/>
      </w:r>
    </w:p>
    <w:p>
      <w:pPr>
        <w:pStyle w:val="Heading1"/>
        <w:spacing w:after="160" w:before="320"/>
      </w:pPr>
      <w:r>
        <w:rPr>
          <w:b/>
          <w:bCs/>
          <w:color w:val="1A1A2E"/>
        </w:rPr>
        <w:t xml:space="preserve">9. Build Timeline</w:t>
      </w:r>
    </w:p>
    <w:p>
      <w:pPr>
        <w:pBdr>
          <w:bottom w:val="single" w:color="00D4FF" w:sz="6"/>
        </w:pBdr>
        <w:spacing w:after="200" w:before="20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800"/>
        <w:gridCol w:w="2000"/>
        <w:gridCol w:w="6560"/>
      </w:tblGrid>
      <w:tr>
        <w:tc>
          <w:tcPr>
            <w:tcW w:type="dxa" w:w="800"/>
            <w:shd w:fill="0F3460" w:color="auto" w:val="clear"/>
            <w:vAlign w:val="center"/>
          </w:tcPr>
          <w:p>
            <w:pPr>
              <w:spacing w:after="80" w:before="80"/>
              <w:jc w:val="left"/>
            </w:pPr>
            <w:r>
              <w:rPr>
                <w:b/>
                <w:bCs/>
                <w:color w:val="FFFFFF"/>
                <w:sz w:val="20"/>
                <w:szCs w:val="20"/>
              </w:rPr>
              <w:t xml:space="preserve">Day</w:t>
            </w:r>
          </w:p>
        </w:tc>
        <w:tc>
          <w:tcPr>
            <w:tcW w:type="dxa" w:w="2000"/>
            <w:shd w:fill="0F3460" w:color="auto" w:val="clear"/>
            <w:vAlign w:val="center"/>
          </w:tcPr>
          <w:p>
            <w:pPr>
              <w:spacing w:after="80" w:before="80"/>
              <w:jc w:val="left"/>
            </w:pPr>
            <w:r>
              <w:rPr>
                <w:b/>
                <w:bCs/>
                <w:color w:val="FFFFFF"/>
                <w:sz w:val="20"/>
                <w:szCs w:val="20"/>
              </w:rPr>
              <w:t xml:space="preserve">Focus</w:t>
            </w:r>
          </w:p>
        </w:tc>
        <w:tc>
          <w:tcPr>
            <w:tcW w:type="dxa" w:w="6560"/>
            <w:shd w:fill="0F3460" w:color="auto" w:val="clear"/>
            <w:vAlign w:val="center"/>
          </w:tcPr>
          <w:p>
            <w:pPr>
              <w:spacing w:after="80" w:before="80"/>
              <w:jc w:val="left"/>
            </w:pPr>
            <w:r>
              <w:rPr>
                <w:b/>
                <w:bCs/>
                <w:color w:val="FFFFFF"/>
                <w:sz w:val="20"/>
                <w:szCs w:val="20"/>
              </w:rPr>
              <w:t xml:space="preserve">Deliverable</w:t>
            </w:r>
          </w:p>
        </w:tc>
      </w:tr>
      <w:tr>
        <w:tc>
          <w:tcPr>
            <w:tcW w:type="dxa" w:w="800"/>
            <w:shd w:fill="FFFFFF" w:color="auto" w:val="clear"/>
            <w:vAlign w:val="center"/>
          </w:tcPr>
          <w:p>
            <w:pPr>
              <w:spacing w:after="80" w:before="80"/>
            </w:pPr>
            <w:r>
              <w:rPr>
                <w:color w:val="1A1A2E"/>
                <w:sz w:val="20"/>
                <w:szCs w:val="20"/>
              </w:rPr>
              <w:t xml:space="preserve">Day 1</w:t>
            </w:r>
          </w:p>
        </w:tc>
        <w:tc>
          <w:tcPr>
            <w:tcW w:type="dxa" w:w="2000"/>
            <w:shd w:fill="FFFFFF" w:color="auto" w:val="clear"/>
            <w:vAlign w:val="center"/>
          </w:tcPr>
          <w:p>
            <w:pPr>
              <w:spacing w:after="80" w:before="80"/>
            </w:pPr>
            <w:r>
              <w:rPr>
                <w:color w:val="1A1A2E"/>
                <w:sz w:val="20"/>
                <w:szCs w:val="20"/>
              </w:rPr>
              <w:t xml:space="preserve">Data Layer</w:t>
            </w:r>
          </w:p>
        </w:tc>
        <w:tc>
          <w:tcPr>
            <w:tcW w:type="dxa" w:w="6560"/>
            <w:shd w:fill="FFFFFF" w:color="auto" w:val="clear"/>
            <w:vAlign w:val="center"/>
          </w:tcPr>
          <w:p>
            <w:pPr>
              <w:spacing w:after="80" w:before="80"/>
            </w:pPr>
            <w:r>
              <w:rPr>
                <w:color w:val="1A1A2E"/>
                <w:sz w:val="20"/>
                <w:szCs w:val="20"/>
              </w:rPr>
              <w:t xml:space="preserve">Subgraph Studio client + Substreams connected; RECON pulling live normalized data from Uniswap + Aave</w:t>
            </w:r>
          </w:p>
        </w:tc>
      </w:tr>
      <w:tr>
        <w:tc>
          <w:tcPr>
            <w:tcW w:type="dxa" w:w="800"/>
            <w:shd w:fill="F0F8FF" w:color="auto" w:val="clear"/>
            <w:vAlign w:val="center"/>
          </w:tcPr>
          <w:p>
            <w:pPr>
              <w:spacing w:after="80" w:before="80"/>
            </w:pPr>
            <w:r>
              <w:rPr>
                <w:color w:val="1A1A2E"/>
                <w:sz w:val="20"/>
                <w:szCs w:val="20"/>
              </w:rPr>
              <w:t xml:space="preserve">Day 2</w:t>
            </w:r>
          </w:p>
        </w:tc>
        <w:tc>
          <w:tcPr>
            <w:tcW w:type="dxa" w:w="2000"/>
            <w:shd w:fill="F0F8FF" w:color="auto" w:val="clear"/>
            <w:vAlign w:val="center"/>
          </w:tcPr>
          <w:p>
            <w:pPr>
              <w:spacing w:after="80" w:before="80"/>
            </w:pPr>
            <w:r>
              <w:rPr>
                <w:color w:val="1A1A2E"/>
                <w:sz w:val="20"/>
                <w:szCs w:val="20"/>
              </w:rPr>
              <w:t xml:space="preserve">Intelligence Layer</w:t>
            </w:r>
          </w:p>
        </w:tc>
        <w:tc>
          <w:tcPr>
            <w:tcW w:type="dxa" w:w="6560"/>
            <w:shd w:fill="F0F8FF" w:color="auto" w:val="clear"/>
            <w:vAlign w:val="center"/>
          </w:tcPr>
          <w:p>
            <w:pPr>
              <w:spacing w:after="80" w:before="80"/>
            </w:pPr>
            <w:r>
              <w:rPr>
                <w:color w:val="1A1A2E"/>
                <w:sz w:val="20"/>
                <w:szCs w:val="20"/>
              </w:rPr>
              <w:t xml:space="preserve">SCOUT + RISK agents wired; LangGraph StateGraph routing confirmed; WebSocket server emitting SIGNAL + TRACE events</w:t>
            </w:r>
          </w:p>
        </w:tc>
      </w:tr>
      <w:tr>
        <w:tc>
          <w:tcPr>
            <w:tcW w:type="dxa" w:w="800"/>
            <w:shd w:fill="FFFFFF" w:color="auto" w:val="clear"/>
            <w:vAlign w:val="center"/>
          </w:tcPr>
          <w:p>
            <w:pPr>
              <w:spacing w:after="80" w:before="80"/>
            </w:pPr>
            <w:r>
              <w:rPr>
                <w:color w:val="1A1A2E"/>
                <w:sz w:val="20"/>
                <w:szCs w:val="20"/>
              </w:rPr>
              <w:t xml:space="preserve">Day 3</w:t>
            </w:r>
          </w:p>
        </w:tc>
        <w:tc>
          <w:tcPr>
            <w:tcW w:type="dxa" w:w="2000"/>
            <w:shd w:fill="FFFFFF" w:color="auto" w:val="clear"/>
            <w:vAlign w:val="center"/>
          </w:tcPr>
          <w:p>
            <w:pPr>
              <w:spacing w:after="80" w:before="80"/>
            </w:pPr>
            <w:r>
              <w:rPr>
                <w:color w:val="1A1A2E"/>
                <w:sz w:val="20"/>
                <w:szCs w:val="20"/>
              </w:rPr>
              <w:t xml:space="preserve">MCP Server + x402</w:t>
            </w:r>
          </w:p>
        </w:tc>
        <w:tc>
          <w:tcPr>
            <w:tcW w:type="dxa" w:w="6560"/>
            <w:shd w:fill="FFFFFF" w:color="auto" w:val="clear"/>
            <w:vAlign w:val="center"/>
          </w:tcPr>
          <w:p>
            <w:pPr>
              <w:spacing w:after="80" w:before="80"/>
            </w:pPr>
            <w:r>
              <w:rPr>
                <w:color w:val="1A1A2E"/>
                <w:sz w:val="20"/>
                <w:szCs w:val="20"/>
              </w:rPr>
              <w:t xml:space="preserve">All 5 MCP tools implemented; Blocky402 middleware wired; ORACLE completing full x402 payment flow end-to-end</w:t>
            </w:r>
          </w:p>
        </w:tc>
      </w:tr>
      <w:tr>
        <w:tc>
          <w:tcPr>
            <w:tcW w:type="dxa" w:w="800"/>
            <w:shd w:fill="F0F8FF" w:color="auto" w:val="clear"/>
            <w:vAlign w:val="center"/>
          </w:tcPr>
          <w:p>
            <w:pPr>
              <w:spacing w:after="80" w:before="80"/>
            </w:pPr>
            <w:r>
              <w:rPr>
                <w:color w:val="1A1A2E"/>
                <w:sz w:val="20"/>
                <w:szCs w:val="20"/>
              </w:rPr>
              <w:t xml:space="preserve">Day 4</w:t>
            </w:r>
          </w:p>
        </w:tc>
        <w:tc>
          <w:tcPr>
            <w:tcW w:type="dxa" w:w="2000"/>
            <w:shd w:fill="F0F8FF" w:color="auto" w:val="clear"/>
            <w:vAlign w:val="center"/>
          </w:tcPr>
          <w:p>
            <w:pPr>
              <w:spacing w:after="80" w:before="80"/>
            </w:pPr>
            <w:r>
              <w:rPr>
                <w:color w:val="1A1A2E"/>
                <w:sz w:val="20"/>
                <w:szCs w:val="20"/>
              </w:rPr>
              <w:t xml:space="preserve">Identity + Audit</w:t>
            </w:r>
          </w:p>
        </w:tc>
        <w:tc>
          <w:tcPr>
            <w:tcW w:type="dxa" w:w="6560"/>
            <w:shd w:fill="F0F8FF" w:color="auto" w:val="clear"/>
            <w:vAlign w:val="center"/>
          </w:tcPr>
          <w:p>
            <w:pPr>
              <w:spacing w:after="80" w:before="80"/>
            </w:pPr>
            <w:r>
              <w:rPr>
                <w:color w:val="1A1A2E"/>
                <w:sz w:val="20"/>
                <w:szCs w:val="20"/>
              </w:rPr>
              <w:t xml:space="preserve">ENSv2 subnames registered; HCS topic created + logging; ERC-8004 identities registered on Hedera testnet</w:t>
            </w:r>
          </w:p>
        </w:tc>
      </w:tr>
      <w:tr>
        <w:tc>
          <w:tcPr>
            <w:tcW w:type="dxa" w:w="800"/>
            <w:shd w:fill="FFFFFF" w:color="auto" w:val="clear"/>
            <w:vAlign w:val="center"/>
          </w:tcPr>
          <w:p>
            <w:pPr>
              <w:spacing w:after="80" w:before="80"/>
            </w:pPr>
            <w:r>
              <w:rPr>
                <w:color w:val="1A1A2E"/>
                <w:sz w:val="20"/>
                <w:szCs w:val="20"/>
              </w:rPr>
              <w:t xml:space="preserve">Day 5</w:t>
            </w:r>
          </w:p>
        </w:tc>
        <w:tc>
          <w:tcPr>
            <w:tcW w:type="dxa" w:w="2000"/>
            <w:shd w:fill="FFFFFF" w:color="auto" w:val="clear"/>
            <w:vAlign w:val="center"/>
          </w:tcPr>
          <w:p>
            <w:pPr>
              <w:spacing w:after="80" w:before="80"/>
            </w:pPr>
            <w:r>
              <w:rPr>
                <w:color w:val="1A1A2E"/>
                <w:sz w:val="20"/>
                <w:szCs w:val="20"/>
              </w:rPr>
              <w:t xml:space="preserve">Dashboard</w:t>
            </w:r>
          </w:p>
        </w:tc>
        <w:tc>
          <w:tcPr>
            <w:tcW w:type="dxa" w:w="6560"/>
            <w:shd w:fill="FFFFFF" w:color="auto" w:val="clear"/>
            <w:vAlign w:val="center"/>
          </w:tcPr>
          <w:p>
            <w:pPr>
              <w:spacing w:after="80" w:before="80"/>
            </w:pPr>
            <w:r>
              <w:rPr>
                <w:color w:val="1A1A2E"/>
                <w:sz w:val="20"/>
                <w:szCs w:val="20"/>
              </w:rPr>
              <w:t xml:space="preserve">All 4 panels live with real WebSocket data; HashScan links working; HCS mirror node poll confirmed</w:t>
            </w:r>
          </w:p>
        </w:tc>
      </w:tr>
      <w:tr>
        <w:tc>
          <w:tcPr>
            <w:tcW w:type="dxa" w:w="800"/>
            <w:shd w:fill="F0F8FF" w:color="auto" w:val="clear"/>
            <w:vAlign w:val="center"/>
          </w:tcPr>
          <w:p>
            <w:pPr>
              <w:spacing w:after="80" w:before="80"/>
            </w:pPr>
            <w:r>
              <w:rPr>
                <w:color w:val="1A1A2E"/>
                <w:sz w:val="20"/>
                <w:szCs w:val="20"/>
              </w:rPr>
              <w:t xml:space="preserve">Day 6</w:t>
            </w:r>
          </w:p>
        </w:tc>
        <w:tc>
          <w:tcPr>
            <w:tcW w:type="dxa" w:w="2000"/>
            <w:shd w:fill="F0F8FF" w:color="auto" w:val="clear"/>
            <w:vAlign w:val="center"/>
          </w:tcPr>
          <w:p>
            <w:pPr>
              <w:spacing w:after="80" w:before="80"/>
            </w:pPr>
            <w:r>
              <w:rPr>
                <w:color w:val="1A1A2E"/>
                <w:sz w:val="20"/>
                <w:szCs w:val="20"/>
              </w:rPr>
              <w:t xml:space="preserve">Demo + Submit</w:t>
            </w:r>
          </w:p>
        </w:tc>
        <w:tc>
          <w:tcPr>
            <w:tcW w:type="dxa" w:w="6560"/>
            <w:shd w:fill="F0F8FF" w:color="auto" w:val="clear"/>
            <w:vAlign w:val="center"/>
          </w:tcPr>
          <w:p>
            <w:pPr>
              <w:spacing w:after="80" w:before="80"/>
            </w:pPr>
            <w:r>
              <w:rPr>
                <w:color w:val="1A1A2E"/>
                <w:sz w:val="20"/>
                <w:szCs w:val="20"/>
              </w:rPr>
              <w:t xml:space="preserve">SKILL.md + README written; 3-min demo video recorded following demo script; ETHGlobal submission completed</w:t>
            </w:r>
          </w:p>
        </w:tc>
      </w:tr>
    </w:tbl>
    <w:p>
      <w:r>
        <w:br w:type="page"/>
      </w:r>
    </w:p>
    <w:p>
      <w:pPr>
        <w:pStyle w:val="Heading1"/>
        <w:spacing w:after="160" w:before="320"/>
      </w:pPr>
      <w:r>
        <w:rPr>
          <w:b/>
          <w:bCs/>
          <w:color w:val="1A1A2E"/>
        </w:rPr>
        <w:t xml:space="preserve">10. Why RIA Wins</w:t>
      </w:r>
    </w:p>
    <w:p>
      <w:pPr>
        <w:pBdr>
          <w:bottom w:val="single" w:color="00D4FF" w:sz="6"/>
        </w:pBdr>
        <w:spacing w:after="200" w:before="200"/>
      </w:pPr>
      <w:r>
        <w:t xml:space="preserve"/>
      </w:r>
    </w:p>
    <w:tbl>
      <w:tblPr>
        <w:tblW w:type="dxa" w:w="9360"/>
        <w:tblBorders>
          <w:top w:val="single" w:color="CBD5E0" w:sz="4"/>
          <w:left w:val="single" w:color="CBD5E0" w:sz="4"/>
          <w:bottom w:val="single" w:color="CBD5E0" w:sz="4"/>
          <w:right w:val="single" w:color="CBD5E0" w:sz="4"/>
          <w:insideH w:val="single" w:color="auto" w:sz="4"/>
          <w:insideV w:val="single" w:color="auto" w:sz="4"/>
        </w:tblBorders>
      </w:tblPr>
      <w:tblGrid>
        <w:gridCol w:w="2800"/>
        <w:gridCol w:w="6560"/>
      </w:tblGrid>
      <w:tr>
        <w:tc>
          <w:tcPr>
            <w:tcW w:type="dxa" w:w="2800"/>
            <w:shd w:fill="0F3460" w:color="auto" w:val="clear"/>
            <w:vAlign w:val="center"/>
          </w:tcPr>
          <w:p>
            <w:pPr>
              <w:spacing w:after="80" w:before="80"/>
              <w:jc w:val="left"/>
            </w:pPr>
            <w:r>
              <w:rPr>
                <w:b/>
                <w:bCs/>
                <w:color w:val="FFFFFF"/>
                <w:sz w:val="20"/>
                <w:szCs w:val="20"/>
              </w:rPr>
              <w:t xml:space="preserve">Judging Criterion</w:t>
            </w:r>
          </w:p>
        </w:tc>
        <w:tc>
          <w:tcPr>
            <w:tcW w:type="dxa" w:w="6560"/>
            <w:shd w:fill="0F3460" w:color="auto" w:val="clear"/>
            <w:vAlign w:val="center"/>
          </w:tcPr>
          <w:p>
            <w:pPr>
              <w:spacing w:after="80" w:before="80"/>
              <w:jc w:val="left"/>
            </w:pPr>
            <w:r>
              <w:rPr>
                <w:b/>
                <w:bCs/>
                <w:color w:val="FFFFFF"/>
                <w:sz w:val="20"/>
                <w:szCs w:val="20"/>
              </w:rPr>
              <w:t xml:space="preserve">RIA v3 Edge</w:t>
            </w:r>
          </w:p>
        </w:tc>
      </w:tr>
      <w:tr>
        <w:tc>
          <w:tcPr>
            <w:tcW w:type="dxa" w:w="2800"/>
            <w:shd w:fill="FFFFFF" w:color="auto" w:val="clear"/>
            <w:vAlign w:val="center"/>
          </w:tcPr>
          <w:p>
            <w:pPr>
              <w:spacing w:after="80" w:before="80"/>
            </w:pPr>
            <w:r>
              <w:rPr>
                <w:color w:val="1A1A2E"/>
                <w:sz w:val="20"/>
                <w:szCs w:val="20"/>
              </w:rPr>
              <w:t xml:space="preserve">Technical depth</w:t>
            </w:r>
          </w:p>
        </w:tc>
        <w:tc>
          <w:tcPr>
            <w:tcW w:type="dxa" w:w="6560"/>
            <w:shd w:fill="FFFFFF" w:color="auto" w:val="clear"/>
            <w:vAlign w:val="center"/>
          </w:tcPr>
          <w:p>
            <w:pPr>
              <w:spacing w:after="80" w:before="80"/>
            </w:pPr>
            <w:r>
              <w:rPr>
                <w:color w:val="1A1A2E"/>
                <w:sz w:val="20"/>
                <w:szCs w:val="20"/>
              </w:rPr>
              <w:t xml:space="preserve">6-agent LangGraph pipeline + MCP server + x402 middleware + Substreams + HCS + ENSv2 — not a chatbot wrapper</w:t>
            </w:r>
          </w:p>
        </w:tc>
      </w:tr>
      <w:tr>
        <w:tc>
          <w:tcPr>
            <w:tcW w:type="dxa" w:w="2800"/>
            <w:shd w:fill="F0F8FF" w:color="auto" w:val="clear"/>
            <w:vAlign w:val="center"/>
          </w:tcPr>
          <w:p>
            <w:pPr>
              <w:spacing w:after="80" w:before="80"/>
            </w:pPr>
            <w:r>
              <w:rPr>
                <w:color w:val="1A1A2E"/>
                <w:sz w:val="20"/>
                <w:szCs w:val="20"/>
              </w:rPr>
              <w:t xml:space="preserve">Graph product composition</w:t>
            </w:r>
          </w:p>
        </w:tc>
        <w:tc>
          <w:tcPr>
            <w:tcW w:type="dxa" w:w="6560"/>
            <w:shd w:fill="F0F8FF" w:color="auto" w:val="clear"/>
            <w:vAlign w:val="center"/>
          </w:tcPr>
          <w:p>
            <w:pPr>
              <w:spacing w:after="80" w:before="80"/>
            </w:pPr>
            <w:r>
              <w:rPr>
                <w:color w:val="1A1A2E"/>
                <w:sz w:val="20"/>
                <w:szCs w:val="20"/>
              </w:rPr>
              <w:t xml:space="preserve">3 Graph products composed (Studio + Standardized Subgraphs + Substreams) — highest tier qualification</w:t>
            </w:r>
          </w:p>
        </w:tc>
      </w:tr>
      <w:tr>
        <w:tc>
          <w:tcPr>
            <w:tcW w:type="dxa" w:w="2800"/>
            <w:shd w:fill="FFFFFF" w:color="auto" w:val="clear"/>
            <w:vAlign w:val="center"/>
          </w:tcPr>
          <w:p>
            <w:pPr>
              <w:spacing w:after="80" w:before="80"/>
            </w:pPr>
            <w:r>
              <w:rPr>
                <w:color w:val="1A1A2E"/>
                <w:sz w:val="20"/>
                <w:szCs w:val="20"/>
              </w:rPr>
              <w:t xml:space="preserve">Live data integrity</w:t>
            </w:r>
          </w:p>
        </w:tc>
        <w:tc>
          <w:tcPr>
            <w:tcW w:type="dxa" w:w="6560"/>
            <w:shd w:fill="FFFFFF" w:color="auto" w:val="clear"/>
            <w:vAlign w:val="center"/>
          </w:tcPr>
          <w:p>
            <w:pPr>
              <w:spacing w:after="80" w:before="80"/>
            </w:pPr>
            <w:r>
              <w:rPr>
                <w:color w:val="1A1A2E"/>
                <w:sz w:val="20"/>
                <w:szCs w:val="20"/>
              </w:rPr>
              <w:t xml:space="preserve">Zero mocked data. All Graph queries hit live mainnet within free tier — verifiable in demo</w:t>
            </w:r>
          </w:p>
        </w:tc>
      </w:tr>
      <w:tr>
        <w:tc>
          <w:tcPr>
            <w:tcW w:type="dxa" w:w="2800"/>
            <w:shd w:fill="F0F8FF" w:color="auto" w:val="clear"/>
            <w:vAlign w:val="center"/>
          </w:tcPr>
          <w:p>
            <w:pPr>
              <w:spacing w:after="80" w:before="80"/>
            </w:pPr>
            <w:r>
              <w:rPr>
                <w:color w:val="1A1A2E"/>
                <w:sz w:val="20"/>
                <w:szCs w:val="20"/>
              </w:rPr>
              <w:t xml:space="preserve">Hedera x402 completeness</w:t>
            </w:r>
          </w:p>
        </w:tc>
        <w:tc>
          <w:tcPr>
            <w:tcW w:type="dxa" w:w="6560"/>
            <w:shd w:fill="F0F8FF" w:color="auto" w:val="clear"/>
            <w:vAlign w:val="center"/>
          </w:tcPr>
          <w:p>
            <w:pPr>
              <w:spacing w:after="80" w:before="80"/>
            </w:pPr>
            <w:r>
              <w:rPr>
                <w:color w:val="1A1A2E"/>
                <w:sz w:val="20"/>
                <w:szCs w:val="20"/>
              </w:rPr>
              <w:t xml:space="preserve">Hosts the gated MCP server AND consumes it — full loop. Second external agent connecting proves generalization.</w:t>
            </w:r>
          </w:p>
        </w:tc>
      </w:tr>
      <w:tr>
        <w:tc>
          <w:tcPr>
            <w:tcW w:type="dxa" w:w="2800"/>
            <w:shd w:fill="FFFFFF" w:color="auto" w:val="clear"/>
            <w:vAlign w:val="center"/>
          </w:tcPr>
          <w:p>
            <w:pPr>
              <w:spacing w:after="80" w:before="80"/>
            </w:pPr>
            <w:r>
              <w:rPr>
                <w:color w:val="1A1A2E"/>
                <w:sz w:val="20"/>
                <w:szCs w:val="20"/>
              </w:rPr>
              <w:t xml:space="preserve">Commercial model clarity</w:t>
            </w:r>
          </w:p>
        </w:tc>
        <w:tc>
          <w:tcPr>
            <w:tcW w:type="dxa" w:w="6560"/>
            <w:shd w:fill="FFFFFF" w:color="auto" w:val="clear"/>
            <w:vAlign w:val="center"/>
          </w:tcPr>
          <w:p>
            <w:pPr>
              <w:spacing w:after="80" w:before="80"/>
            </w:pPr>
            <w:r>
              <w:rPr>
                <w:color w:val="1A1A2E"/>
                <w:sz w:val="20"/>
                <w:szCs w:val="20"/>
              </w:rPr>
              <w:t xml:space="preserve">x402-gated MCP server is a first-mover demonstration of how AI agents should pay for services — fundable thesis</w:t>
            </w:r>
          </w:p>
        </w:tc>
      </w:tr>
      <w:tr>
        <w:tc>
          <w:tcPr>
            <w:tcW w:type="dxa" w:w="2800"/>
            <w:shd w:fill="F0F8FF" w:color="auto" w:val="clear"/>
            <w:vAlign w:val="center"/>
          </w:tcPr>
          <w:p>
            <w:pPr>
              <w:spacing w:after="80" w:before="80"/>
            </w:pPr>
            <w:r>
              <w:rPr>
                <w:color w:val="1A1A2E"/>
                <w:sz w:val="20"/>
                <w:szCs w:val="20"/>
              </w:rPr>
              <w:t xml:space="preserve">Demo quality</w:t>
            </w:r>
          </w:p>
        </w:tc>
        <w:tc>
          <w:tcPr>
            <w:tcW w:type="dxa" w:w="6560"/>
            <w:shd w:fill="F0F8FF" w:color="auto" w:val="clear"/>
            <w:vAlign w:val="center"/>
          </w:tcPr>
          <w:p>
            <w:pPr>
              <w:spacing w:after="80" w:before="80"/>
            </w:pPr>
            <w:r>
              <w:rPr>
                <w:color w:val="1A1A2E"/>
                <w:sz w:val="20"/>
                <w:szCs w:val="20"/>
              </w:rPr>
              <w:t xml:space="preserve">Dashboard + live HashScan + live HCS + second agent connecting — 4 independent on-chain verification points</w:t>
            </w:r>
          </w:p>
        </w:tc>
      </w:tr>
      <w:tr>
        <w:tc>
          <w:tcPr>
            <w:tcW w:type="dxa" w:w="2800"/>
            <w:shd w:fill="FFFFFF" w:color="auto" w:val="clear"/>
            <w:vAlign w:val="center"/>
          </w:tcPr>
          <w:p>
            <w:pPr>
              <w:spacing w:after="80" w:before="80"/>
            </w:pPr>
            <w:r>
              <w:rPr>
                <w:color w:val="1A1A2E"/>
                <w:sz w:val="20"/>
                <w:szCs w:val="20"/>
              </w:rPr>
              <w:t xml:space="preserve">Differentiation</w:t>
            </w:r>
          </w:p>
        </w:tc>
        <w:tc>
          <w:tcPr>
            <w:tcW w:type="dxa" w:w="6560"/>
            <w:shd w:fill="FFFFFF" w:color="auto" w:val="clear"/>
            <w:vAlign w:val="center"/>
          </w:tcPr>
          <w:p>
            <w:pPr>
              <w:spacing w:after="80" w:before="80"/>
            </w:pPr>
            <w:r>
              <w:rPr>
                <w:color w:val="1A1A2E"/>
                <w:sz w:val="20"/>
                <w:szCs w:val="20"/>
              </w:rPr>
              <w:t xml:space="preserve">MCP + x402 combination not seen at this hackathon. Clean separation of free Graph layer vs paid enrichment layer.</w:t>
            </w:r>
          </w:p>
        </w:tc>
      </w:tr>
      <w:tr>
        <w:tc>
          <w:tcPr>
            <w:tcW w:type="dxa" w:w="2800"/>
            <w:shd w:fill="F0F8FF" w:color="auto" w:val="clear"/>
            <w:vAlign w:val="center"/>
          </w:tcPr>
          <w:p>
            <w:pPr>
              <w:spacing w:after="80" w:before="80"/>
            </w:pPr>
            <w:r>
              <w:rPr>
                <w:color w:val="1A1A2E"/>
                <w:sz w:val="20"/>
                <w:szCs w:val="20"/>
              </w:rPr>
              <w:t xml:space="preserve">Bonus criteria coverage</w:t>
            </w:r>
          </w:p>
        </w:tc>
        <w:tc>
          <w:tcPr>
            <w:tcW w:type="dxa" w:w="6560"/>
            <w:shd w:fill="F0F8FF" w:color="auto" w:val="clear"/>
            <w:vAlign w:val="center"/>
          </w:tcPr>
          <w:p>
            <w:pPr>
              <w:spacing w:after="80" w:before="80"/>
            </w:pPr>
            <w:r>
              <w:rPr>
                <w:color w:val="1A1A2E"/>
                <w:sz w:val="20"/>
                <w:szCs w:val="20"/>
              </w:rPr>
              <w:t xml:space="preserve">ERC-8004 identity + HCS audit trail + ENSv2 subnames — all Hedera bonus boxes checked</w:t>
            </w:r>
          </w:p>
        </w:tc>
      </w:tr>
      <w:tr>
        <w:tc>
          <w:tcPr>
            <w:tcW w:type="dxa" w:w="2800"/>
            <w:shd w:fill="FFFFFF" w:color="auto" w:val="clear"/>
            <w:vAlign w:val="center"/>
          </w:tcPr>
          <w:p>
            <w:pPr>
              <w:spacing w:after="80" w:before="80"/>
            </w:pPr>
            <w:r>
              <w:rPr>
                <w:color w:val="1A1A2E"/>
                <w:sz w:val="20"/>
                <w:szCs w:val="20"/>
              </w:rPr>
              <w:t xml:space="preserve">Builder credibility</w:t>
            </w:r>
          </w:p>
        </w:tc>
        <w:tc>
          <w:tcPr>
            <w:tcW w:type="dxa" w:w="6560"/>
            <w:shd w:fill="FFFFFF" w:color="auto" w:val="clear"/>
            <w:vAlign w:val="center"/>
          </w:tcPr>
          <w:p>
            <w:pPr>
              <w:spacing w:after="80" w:before="80"/>
            </w:pPr>
            <w:r>
              <w:rPr>
                <w:color w:val="1A1A2E"/>
                <w:sz w:val="20"/>
                <w:szCs w:val="20"/>
              </w:rPr>
              <w:t xml:space="preserve">MaalChain (EVM L1) + ORACLE (12-agent LangGraph) + ARIA (embodied AI) + ICUSD (stablecoin) — judges can verify</w:t>
            </w:r>
          </w:p>
        </w:tc>
      </w:tr>
      <w:tr>
        <w:tc>
          <w:tcPr>
            <w:tcW w:type="dxa" w:w="2800"/>
            <w:shd w:fill="F0F8FF" w:color="auto" w:val="clear"/>
            <w:vAlign w:val="center"/>
          </w:tcPr>
          <w:p>
            <w:pPr>
              <w:spacing w:after="80" w:before="80"/>
            </w:pPr>
            <w:r>
              <w:rPr>
                <w:color w:val="1A1A2E"/>
                <w:sz w:val="20"/>
                <w:szCs w:val="20"/>
              </w:rPr>
              <w:t xml:space="preserve">Reusability</w:t>
            </w:r>
          </w:p>
        </w:tc>
        <w:tc>
          <w:tcPr>
            <w:tcW w:type="dxa" w:w="6560"/>
            <w:shd w:fill="F0F8FF" w:color="auto" w:val="clear"/>
            <w:vAlign w:val="center"/>
          </w:tcPr>
          <w:p>
            <w:pPr>
              <w:spacing w:after="80" w:before="80"/>
            </w:pPr>
            <w:r>
              <w:rPr>
                <w:color w:val="1A1A2E"/>
                <w:sz w:val="20"/>
                <w:szCs w:val="20"/>
              </w:rPr>
              <w:t xml:space="preserve">MCP server is standalone — other teams can use it. SKILL.md makes Graph integration reusable.</w:t>
            </w:r>
          </w:p>
        </w:tc>
      </w:tr>
    </w:tbl>
    <w:p>
      <w:r>
        <w:br w:type="page"/>
      </w:r>
    </w:p>
    <w:p>
      <w:pPr>
        <w:pBdr>
          <w:bottom w:val="single" w:color="00D4FF" w:sz="6"/>
        </w:pBdr>
        <w:spacing w:after="200" w:before="200"/>
      </w:pPr>
      <w:r>
        <w:t xml:space="preserve"/>
      </w:r>
    </w:p>
    <w:p>
      <w:pPr>
        <w:spacing w:before="160"/>
        <w:jc w:val="center"/>
      </w:pPr>
      <w:r>
        <w:rPr>
          <w:color w:val="4A5568"/>
          <w:sz w:val="20"/>
          <w:szCs w:val="20"/>
        </w:rPr>
        <w:t xml:space="preserve">RIA — Reconnaissance Intelligence Agent  |  On-chain intelligence that acts.  |  ETHGlobal Online 2026  |  Architecture v3</w:t>
      </w:r>
    </w:p>
    <w:p>
      <w:pPr>
        <w:spacing w:before="60"/>
        <w:jc w:val="center"/>
      </w:pPr>
      <w:r>
        <w:rPr>
          <w:color w:val="4A5568"/>
          <w:sz w:val="18"/>
          <w:szCs w:val="18"/>
        </w:rPr>
        <w:t xml:space="preserve">arrnaya.com  •  github.com/arrnaya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2026-09-09T09:40:28.132Z</dcterms:created>
  <dcterms:modified xsi:type="dcterms:W3CDTF">2026-09-09T09:40:28.142Z</dcterms:modified>
</cp:coreProperties>
</file>

<file path=docProps/custom.xml><?xml version="1.0" encoding="utf-8"?>
<Properties xmlns="http://schemas.openxmlformats.org/officeDocument/2006/custom-properties" xmlns:vt="http://schemas.openxmlformats.org/officeDocument/2006/docPropsVTypes"/>
</file>