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pPr>
      <w:r>
        <w:rPr>
          <w:rFonts w:ascii="Arial" w:cs="Arial" w:eastAsia="Arial" w:hAnsi="Arial"/>
          <w:b/>
          <w:bCs/>
          <w:color w:val="5B6573"/>
          <w:spacing w:val="40"/>
          <w:sz w:val="22"/>
          <w:szCs w:val="22"/>
        </w:rPr>
        <w:t xml:space="preserve">ZOFINGEN TREUHAND AG</w:t>
      </w:r>
    </w:p>
    <w:p>
      <w:pPr>
        <w:spacing w:after="200"/>
      </w:pPr>
      <w:r>
        <w:rPr>
          <w:rFonts w:ascii="Arial" w:cs="Arial" w:eastAsia="Arial" w:hAnsi="Arial"/>
          <w:b/>
          <w:bCs/>
          <w:color w:val="1F3A5F"/>
          <w:sz w:val="52"/>
          <w:szCs w:val="52"/>
        </w:rPr>
        <w:t xml:space="preserve">Fachartikel: Wohnrecht oder Nutzniessung</w:t>
      </w:r>
    </w:p>
    <w:p>
      <w:pPr>
        <w:pBdr>
          <w:bottom w:val="single" w:color="1F3A5F" w:sz="12" w:space="8"/>
        </w:pBdr>
        <w:spacing w:after="500"/>
      </w:pPr>
      <w:r>
        <w:rPr>
          <w:rFonts w:ascii="Arial" w:cs="Arial" w:eastAsia="Arial" w:hAnsi="Arial"/>
          <w:color w:val="5B6573"/>
          <w:sz w:val="28"/>
          <w:szCs w:val="28"/>
        </w:rPr>
        <w:t xml:space="preserve">Liegenschaft an die Kinder übergeben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Kunde</w:t>
            </w:r>
          </w:p>
        </w:tc>
        <w:tc>
          <w:tcPr>
            <w:tcW w:type="dxa" w:w="64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Zofingen Treuhand AG (Philippe Bally)</w:t>
            </w:r>
          </w:p>
        </w:tc>
      </w:tr>
      <w:tr>
        <w:trPr>
          <w:cantSplit/>
        </w:trPr>
        <w:tc>
          <w:tcPr>
            <w:tcW w:type="dxa" w:w="26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Auftrag</w:t>
            </w:r>
          </w:p>
        </w:tc>
        <w:tc>
          <w:tcPr>
            <w:tcW w:type="dxa" w:w="64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Neuer Fachartikel für die Website, LinkedIn-Beitrag (Entwurf) und Beitrag für das Google-Unternehmensprofil, auf Grundlage eines Fachschreibens der Zofingen Treuhand AG</w:t>
            </w:r>
          </w:p>
        </w:tc>
      </w:tr>
      <w:tr>
        <w:trPr>
          <w:cantSplit/>
        </w:trPr>
        <w:tc>
          <w:tcPr>
            <w:tcW w:type="dxa" w:w="26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Primärbegriff (Vorschlag)</w:t>
            </w:r>
          </w:p>
        </w:tc>
        <w:tc>
          <w:tcPr>
            <w:tcW w:type="dxa" w:w="64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wohnrecht oder nutzniessung</w:t>
            </w:r>
          </w:p>
        </w:tc>
      </w:tr>
      <w:tr>
        <w:trPr>
          <w:cantSplit/>
        </w:trPr>
        <w:tc>
          <w:tcPr>
            <w:tcW w:type="dxa" w:w="26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Status</w:t>
            </w:r>
          </w:p>
        </w:tc>
        <w:tc>
          <w:tcPr>
            <w:tcW w:type="dxa" w:w="64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Entwurf 0.3, zur Freigabe</w:t>
            </w:r>
          </w:p>
        </w:tc>
      </w:tr>
      <w:tr>
        <w:trPr>
          <w:cantSplit/>
        </w:trPr>
        <w:tc>
          <w:tcPr>
            <w:tcW w:type="dxa" w:w="26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Stand</w:t>
            </w:r>
          </w:p>
        </w:tc>
        <w:tc>
          <w:tcPr>
            <w:tcW w:type="dxa" w:w="64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29. Oktober 2026</w:t>
            </w:r>
          </w:p>
        </w:tc>
      </w:tr>
      <w:tr>
        <w:trPr>
          <w:cantSplit/>
        </w:trPr>
        <w:tc>
          <w:tcPr>
            <w:tcW w:type="dxa" w:w="26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Sprachen</w:t>
            </w:r>
          </w:p>
        </w:tc>
        <w:tc>
          <w:tcPr>
            <w:tcW w:type="dxa" w:w="64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Kapitel 1, 2, 4 und 5: Deutsch. Kapitel 3: Englisch (für Alberto).</w:t>
            </w:r>
          </w:p>
        </w:tc>
      </w:tr>
    </w:tbl>
    <w:p>
      <w:pPr>
        <w:spacing w:after="100" w:before="400" w:line="276"/>
      </w:pPr>
      <w:r>
        <w:rPr>
          <w:rFonts w:ascii="Arial" w:cs="Arial" w:eastAsia="Arial" w:hAnsi="Arial"/>
          <w:b/>
          <w:bCs/>
          <w:color w:val="1F3A5F"/>
          <w:sz w:val="24"/>
          <w:szCs w:val="24"/>
        </w:rPr>
        <w:t xml:space="preserve">Inhalt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026"/>
        <w:gridCol w:w="3000"/>
      </w:tblGrid>
      <w:tr>
        <w:trPr>
          <w:cantSplit/>
          <w:tblHeader/>
        </w:trPr>
        <w:tc>
          <w:tcPr>
            <w:tcW w:type="dxa" w:w="10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Kapitel</w:t>
            </w:r>
          </w:p>
        </w:tc>
        <w:tc>
          <w:tcPr>
            <w:tcW w:type="dxa" w:w="5026"/>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Inhalt</w:t>
            </w:r>
          </w:p>
        </w:tc>
        <w:tc>
          <w:tcPr>
            <w:tcW w:type="dxa" w:w="30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Für wen</w:t>
            </w:r>
          </w:p>
        </w:tc>
      </w:tr>
      <w:tr>
        <w:trPr>
          <w:cantSplit/>
        </w:trPr>
        <w:tc>
          <w:tcPr>
            <w:tcW w:type="dxa" w:w="1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1</w:t>
            </w:r>
          </w:p>
        </w:tc>
        <w:tc>
          <w:tcPr>
            <w:tcW w:type="dxa" w:w="50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Entscheid, Faktencheck, offene Punkte, Prüfung</w:t>
            </w:r>
          </w:p>
        </w:tc>
        <w:tc>
          <w:tcPr>
            <w:tcW w:type="dxa" w:w="3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Balaram, Philippe Bally</w:t>
            </w:r>
          </w:p>
        </w:tc>
      </w:tr>
      <w:tr>
        <w:trPr>
          <w:cantSplit/>
        </w:trPr>
        <w:tc>
          <w:tcPr>
            <w:tcW w:type="dxa" w:w="1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2</w:t>
            </w:r>
          </w:p>
        </w:tc>
        <w:tc>
          <w:tcPr>
            <w:tcW w:type="dxa" w:w="50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Fachartikel, publikationsfertig</w:t>
            </w:r>
          </w:p>
        </w:tc>
        <w:tc>
          <w:tcPr>
            <w:tcW w:type="dxa" w:w="3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Philippe Bally (Freigabe)</w:t>
            </w:r>
          </w:p>
        </w:tc>
      </w:tr>
      <w:tr>
        <w:trPr>
          <w:cantSplit/>
        </w:trPr>
        <w:tc>
          <w:tcPr>
            <w:tcW w:type="dxa" w:w="1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3</w:t>
            </w:r>
          </w:p>
        </w:tc>
        <w:tc>
          <w:tcPr>
            <w:tcW w:type="dxa" w:w="50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Implementation (Englisch)</w:t>
            </w:r>
          </w:p>
        </w:tc>
        <w:tc>
          <w:tcPr>
            <w:tcW w:type="dxa" w:w="3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Alberto</w:t>
            </w:r>
          </w:p>
        </w:tc>
      </w:tr>
      <w:tr>
        <w:trPr>
          <w:cantSplit/>
        </w:trPr>
        <w:tc>
          <w:tcPr>
            <w:tcW w:type="dxa" w:w="1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4</w:t>
            </w:r>
          </w:p>
        </w:tc>
        <w:tc>
          <w:tcPr>
            <w:tcW w:type="dxa" w:w="50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LinkedIn-Beitrag mit erstem Kommentar (Entwurf, nicht vereinbart)</w:t>
            </w:r>
          </w:p>
        </w:tc>
        <w:tc>
          <w:tcPr>
            <w:tcW w:type="dxa" w:w="3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Balaram, Philippe Bally</w:t>
            </w:r>
          </w:p>
        </w:tc>
      </w:tr>
      <w:tr>
        <w:trPr>
          <w:cantSplit/>
        </w:trPr>
        <w:tc>
          <w:tcPr>
            <w:tcW w:type="dxa" w:w="1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5</w:t>
            </w:r>
          </w:p>
        </w:tc>
        <w:tc>
          <w:tcPr>
            <w:tcW w:type="dxa" w:w="50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Google-Unternehmensprofil</w:t>
            </w:r>
          </w:p>
        </w:tc>
        <w:tc>
          <w:tcPr>
            <w:tcW w:type="dxa" w:w="3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Balaram, Silvia</w:t>
            </w:r>
          </w:p>
        </w:tc>
      </w:tr>
    </w:tbl>
    <w:p>
      <w:pPr>
        <w:pStyle w:val="Heading1"/>
        <w:pageBreakBefore/>
        <w:spacing w:after="200" w:before="0"/>
      </w:pPr>
      <w:r>
        <w:rPr>
          <w:rFonts w:ascii="Arial" w:cs="Arial" w:eastAsia="Arial" w:hAnsi="Arial"/>
          <w:b/>
          <w:bCs/>
          <w:color w:val="1F3A5F"/>
          <w:sz w:val="32"/>
          <w:szCs w:val="32"/>
        </w:rPr>
        <w:t xml:space="preserve">1. Entscheid und Freigabe (Deutsch, für Balaram und Philippe Bally)</w:t>
      </w:r>
    </w:p>
    <w:p>
      <w:pPr>
        <w:pStyle w:val="Heading2"/>
        <w:keepNext/>
        <w:spacing w:after="120" w:before="280"/>
      </w:pPr>
      <w:r>
        <w:rPr>
          <w:rFonts w:ascii="Arial" w:cs="Arial" w:eastAsia="Arial" w:hAnsi="Arial"/>
          <w:b/>
          <w:bCs/>
          <w:color w:val="1F3A5F"/>
          <w:sz w:val="26"/>
          <w:szCs w:val="26"/>
        </w:rPr>
        <w:t xml:space="preserve">1.1 Auftrag und Entscheid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Punkt</w:t>
            </w:r>
          </w:p>
        </w:tc>
        <w:tc>
          <w:tcPr>
            <w:tcW w:type="dxa" w:w="7026"/>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Entscheid und Begründung</w:t>
            </w:r>
          </w:p>
        </w:tc>
      </w:tr>
      <w:tr>
        <w:trPr>
          <w:cantSplit/>
        </w:trPr>
        <w:tc>
          <w:tcPr>
            <w:tcW w:type="dxa" w:w="20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Grundlage</w:t>
            </w:r>
          </w:p>
        </w:tc>
        <w:tc>
          <w:tcPr>
            <w:tcW w:type="dxa" w:w="70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Fachschreiben der Zofingen Treuhand AG vom 18. Oktober 2026 an eine Mandantschaft: Übergabe einer selbstbewohnten Liegenschaft an die Kinder, Beurteilung von Wohnrecht oder Nutzniessung. Im Artikel ist alles anonymisiert: keine Namen, keine Adressen, keine Zahlen der Mandantschaft. Das Rechenbeispiel verwendet frei gewählte, runde Zahlen.</w:t>
            </w:r>
          </w:p>
        </w:tc>
      </w:tr>
      <w:tr>
        <w:trPr>
          <w:cantSplit/>
        </w:trPr>
        <w:tc>
          <w:tcPr>
            <w:tcW w:type="dxa" w:w="20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Entscheid</w:t>
            </w:r>
          </w:p>
        </w:tc>
        <w:tc>
          <w:tcPr>
            <w:tcW w:type="dxa" w:w="70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Neuer Fachartikel für die Website. Kein bestehender Beitrag deckt das Thema (geprüft am 29.10.2026: 21 Beiträge in sitemap-posts.xml, keiner zu Wohnrecht, Nutzniessung oder Vermögensverzicht). Die Seite /grundstueckgewinnsteuern nennt «Steuerliche Beurteilung von Wohnrecht und Nutzniessung» nur als Leistung, ohne Inhalt. Der Artikel schliesst diese Lücke und wird von dort verlinkt. Keine Zusammenlegung nötig.</w:t>
            </w:r>
          </w:p>
        </w:tc>
      </w:tr>
      <w:tr>
        <w:trPr>
          <w:cantSplit/>
        </w:trPr>
        <w:tc>
          <w:tcPr>
            <w:tcW w:type="dxa" w:w="20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Zielgruppe (Annahme)</w:t>
            </w:r>
          </w:p>
        </w:tc>
        <w:tc>
          <w:tcPr>
            <w:tcW w:type="dxa" w:w="70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Hauseigentümer ab etwa 60 im Raum Zofingen und im Kanton Aargau sowie ihre Kinder. Anrede: Sie. Absender: Zofingen Treuhand AG in der Wir-Form. Ein Zitat und der Abschnitt «Über den Autor» nennen Philippe Bally mit Funktion.</w:t>
            </w:r>
          </w:p>
        </w:tc>
      </w:tr>
      <w:tr>
        <w:trPr>
          <w:cantSplit/>
        </w:trPr>
        <w:tc>
          <w:tcPr>
            <w:tcW w:type="dxa" w:w="20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Kanäle</w:t>
            </w:r>
          </w:p>
        </w:tc>
        <w:tc>
          <w:tcPr>
            <w:tcW w:type="dxa" w:w="70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Website (Kapitel 2 und 3), LinkedIn (Kapitel 4) und Google-Unternehmensprofil (Kapitel 5). LinkedIn-Beiträge sind laut Klientenkontext nicht vereinbart. Der Entwurf liegt zur Entscheidung bei Balaram bei und wird nur mit Freigabe von Philippe Bally veröffentlicht.</w:t>
            </w:r>
          </w:p>
        </w:tc>
      </w:tr>
      <w:tr>
        <w:trPr>
          <w:cantSplit/>
        </w:trPr>
        <w:tc>
          <w:tcPr>
            <w:tcW w:type="dxa" w:w="20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Ziel der Seite</w:t>
            </w:r>
          </w:p>
        </w:tc>
        <w:tc>
          <w:tcPr>
            <w:tcW w:type="dxa" w:w="70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Anfragen für ein Erstgespräch (Kontaktseite oder Telefon) und Zitierbarkeit in KI-Antworten zu Fragen rund um die Übergabe einer Liegenschaft im Kanton Aargau. Ein Ranking für einen Begriff mit hohem Suchvolumen ist nicht das Ziel (siehe 1.3).</w:t>
            </w:r>
          </w:p>
        </w:tc>
      </w:tr>
    </w:tbl>
    <w:p>
      <w:pPr>
        <w:pStyle w:val="Heading2"/>
        <w:keepNext/>
        <w:spacing w:after="120" w:before="280"/>
      </w:pPr>
      <w:r>
        <w:rPr>
          <w:rFonts w:ascii="Arial" w:cs="Arial" w:eastAsia="Arial" w:hAnsi="Arial"/>
          <w:b/>
          <w:bCs/>
          <w:color w:val="1F3A5F"/>
          <w:sz w:val="26"/>
          <w:szCs w:val="26"/>
        </w:rPr>
        <w:t xml:space="preserve">1.2 Kern in drei Sätzen</w:t>
      </w:r>
    </w:p>
    <w:p>
      <w:pPr>
        <w:pStyle w:val="ListParagraph"/>
        <w:numPr>
          <w:ilvl w:val="0"/>
          <w:numId w:val="2"/>
        </w:numPr>
        <w:spacing w:after="80" w:line="276"/>
      </w:pPr>
      <w:r>
        <w:rPr>
          <w:rFonts w:ascii="Arial" w:cs="Arial" w:eastAsia="Arial" w:hAnsi="Arial"/>
          <w:sz w:val="20"/>
          <w:szCs w:val="20"/>
        </w:rPr>
        <w:t xml:space="preserve">Wohnrecht und Nutzniessung unterscheiden sich vor allem darin, wer die Kosten trägt und wer wann über das Haus verfügen kann.</w:t>
      </w:r>
    </w:p>
    <w:p>
      <w:pPr>
        <w:pStyle w:val="ListParagraph"/>
        <w:numPr>
          <w:ilvl w:val="0"/>
          <w:numId w:val="2"/>
        </w:numPr>
        <w:spacing w:after="80" w:line="276"/>
      </w:pPr>
      <w:r>
        <w:rPr>
          <w:rFonts w:ascii="Arial" w:cs="Arial" w:eastAsia="Arial" w:hAnsi="Arial"/>
          <w:sz w:val="20"/>
          <w:szCs w:val="20"/>
        </w:rPr>
        <w:t xml:space="preserve">Im Kanton Aargau löst der Verkauf an die Kinder Grundstückgewinnsteuer aus, die eine gemischte Schenkung aufschiebt.</w:t>
      </w:r>
    </w:p>
    <w:p>
      <w:pPr>
        <w:pStyle w:val="ListParagraph"/>
        <w:numPr>
          <w:ilvl w:val="0"/>
          <w:numId w:val="2"/>
        </w:numPr>
        <w:spacing w:after="80" w:line="276"/>
      </w:pPr>
      <w:r>
        <w:rPr>
          <w:rFonts w:ascii="Arial" w:cs="Arial" w:eastAsia="Arial" w:hAnsi="Arial"/>
          <w:sz w:val="20"/>
          <w:szCs w:val="20"/>
        </w:rPr>
        <w:t xml:space="preserve">Die gemischte Schenkung hat einen Preis: Der Verzicht wird bei späteren Ergänzungsleistungen angerechnet, und die Wahl der Variante ist eine Abwägung zwischen Steuer, Heimrisiko und Interessen von Eltern und Kindern.</w:t>
      </w:r>
    </w:p>
    <w:p>
      <w:pPr>
        <w:pBdr>
          <w:left w:val="single" w:color="C98A00" w:sz="18" w:space="8"/>
        </w:pBdr>
        <w:shd w:fill="FFF4D6" w:color="auto" w:val="clear"/>
        <w:spacing w:after="140" w:before="60" w:line="276"/>
        <w:ind w:left="200"/>
      </w:pPr>
      <w:r>
        <w:rPr>
          <w:rFonts w:ascii="Arial" w:cs="Arial" w:eastAsia="Arial" w:hAnsi="Arial"/>
          <w:sz w:val="20"/>
          <w:szCs w:val="20"/>
        </w:rPr>
        <w:t xml:space="preserve">Zur Bestätigung durch Balaram: Diese Kernaussage trägt den Artikel. Wenn sie nicht stimmt, ändert sich der Aufbau.</w:t>
      </w:r>
    </w:p>
    <w:p>
      <w:pPr>
        <w:pStyle w:val="Heading2"/>
        <w:keepNext/>
        <w:spacing w:after="120" w:before="280"/>
      </w:pPr>
      <w:r>
        <w:rPr>
          <w:rFonts w:ascii="Arial" w:cs="Arial" w:eastAsia="Arial" w:hAnsi="Arial"/>
          <w:b/>
          <w:bCs/>
          <w:color w:val="1F3A5F"/>
          <w:sz w:val="26"/>
          <w:szCs w:val="26"/>
        </w:rPr>
        <w:t xml:space="preserve">1.3 Suchbegriffe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Hauptbegriff (Vorschlag)</w:t>
            </w:r>
          </w:p>
        </w:tc>
        <w:tc>
          <w:tcPr>
            <w:tcW w:type="dxa" w:w="66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«wohnrecht oder nutzniessung»</w:t>
            </w:r>
          </w:p>
        </w:tc>
      </w:tr>
      <w:tr>
        <w:trPr>
          <w:cantSplit/>
        </w:trPr>
        <w:tc>
          <w:tcPr>
            <w:tcW w:type="dxa" w:w="24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Nebenbegriffe (Vorschlag)</w:t>
            </w:r>
          </w:p>
        </w:tc>
        <w:tc>
          <w:tcPr>
            <w:tcW w:type="dxa" w:w="66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«liegenschaft an kinder übertragen», «haus an kinder übergeben wohnrecht», «gemischte schenkung liegenschaft», «grundstückgewinnsteuer verkauf an kinder aargau», «ergänzungsleistungen vermögensverzicht liegenschaft»</w:t>
            </w:r>
          </w:p>
        </w:tc>
      </w:tr>
      <w:tr>
        <w:trPr>
          <w:cantSplit/>
        </w:trPr>
        <w:tc>
          <w:tcPr>
            <w:tcW w:type="dxa" w:w="24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Zahlen</w:t>
            </w:r>
          </w:p>
        </w:tc>
        <w:tc>
          <w:tcPr>
            <w:tcW w:type="dxa" w:w="66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Das wissen wir aktuell nicht. In dieser Session gab es keinen Abruf aus Semrush, Keyword-Planer oder Search Console. Die Begriffe sind abgeleitet aus dem Fachschreiben und der Sprache der Zielgruppe. Der Prompt unten holt die Zahlen nur lesend.</w:t>
            </w:r>
          </w:p>
        </w:tc>
      </w:tr>
      <w:tr>
        <w:trPr>
          <w:cantSplit/>
        </w:trPr>
        <w:tc>
          <w:tcPr>
            <w:tcW w:type="dxa" w:w="24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Konflikte</w:t>
            </w:r>
          </w:p>
        </w:tc>
        <w:tc>
          <w:tcPr>
            <w:tcW w:type="dxa" w:w="66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Nach Klientenkontext (Stand 29.10.2026) keine Überschneidung mit anderen Bexolutions-Kunden. Das Thema liegt bei der Übergabe von Liegenschaften, nicht bei Treuhand-Dienstleistungen oder Vorsorge.</w:t>
            </w:r>
          </w:p>
        </w:tc>
      </w:tr>
    </w:tbl>
    <w:p>
      <w:pPr>
        <w:keepNext/>
        <w:spacing w:after="120" w:before="120" w:line="276"/>
      </w:pPr>
      <w:r>
        <w:rPr>
          <w:rFonts w:ascii="Arial" w:cs="Arial" w:eastAsia="Arial" w:hAnsi="Arial"/>
          <w:b/>
          <w:bCs/>
          <w:sz w:val="20"/>
          <w:szCs w:val="20"/>
        </w:rPr>
        <w:t xml:space="preserve">Prompt für Claude in Chrome (nur lesend):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7E2" w:sz="4"/>
              <w:left w:val="single" w:color="D0D7E2" w:sz="4"/>
              <w:bottom w:val="single" w:color="D0D7E2" w:sz="4"/>
              <w:right w:val="single" w:color="D0D7E2" w:sz="4"/>
            </w:tcBorders>
            <w:shd w:fill="F4F6F9" w:color="auto" w:val="clear"/>
            <w:tcMar>
              <w:top w:type="dxa" w:w="100"/>
              <w:left w:type="dxa" w:w="140"/>
              <w:bottom w:type="dxa" w:w="100"/>
              <w:right w:type="dxa" w:w="140"/>
            </w:tcMar>
          </w:tcPr>
          <w:p>
            <w:pPr>
              <w:spacing w:after="0" w:line="240"/>
            </w:pPr>
            <w:r>
              <w:rPr>
                <w:rFonts w:ascii="Courier New" w:cs="Courier New" w:eastAsia="Courier New" w:hAnsi="Courier New"/>
                <w:sz w:val="16"/>
                <w:szCs w:val="16"/>
              </w:rPr>
              <w:t xml:space="preserve">Du sammelst nur Daten. Du änderst nichts, beantragst nichts und bestätigst keine Dialoge.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1. Öffne Semrush mit der Datenbank Schweiz, Sprache Deutsch. Rufe für jeden Begriff das monatliche Suchvolumen, den Keyword-Schwierigkeitsgrad und die ersten drei Domains der Suchergebnisse ab. Begriffe:</w:t>
            </w:r>
          </w:p>
          <w:p>
            <w:pPr>
              <w:spacing w:after="0" w:line="240"/>
            </w:pPr>
            <w:r>
              <w:rPr>
                <w:rFonts w:ascii="Courier New" w:cs="Courier New" w:eastAsia="Courier New" w:hAnsi="Courier New"/>
                <w:sz w:val="16"/>
                <w:szCs w:val="16"/>
              </w:rPr>
              <w:t xml:space="preserve">- wohnrecht oder nutzniessung</w:t>
            </w:r>
          </w:p>
          <w:p>
            <w:pPr>
              <w:spacing w:after="0" w:line="240"/>
            </w:pPr>
            <w:r>
              <w:rPr>
                <w:rFonts w:ascii="Courier New" w:cs="Courier New" w:eastAsia="Courier New" w:hAnsi="Courier New"/>
                <w:sz w:val="16"/>
                <w:szCs w:val="16"/>
              </w:rPr>
              <w:t xml:space="preserve">- wohnrecht nutzniessung unterschied</w:t>
            </w:r>
          </w:p>
          <w:p>
            <w:pPr>
              <w:spacing w:after="0" w:line="240"/>
            </w:pPr>
            <w:r>
              <w:rPr>
                <w:rFonts w:ascii="Courier New" w:cs="Courier New" w:eastAsia="Courier New" w:hAnsi="Courier New"/>
                <w:sz w:val="16"/>
                <w:szCs w:val="16"/>
              </w:rPr>
              <w:t xml:space="preserve">- liegenschaft an kinder übertragen</w:t>
            </w:r>
          </w:p>
          <w:p>
            <w:pPr>
              <w:spacing w:after="0" w:line="240"/>
            </w:pPr>
            <w:r>
              <w:rPr>
                <w:rFonts w:ascii="Courier New" w:cs="Courier New" w:eastAsia="Courier New" w:hAnsi="Courier New"/>
                <w:sz w:val="16"/>
                <w:szCs w:val="16"/>
              </w:rPr>
              <w:t xml:space="preserve">- haus an kinder übergeben</w:t>
            </w:r>
          </w:p>
          <w:p>
            <w:pPr>
              <w:spacing w:after="0" w:line="240"/>
            </w:pPr>
            <w:r>
              <w:rPr>
                <w:rFonts w:ascii="Courier New" w:cs="Courier New" w:eastAsia="Courier New" w:hAnsi="Courier New"/>
                <w:sz w:val="16"/>
                <w:szCs w:val="16"/>
              </w:rPr>
              <w:t xml:space="preserve">- haus an kinder übergeben wohnrecht</w:t>
            </w:r>
          </w:p>
          <w:p>
            <w:pPr>
              <w:spacing w:after="0" w:line="240"/>
            </w:pPr>
            <w:r>
              <w:rPr>
                <w:rFonts w:ascii="Courier New" w:cs="Courier New" w:eastAsia="Courier New" w:hAnsi="Courier New"/>
                <w:sz w:val="16"/>
                <w:szCs w:val="16"/>
              </w:rPr>
              <w:t xml:space="preserve">- gemischte schenkung liegenschaft</w:t>
            </w:r>
          </w:p>
          <w:p>
            <w:pPr>
              <w:spacing w:after="0" w:line="240"/>
            </w:pPr>
            <w:r>
              <w:rPr>
                <w:rFonts w:ascii="Courier New" w:cs="Courier New" w:eastAsia="Courier New" w:hAnsi="Courier New"/>
                <w:sz w:val="16"/>
                <w:szCs w:val="16"/>
              </w:rPr>
              <w:t xml:space="preserve">- grundstückgewinnsteuer verkauf an kinder</w:t>
            </w:r>
          </w:p>
          <w:p>
            <w:pPr>
              <w:spacing w:after="0" w:line="240"/>
            </w:pPr>
            <w:r>
              <w:rPr>
                <w:rFonts w:ascii="Courier New" w:cs="Courier New" w:eastAsia="Courier New" w:hAnsi="Courier New"/>
                <w:sz w:val="16"/>
                <w:szCs w:val="16"/>
              </w:rPr>
              <w:t xml:space="preserve">- grundstückgewinnsteuer aargau kinder</w:t>
            </w:r>
          </w:p>
          <w:p>
            <w:pPr>
              <w:spacing w:after="0" w:line="240"/>
            </w:pPr>
            <w:r>
              <w:rPr>
                <w:rFonts w:ascii="Courier New" w:cs="Courier New" w:eastAsia="Courier New" w:hAnsi="Courier New"/>
                <w:sz w:val="16"/>
                <w:szCs w:val="16"/>
              </w:rPr>
              <w:t xml:space="preserve">- ergänzungsleistungen vermögensverzicht liegenschaft</w:t>
            </w:r>
          </w:p>
          <w:p>
            <w:pPr>
              <w:spacing w:after="0" w:line="240"/>
            </w:pPr>
            <w:r>
              <w:rPr>
                <w:rFonts w:ascii="Courier New" w:cs="Courier New" w:eastAsia="Courier New" w:hAnsi="Courier New"/>
                <w:sz w:val="16"/>
                <w:szCs w:val="16"/>
              </w:rPr>
              <w:t xml:space="preserve">- nutzniessung haus</w:t>
            </w:r>
          </w:p>
          <w:p>
            <w:pPr>
              <w:spacing w:after="0" w:line="240"/>
            </w:pPr>
            <w:r>
              <w:rPr>
                <w:rFonts w:ascii="Courier New" w:cs="Courier New" w:eastAsia="Courier New" w:hAnsi="Courier New"/>
                <w:sz w:val="16"/>
                <w:szCs w:val="16"/>
              </w:rPr>
              <w:t xml:space="preserve">- wohnrecht haus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2. Öffne die Google Search Console der Property https://www.zofingen-treuhand.ch/ , Bericht Leistung, Zeitraum letzte 3 Monate, Suchtyp Web. Notiere für jede Suchanfrage, die wohnrecht, nutzniessung oder schenkung enthält, Klicks, Impressionen und Position. Gibt es keine Daten, schreibe «keine Daten».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Gib zwei getrennte Listen aus:</w:t>
            </w:r>
          </w:p>
          <w:p>
            <w:pPr>
              <w:spacing w:after="0" w:line="240"/>
            </w:pPr>
            <w:r>
              <w:rPr>
                <w:rFonts w:ascii="Courier New" w:cs="Courier New" w:eastAsia="Courier New" w:hAnsi="Courier New"/>
                <w:sz w:val="16"/>
                <w:szCs w:val="16"/>
              </w:rPr>
              <w:t xml:space="preserve">A) Daten: nur gemessene Werte, jeweils mit Quelle und Zeitraum.</w:t>
            </w:r>
          </w:p>
          <w:p>
            <w:pPr>
              <w:spacing w:after="0" w:line="240"/>
            </w:pPr>
            <w:r>
              <w:rPr>
                <w:rFonts w:ascii="Courier New" w:cs="Courier New" w:eastAsia="Courier New" w:hAnsi="Courier New"/>
                <w:sz w:val="16"/>
                <w:szCs w:val="16"/>
              </w:rPr>
              <w:t xml:space="preserve">B) Auffälligkeiten: deine Einschätzung, klar als Einschätzung gekennzeichnet.</w:t>
            </w:r>
          </w:p>
          <w:p>
            <w:pPr>
              <w:spacing w:after="0" w:line="240"/>
            </w:pPr>
            <w:r>
              <w:rPr>
                <w:rFonts w:ascii="Courier New" w:cs="Courier New" w:eastAsia="Courier New" w:hAnsi="Courier New"/>
                <w:sz w:val="16"/>
                <w:szCs w:val="16"/>
              </w:rPr>
              <w:t xml:space="preserve">Erfinde keine Werte. Bei Hinweisen auf Limits, Kosten oder Upgrades brich ab und melde es.</w:t>
            </w:r>
          </w:p>
        </w:tc>
      </w:tr>
    </w:tbl>
    <w:p>
      <w:pPr>
        <w:spacing w:after="80"/>
      </w:pPr>
    </w:p>
    <w:p>
      <w:pPr>
        <w:pStyle w:val="Heading2"/>
        <w:keepNext/>
        <w:spacing w:after="120" w:before="280"/>
      </w:pPr>
      <w:r>
        <w:rPr>
          <w:rFonts w:ascii="Arial" w:cs="Arial" w:eastAsia="Arial" w:hAnsi="Arial"/>
          <w:b/>
          <w:bCs/>
          <w:color w:val="1F3A5F"/>
          <w:sz w:val="26"/>
          <w:szCs w:val="26"/>
        </w:rPr>
        <w:t xml:space="preserve">1.4 Faktencheck: Abweichungen gegenüber dem Fachschreiben</w:t>
      </w:r>
    </w:p>
    <w:p>
      <w:pPr>
        <w:spacing w:after="120" w:before="0" w:line="276"/>
      </w:pPr>
      <w:r>
        <w:rPr>
          <w:rFonts w:ascii="Arial" w:cs="Arial" w:eastAsia="Arial" w:hAnsi="Arial"/>
          <w:sz w:val="20"/>
          <w:szCs w:val="20"/>
        </w:rPr>
        <w:t xml:space="preserve">Jede Aussage des Artikels wurde gegen eine Quelle geprüft. Status: bestätigt (Primärquelle), eingeschränkt (Behörde oder Gericht nur teilweise belegt), Erfahrungswert (Fachpublikation, nicht Primärquelle). Die folgenden Punkte weichen vom Schreiben ab oder sind nicht voll belegt. Sie brauchen die Freigabe von Philippe Bally.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750"/>
        <w:gridCol w:w="3126"/>
        <w:gridCol w:w="2050"/>
        <w:gridCol w:w="1500"/>
      </w:tblGrid>
      <w:tr>
        <w:trPr>
          <w:cantSplit/>
          <w:tblHeader/>
        </w:trPr>
        <w:tc>
          <w:tcPr>
            <w:tcW w:type="dxa" w:w="6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Nr.</w:t>
            </w:r>
          </w:p>
        </w:tc>
        <w:tc>
          <w:tcPr>
            <w:tcW w:type="dxa" w:w="175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Aussage im Schreiben</w:t>
            </w:r>
          </w:p>
        </w:tc>
        <w:tc>
          <w:tcPr>
            <w:tcW w:type="dxa" w:w="3126"/>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Befund</w:t>
            </w:r>
          </w:p>
        </w:tc>
        <w:tc>
          <w:tcPr>
            <w:tcW w:type="dxa" w:w="205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Im Artikel</w:t>
            </w:r>
          </w:p>
        </w:tc>
        <w:tc>
          <w:tcPr>
            <w:tcW w:type="dxa" w:w="15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Status</w:t>
            </w:r>
          </w:p>
        </w:tc>
      </w:tr>
      <w:tr>
        <w:trPr>
          <w:cantSplit/>
        </w:trPr>
        <w:tc>
          <w:tcPr>
            <w:tcW w:type="dxa" w:w="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1</w:t>
            </w:r>
          </w:p>
        </w:tc>
        <w:tc>
          <w:tcPr>
            <w:tcW w:type="dxa" w:w="17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Verkauf an die Kinder ist «seit dem Urteil des Verwaltungsgerichtes aus dem Jahre 2021» nicht mehr von der Grundstückgewinnsteuer ausgenommen.</w:t>
            </w:r>
          </w:p>
        </w:tc>
        <w:tc>
          <w:tcPr>
            <w:tcW w:type="dxa" w:w="31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Das Merkblatt des Steueramts hält fest, dass der Aufschub für Rechtsgeschäfte unter Verwandten in gerader Linie wegen Art. 72 Abs. 2 StHG nicht mehr angewendet wird (Änderungen 1. Juli 2023). Eine Fachpublikation nennt dasselbe Datum. Ein Urteil von 2021 konnten wir nicht finden.</w:t>
            </w:r>
          </w:p>
        </w:tc>
        <w:tc>
          <w:tcPr>
            <w:tcW w:type="dxa" w:w="20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Nur «seit dem 1. Juli 2023», kein Urteil genannt. Philippe: Aktenzeichen des Urteils nennen, falls es besteht.</w:t>
            </w:r>
          </w:p>
        </w:tc>
        <w:tc>
          <w:tcPr>
            <w:tcW w:type="dxa" w:w="15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eingeschränkt</w:t>
            </w:r>
          </w:p>
        </w:tc>
      </w:tr>
      <w:tr>
        <w:trPr>
          <w:cantSplit/>
        </w:trPr>
        <w:tc>
          <w:tcPr>
            <w:tcW w:type="dxa" w:w="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2</w:t>
            </w:r>
          </w:p>
        </w:tc>
        <w:tc>
          <w:tcPr>
            <w:tcW w:type="dxa" w:w="17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Bei der Nutzniessung tragen die Eltern auch den ausserordentlichen Unterhalt.</w:t>
            </w:r>
          </w:p>
        </w:tc>
        <w:tc>
          <w:tcPr>
            <w:tcW w:type="dxa" w:w="31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Art. 764 ZGB: Der Nutzniesser besorgt den gewöhnlichen Unterhalt. Bei wichtigeren Schutzarbeiten informiert er den Eigentümer und darf bei fehlender Abhilfe auf dessen Kosten handeln. Die Nutzniessung ist nach Art. 745 Abs. 2 ZGB dispositiv.</w:t>
            </w:r>
          </w:p>
        </w:tc>
        <w:tc>
          <w:tcPr>
            <w:tcW w:type="dxa" w:w="20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Gesetzliche Regel genannt, Hinweis, dass der Vertrag die Frage ausdrücklich regeln soll.</w:t>
            </w:r>
          </w:p>
        </w:tc>
        <w:tc>
          <w:tcPr>
            <w:tcW w:type="dxa" w:w="15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bestätigt</w:t>
            </w:r>
          </w:p>
        </w:tc>
      </w:tr>
      <w:tr>
        <w:trPr>
          <w:cantSplit/>
        </w:trPr>
        <w:tc>
          <w:tcPr>
            <w:tcW w:type="dxa" w:w="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3</w:t>
            </w:r>
          </w:p>
        </w:tc>
        <w:tc>
          <w:tcPr>
            <w:tcW w:type="dxa" w:w="17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Vermögensverzicht im Beispiel: CHF 300'000, nach Abzug von 10 Prozent «Schätzungstoleranz» (CHF 88'130) vom Verkehrswert.</w:t>
            </w:r>
          </w:p>
        </w:tc>
        <w:tc>
          <w:tcPr>
            <w:tcW w:type="dxa" w:w="31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Nach der Fachliteratur ist die Gegenleistung gleichwertig, wenn sie mindestens 90 Prozent erreicht. Darunter zählt die gesamte Differenz als Verzicht, nicht nur der Teil unterhalb der 90-Prozent-Grenze. Im Beispiel des Schreibens ergibt sich so: 881'300 minus (154'511 + 150'000 + 188'659) = 388'130, nicht 300'000. Das Risiko bei den Ergänzungsleistungen läge rund 29 Prozent höher als im Schreiben.</w:t>
            </w:r>
          </w:p>
        </w:tc>
        <w:tc>
          <w:tcPr>
            <w:tcW w:type="dxa" w:w="20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Beispiel ohne Toleranzabzug gerechnet, im Text «gesamte Differenz». Philippe: Rechnung im Mandantenschreiben prüfen.</w:t>
            </w:r>
          </w:p>
        </w:tc>
        <w:tc>
          <w:tcPr>
            <w:tcW w:type="dxa" w:w="15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Erfahrungswert</w:t>
            </w:r>
          </w:p>
        </w:tc>
      </w:tr>
      <w:tr>
        <w:trPr>
          <w:cantSplit/>
        </w:trPr>
        <w:tc>
          <w:tcPr>
            <w:tcW w:type="dxa" w:w="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4</w:t>
            </w:r>
          </w:p>
        </w:tc>
        <w:tc>
          <w:tcPr>
            <w:tcW w:type="dxa" w:w="17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Die 90-Prozent-Schwelle gilt «gemäss Entscheid BGE».</w:t>
            </w:r>
          </w:p>
        </w:tc>
        <w:tc>
          <w:tcPr>
            <w:tcW w:type="dxa" w:w="31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Wir haben in den Urteilen 9C_928/2011 und 9C_31/2018 keine solche Aussage gefunden. Die Schwelle steht als Praxis in zwei Fachbeiträgen.</w:t>
            </w:r>
          </w:p>
        </w:tc>
        <w:tc>
          <w:tcPr>
            <w:tcW w:type="dxa" w:w="20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«Nach der Praxis». Kein Bundesgericht genannt.</w:t>
            </w:r>
          </w:p>
        </w:tc>
        <w:tc>
          <w:tcPr>
            <w:tcW w:type="dxa" w:w="15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Erfahrungswert</w:t>
            </w:r>
          </w:p>
        </w:tc>
      </w:tr>
      <w:tr>
        <w:trPr>
          <w:cantSplit/>
        </w:trPr>
        <w:tc>
          <w:tcPr>
            <w:tcW w:type="dxa" w:w="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5</w:t>
            </w:r>
          </w:p>
        </w:tc>
        <w:tc>
          <w:tcPr>
            <w:tcW w:type="dxa" w:w="17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Das Wohnrecht «entfällt» beim Auszug der Eltern.</w:t>
            </w:r>
          </w:p>
        </w:tc>
        <w:tc>
          <w:tcPr>
            <w:tcW w:type="dxa" w:w="31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Das Gesetz kennt als Ende den Tod oder die Aufhebung. Die Löschung bei dauerndem Auszug wird üblicherweise vertraglich geregelt.</w:t>
            </w:r>
          </w:p>
        </w:tc>
        <w:tc>
          <w:tcPr>
            <w:tcW w:type="dxa" w:w="20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«In der Regel gelöscht», «lässt sich im Vertrag festhalten».</w:t>
            </w:r>
          </w:p>
        </w:tc>
        <w:tc>
          <w:tcPr>
            <w:tcW w:type="dxa" w:w="15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eingeschränkt</w:t>
            </w:r>
          </w:p>
        </w:tc>
      </w:tr>
      <w:tr>
        <w:trPr>
          <w:cantSplit/>
        </w:trPr>
        <w:tc>
          <w:tcPr>
            <w:tcW w:type="dxa" w:w="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6</w:t>
            </w:r>
          </w:p>
        </w:tc>
        <w:tc>
          <w:tcPr>
            <w:tcW w:type="dxa" w:w="17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Kürzung der Ergänzungsleistungen um CHF 15'000 pro Jahr (10 Prozent des Verzichts).</w:t>
            </w:r>
          </w:p>
        </w:tc>
        <w:tc>
          <w:tcPr>
            <w:tcW w:type="dxa" w:w="31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Die Quote des Vermögensverzehrs und die Freibeträge haben wir nicht gegen die Primärquelle geprüft.</w:t>
            </w:r>
          </w:p>
        </w:tc>
        <w:tc>
          <w:tcPr>
            <w:tcW w:type="dxa" w:w="20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Keine Zahl. Philippe kann Quote und Freibeträge bestätigen, dann ergänzen wir sie.</w:t>
            </w:r>
          </w:p>
        </w:tc>
        <w:tc>
          <w:tcPr>
            <w:tcW w:type="dxa" w:w="15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offen</w:t>
            </w:r>
          </w:p>
        </w:tc>
      </w:tr>
      <w:tr>
        <w:trPr>
          <w:cantSplit/>
        </w:trPr>
        <w:tc>
          <w:tcPr>
            <w:tcW w:type="dxa" w:w="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7</w:t>
            </w:r>
          </w:p>
        </w:tc>
        <w:tc>
          <w:tcPr>
            <w:tcW w:type="dxa" w:w="17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Abbau des Verzichts um CHF 10'000 pro Jahr.</w:t>
            </w:r>
          </w:p>
        </w:tc>
        <w:tc>
          <w:tcPr>
            <w:tcW w:type="dxa" w:w="31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Art. 17a ELV, bestätigt im Bundesgerichtsurteil 9C_31/2018. Erste Verminderung am 1. Januar des zweiten Jahres nach dem Verzicht. «Nach 15 Jahren etwa die Hälfte» stimmt für CHF 300'000.</w:t>
            </w:r>
          </w:p>
        </w:tc>
        <w:tc>
          <w:tcPr>
            <w:tcW w:type="dxa" w:w="20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Übernommen, mit Beginn im zweiten Jahr.</w:t>
            </w:r>
          </w:p>
        </w:tc>
        <w:tc>
          <w:tcPr>
            <w:tcW w:type="dxa" w:w="15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bestätigt</w:t>
            </w:r>
          </w:p>
        </w:tc>
      </w:tr>
      <w:tr>
        <w:trPr>
          <w:cantSplit/>
        </w:trPr>
        <w:tc>
          <w:tcPr>
            <w:tcW w:type="dxa" w:w="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8</w:t>
            </w:r>
          </w:p>
        </w:tc>
        <w:tc>
          <w:tcPr>
            <w:tcW w:type="dxa" w:w="17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Eigenmietwert bis 31.12.2028.</w:t>
            </w:r>
          </w:p>
        </w:tc>
        <w:tc>
          <w:tcPr>
            <w:tcW w:type="dxa" w:w="31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Der Bundesrat setzt die Abschaffung auf den 1. Januar 2029 in Kraft (Medienmitteilung vom 1. April 2026). Der Unterhaltsabzug entfällt für selbstgenutztes Wohneigentum, Schuldzinsen sind nur anteilig abziehbar.</w:t>
            </w:r>
          </w:p>
        </w:tc>
        <w:tc>
          <w:tcPr>
            <w:tcW w:type="dxa" w:w="20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Übernommen.</w:t>
            </w:r>
          </w:p>
        </w:tc>
        <w:tc>
          <w:tcPr>
            <w:tcW w:type="dxa" w:w="15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bestätigt</w:t>
            </w:r>
          </w:p>
        </w:tc>
      </w:tr>
      <w:tr>
        <w:trPr>
          <w:cantSplit/>
        </w:trPr>
        <w:tc>
          <w:tcPr>
            <w:tcW w:type="dxa" w:w="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9</w:t>
            </w:r>
          </w:p>
        </w:tc>
        <w:tc>
          <w:tcPr>
            <w:tcW w:type="dxa" w:w="17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Pauschale 65 Prozent und Steuersatz 5 Prozent bei langer Besitzdauer; Rechnung ergibt CHF 15'422.75.</w:t>
            </w:r>
          </w:p>
        </w:tc>
        <w:tc>
          <w:tcPr>
            <w:tcW w:type="dxa" w:w="31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Das Merkblatt nennt 65 Prozent bei über 25 Jahren und 5 Prozent bei über 25 Jahren als Beispiele. Die Rechnung des Schreibens stimmt (881'300 × 35 Prozent × 5 Prozent).</w:t>
            </w:r>
          </w:p>
        </w:tc>
        <w:tc>
          <w:tcPr>
            <w:tcW w:type="dxa" w:w="20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Mit eigenen runden Zahlen gerechnet: CHF 15'750.</w:t>
            </w:r>
          </w:p>
        </w:tc>
        <w:tc>
          <w:tcPr>
            <w:tcW w:type="dxa" w:w="15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bestätigt</w:t>
            </w:r>
          </w:p>
        </w:tc>
      </w:tr>
      <w:tr>
        <w:trPr>
          <w:cantSplit/>
        </w:trPr>
        <w:tc>
          <w:tcPr>
            <w:tcW w:type="dxa" w:w="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10</w:t>
            </w:r>
          </w:p>
        </w:tc>
        <w:tc>
          <w:tcPr>
            <w:tcW w:type="dxa" w:w="17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Gemischte Schenkung ist steueraufschiebend nach § 97 Abs. 1 lit. a StG.</w:t>
            </w:r>
          </w:p>
        </w:tc>
        <w:tc>
          <w:tcPr>
            <w:tcW w:type="dxa" w:w="31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Bestätigt im Merkblatt (Ziff. 4.2). Das Kriterium «Gegenleistung mindestens 20 Prozent unter dem Verkehrswert plus Zuwendungswille» und die Messung nach Abzug der Nutzniessung stammen aus Fachpublikationen zur Praxis ab 1. Juli 2023, nicht aus dem Merkblatt.</w:t>
            </w:r>
          </w:p>
        </w:tc>
        <w:tc>
          <w:tcPr>
            <w:tcW w:type="dxa" w:w="20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Aufschub als Gesetz, 20-Prozent-Kriterium als «nach der Praxis, in der Regel».</w:t>
            </w:r>
          </w:p>
        </w:tc>
        <w:tc>
          <w:tcPr>
            <w:tcW w:type="dxa" w:w="15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bestätigt / Erfahrungswert</w:t>
            </w:r>
          </w:p>
        </w:tc>
      </w:tr>
      <w:tr>
        <w:trPr>
          <w:cantSplit/>
        </w:trPr>
        <w:tc>
          <w:tcPr>
            <w:tcW w:type="dxa" w:w="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11</w:t>
            </w:r>
          </w:p>
        </w:tc>
        <w:tc>
          <w:tcPr>
            <w:tcW w:type="dxa" w:w="17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Barwert Wohnrecht höher als Barwert Nutzniessung, weil weniger Pflichten.</w:t>
            </w:r>
          </w:p>
        </w:tc>
        <w:tc>
          <w:tcPr>
            <w:tcW w:type="dxa" w:w="31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Eigene Praxisaussage von Zofingen Treuhand. Wir haben dafür keine externe Quelle gefunden.</w:t>
            </w:r>
          </w:p>
        </w:tc>
        <w:tc>
          <w:tcPr>
            <w:tcW w:type="dxa" w:w="20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«In unserer Praxis». Philippe bestätigt die Aussage mit der Freigabe.</w:t>
            </w:r>
          </w:p>
        </w:tc>
        <w:tc>
          <w:tcPr>
            <w:tcW w:type="dxa" w:w="15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Erfahrungswert</w:t>
            </w:r>
          </w:p>
        </w:tc>
      </w:tr>
      <w:tr>
        <w:trPr>
          <w:cantSplit/>
        </w:trPr>
        <w:tc>
          <w:tcPr>
            <w:tcW w:type="dxa" w:w="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12</w:t>
            </w:r>
          </w:p>
        </w:tc>
        <w:tc>
          <w:tcPr>
            <w:tcW w:type="dxa" w:w="17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Tabelle «Hypothekengläubiger: Kinder / Eltern mit Solidarhaftung Kinder».</w:t>
            </w:r>
          </w:p>
        </w:tc>
        <w:tc>
          <w:tcPr>
            <w:tcW w:type="dxa" w:w="31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Gläubiger der Hypothek ist die Bank. Gemeint ist wohl der Schuldner.</w:t>
            </w:r>
          </w:p>
        </w:tc>
        <w:tc>
          <w:tcPr>
            <w:tcW w:type="dxa" w:w="20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Nicht übernommen. Im Artikel nur «Hypothekarzinsen» und «übernommene Hypothek».</w:t>
            </w:r>
          </w:p>
        </w:tc>
        <w:tc>
          <w:tcPr>
            <w:tcW w:type="dxa" w:w="15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nicht übernommen</w:t>
            </w:r>
          </w:p>
        </w:tc>
      </w:tr>
      <w:tr>
        <w:trPr>
          <w:cantSplit/>
        </w:trPr>
        <w:tc>
          <w:tcPr>
            <w:tcW w:type="dxa" w:w="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13</w:t>
            </w:r>
          </w:p>
        </w:tc>
        <w:tc>
          <w:tcPr>
            <w:tcW w:type="dxa" w:w="17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Liegenschaft und Hypothek erscheinen bei der Nutzniessung in der Steuererklärung der Eltern, beim Wohnrecht bei den Kindern.</w:t>
            </w:r>
          </w:p>
        </w:tc>
        <w:tc>
          <w:tcPr>
            <w:tcW w:type="dxa" w:w="31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Aussage aus dem Schreiben. Wir haben sie nicht gegen die Aargauer Praxis geprüft.</w:t>
            </w:r>
          </w:p>
        </w:tc>
        <w:tc>
          <w:tcPr>
            <w:tcW w:type="dxa" w:w="20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Übernommen als Normalfall in der Tabelle.</w:t>
            </w:r>
          </w:p>
        </w:tc>
        <w:tc>
          <w:tcPr>
            <w:tcW w:type="dxa" w:w="15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Erfahrungswert</w:t>
            </w:r>
          </w:p>
        </w:tc>
      </w:tr>
      <w:tr>
        <w:trPr>
          <w:cantSplit/>
        </w:trPr>
        <w:tc>
          <w:tcPr>
            <w:tcW w:type="dxa" w:w="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14</w:t>
            </w:r>
          </w:p>
        </w:tc>
        <w:tc>
          <w:tcPr>
            <w:tcW w:type="dxa" w:w="17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(nicht im Schreiben) Erbrecht bei mehreren Kindern.</w:t>
            </w:r>
          </w:p>
        </w:tc>
        <w:tc>
          <w:tcPr>
            <w:tcW w:type="dxa" w:w="31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Ergänzung von uns: ein Satz zu Ausgleichung und Pflichtteilen, ohne Zahlen und ohne Artikelverweis.</w:t>
            </w:r>
          </w:p>
        </w:tc>
        <w:tc>
          <w:tcPr>
            <w:tcW w:type="dxa" w:w="20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Übernommen als Hinweis. Philippe kann streichen.</w:t>
            </w:r>
          </w:p>
        </w:tc>
        <w:tc>
          <w:tcPr>
            <w:tcW w:type="dxa" w:w="15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Ergänzung</w:t>
            </w:r>
          </w:p>
        </w:tc>
      </w:tr>
    </w:tbl>
    <w:p>
      <w:pPr>
        <w:spacing w:after="80"/>
      </w:pPr>
    </w:p>
    <w:p>
      <w:pPr>
        <w:pStyle w:val="Heading3"/>
        <w:keepNext/>
        <w:spacing w:after="100" w:before="220"/>
      </w:pPr>
      <w:r>
        <w:rPr>
          <w:rFonts w:ascii="Arial" w:cs="Arial" w:eastAsia="Arial" w:hAnsi="Arial"/>
          <w:b/>
          <w:bCs/>
          <w:color w:val="1F3A5F"/>
          <w:sz w:val="22"/>
          <w:szCs w:val="22"/>
        </w:rPr>
        <w:t xml:space="preserve">Widerspruch auf der Website: Verkauf an Kinder und Steueraufschub</w:t>
      </w:r>
    </w:p>
    <w:p>
      <w:pPr>
        <w:spacing w:after="120" w:before="0" w:line="276"/>
      </w:pPr>
      <w:r>
        <w:rPr>
          <w:rFonts w:ascii="Arial" w:cs="Arial" w:eastAsia="Arial" w:hAnsi="Arial"/>
          <w:sz w:val="20"/>
          <w:szCs w:val="20"/>
        </w:rPr>
        <w:t xml:space="preserve">Der bestehende Beitrag zur Grundstückgewinnsteuer im Aargau (Adresse /posts/rjzqhh/…) sagt heute: Es gebe Ausnahmen von der Steuerpflicht «bei Rechtsgeschäften unter Verwandten in gerader Linie (z. B. Verkauf durch Eltern an Kinder)». Dort erfolge ein Steueraufschub. Das widerspricht dem Merkblatt (Aufschub nach lit. b wird nicht mehr angewendet) und dem neuen Artikel, der auf diesen Beitrag verlinkt. Unser Vorschlag, zur Freigabe durch Philippe Bally:</w:t>
      </w:r>
    </w:p>
    <w:p>
      <w:pPr>
        <w:pBdr>
          <w:left w:val="single" w:color="C98A00" w:sz="18" w:space="8"/>
        </w:pBdr>
        <w:shd w:fill="FFF4D6" w:color="auto" w:val="clear"/>
        <w:spacing w:after="140" w:before="60" w:line="276"/>
        <w:ind w:left="200"/>
      </w:pPr>
      <w:r>
        <w:rPr>
          <w:rFonts w:ascii="Arial" w:cs="Arial" w:eastAsia="Arial" w:hAnsi="Arial"/>
          <w:sz w:val="20"/>
          <w:szCs w:val="20"/>
        </w:rPr>
        <w:t xml:space="preserve">Neuer Wortlaut für die Zeile: «Verkauf unter Verwandten in gerader Linie (z. B. von Eltern an Kinder). Der Kanton Aargau gewährt dafür seit dem 1. Juli 2023 keinen Steueraufschub mehr.» Danach darf der Satz «In diesen Fällen erfolgt ein Steueraufschub» nur noch für die übrigen Fälle gelten. Ohne Korrektur verlinken wir den Beitrag nicht.</w:t>
      </w:r>
    </w:p>
    <w:p>
      <w:pPr>
        <w:pStyle w:val="Heading3"/>
        <w:keepNext/>
        <w:spacing w:after="100" w:before="220"/>
      </w:pPr>
      <w:r>
        <w:rPr>
          <w:rFonts w:ascii="Arial" w:cs="Arial" w:eastAsia="Arial" w:hAnsi="Arial"/>
          <w:b/>
          <w:bCs/>
          <w:color w:val="1F3A5F"/>
          <w:sz w:val="22"/>
          <w:szCs w:val="22"/>
        </w:rPr>
        <w:t xml:space="preserve">Zitat und Autorenangaben</w:t>
      </w:r>
    </w:p>
    <w:p>
      <w:pPr>
        <w:spacing w:after="120" w:before="0" w:line="276"/>
      </w:pPr>
      <w:r>
        <w:rPr>
          <w:rFonts w:ascii="Arial" w:cs="Arial" w:eastAsia="Arial" w:hAnsi="Arial"/>
          <w:sz w:val="20"/>
          <w:szCs w:val="20"/>
        </w:rPr>
        <w:t xml:space="preserve">Der Artikel enthält ein Zitat von Philippe Bally. Es ist sinngemäss aus seinem Fachschreiben vom 18. Oktober 2026 formuliert (Wortlaut dort: «Steuerlich ist eine gemischte Schenkung durchaus attraktiv … Piece de Résistance sind die Ergänzungsleistungen. Denn ein freiwilliger Vermögensverzicht führt später zu Kürzungen bei den Ergänzungsleistungen.»), gekürzt und für die Website geglättet. Es steht ohne internen Hinweis im Text und belegt eine einzige Aussage, die Abwägung zwischen Steuer und Ergänzungsleistungen.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2700"/>
        <w:gridCol w:w="1426"/>
      </w:tblGrid>
      <w:tr>
        <w:trPr>
          <w:cantSplit/>
          <w:tblHeader/>
        </w:trPr>
        <w:tc>
          <w:tcPr>
            <w:tcW w:type="dxa" w:w="14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Angabe</w:t>
            </w:r>
          </w:p>
        </w:tc>
        <w:tc>
          <w:tcPr>
            <w:tcW w:type="dxa" w:w="35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Text im Artikel</w:t>
            </w:r>
          </w:p>
        </w:tc>
        <w:tc>
          <w:tcPr>
            <w:tcW w:type="dxa" w:w="27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Quelle</w:t>
            </w:r>
          </w:p>
        </w:tc>
        <w:tc>
          <w:tcPr>
            <w:tcW w:type="dxa" w:w="1426"/>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Status</w:t>
            </w:r>
          </w:p>
        </w:tc>
      </w:tr>
      <w:tr>
        <w:trPr>
          <w:cantSplit/>
        </w:trPr>
        <w:tc>
          <w:tcPr>
            <w:tcW w:type="dxa" w:w="14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Zitat</w:t>
            </w:r>
          </w:p>
        </w:tc>
        <w:tc>
          <w:tcPr>
            <w:tcW w:type="dxa" w:w="35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«Steuerlich ist die gemischte Schenkung attraktiv. Entscheidend sind aber die Ergänzungsleistungen, denn ein freiwilliger Verzicht auf Vermögen führt später zu Kürzungen», sagt Philippe Bally, dipl. Treuhänder und Steuerexperte bei der Zofingen Treuhand AG.</w:t>
            </w:r>
          </w:p>
        </w:tc>
        <w:tc>
          <w:tcPr>
            <w:tcW w:type="dxa" w:w="27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Fachschreiben vom 18.10.2026, sinngemäss, ghostwritten</w:t>
            </w:r>
          </w:p>
        </w:tc>
        <w:tc>
          <w:tcPr>
            <w:tcW w:type="dxa" w:w="14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Freigabe Philippe Bally offen</w:t>
            </w:r>
          </w:p>
        </w:tc>
      </w:tr>
      <w:tr>
        <w:trPr>
          <w:cantSplit/>
        </w:trPr>
        <w:tc>
          <w:tcPr>
            <w:tcW w:type="dxa" w:w="14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Name und Funktion</w:t>
            </w:r>
          </w:p>
        </w:tc>
        <w:tc>
          <w:tcPr>
            <w:tcW w:type="dxa" w:w="35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Philippe Bally, dipl. Treuhänder und Steuerexperte</w:t>
            </w:r>
          </w:p>
        </w:tc>
        <w:tc>
          <w:tcPr>
            <w:tcW w:type="dxa" w:w="27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Startseite zofingen-treuhand.ch (Team), abgerufen 29.10.2026</w:t>
            </w:r>
          </w:p>
        </w:tc>
        <w:tc>
          <w:tcPr>
            <w:tcW w:type="dxa" w:w="14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bestätigt</w:t>
            </w:r>
          </w:p>
        </w:tc>
      </w:tr>
      <w:tr>
        <w:trPr>
          <w:cantSplit/>
        </w:trPr>
        <w:tc>
          <w:tcPr>
            <w:tcW w:type="dxa" w:w="14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Erfahrung und Aufgabe</w:t>
            </w:r>
          </w:p>
        </w:tc>
        <w:tc>
          <w:tcPr>
            <w:tcW w:type="dxa" w:w="35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über 20 Jahre Erfahrung in der Steuerberatung, leitet das Team, vertritt Kunden vor den Steuerbehörden</w:t>
            </w:r>
          </w:p>
        </w:tc>
        <w:tc>
          <w:tcPr>
            <w:tcW w:type="dxa" w:w="27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Startseite, Team: «Mit über 20 Jahren Erfahrung in der Steuerberatung führt Philippe unser Team …»</w:t>
            </w:r>
          </w:p>
        </w:tc>
        <w:tc>
          <w:tcPr>
            <w:tcW w:type="dxa" w:w="14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bestätigt</w:t>
            </w:r>
          </w:p>
        </w:tc>
      </w:tr>
      <w:tr>
        <w:trPr>
          <w:cantSplit/>
        </w:trPr>
        <w:tc>
          <w:tcPr>
            <w:tcW w:type="dxa" w:w="14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Frühere Tätigkeit</w:t>
            </w:r>
          </w:p>
        </w:tc>
        <w:tc>
          <w:tcPr>
            <w:tcW w:type="dxa" w:w="35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zuvor viele Jahre für Kanton und Gemeinden tätig</w:t>
            </w:r>
          </w:p>
        </w:tc>
        <w:tc>
          <w:tcPr>
            <w:tcW w:type="dxa" w:w="27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Startseite, Text von Philippe Bally in der Ich-Form</w:t>
            </w:r>
          </w:p>
        </w:tc>
        <w:tc>
          <w:tcPr>
            <w:tcW w:type="dxa" w:w="14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bestätigt, Formulierung durch Philippe prüfen</w:t>
            </w:r>
          </w:p>
        </w:tc>
      </w:tr>
      <w:tr>
        <w:trPr>
          <w:cantSplit/>
        </w:trPr>
        <w:tc>
          <w:tcPr>
            <w:tcW w:type="dxa" w:w="14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Link «Über uns»</w:t>
            </w:r>
          </w:p>
        </w:tc>
        <w:tc>
          <w:tcPr>
            <w:tcW w:type="dxa" w:w="35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https://www.zofingen-treuhand.ch/ueber-uns</w:t>
            </w:r>
          </w:p>
        </w:tc>
        <w:tc>
          <w:tcPr>
            <w:tcW w:type="dxa" w:w="27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curl am 29.10.2026: 200</w:t>
            </w:r>
          </w:p>
        </w:tc>
        <w:tc>
          <w:tcPr>
            <w:tcW w:type="dxa" w:w="14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bestätigt</w:t>
            </w:r>
          </w:p>
        </w:tc>
      </w:tr>
      <w:tr>
        <w:trPr>
          <w:cantSplit/>
        </w:trPr>
        <w:tc>
          <w:tcPr>
            <w:tcW w:type="dxa" w:w="14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Nicht verwendet</w:t>
            </w:r>
          </w:p>
        </w:tc>
        <w:tc>
          <w:tcPr>
            <w:tcW w:type="dxa" w:w="35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Auszeichnung «BILANZ Top Steuerexperten 2026» und Mitgliedschaft bei Treuhand Suisse</w:t>
            </w:r>
          </w:p>
        </w:tc>
        <w:tc>
          <w:tcPr>
            <w:tcW w:type="dxa" w:w="27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BILANZ steht auf der Startseite als Auszeichnung der Firma, nicht des Autors. Treuhand Suisse steht nicht auf der Website.</w:t>
            </w:r>
          </w:p>
        </w:tc>
        <w:tc>
          <w:tcPr>
            <w:tcW w:type="dxa" w:w="14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bewusst weggelassen</w:t>
            </w:r>
          </w:p>
        </w:tc>
      </w:tr>
    </w:tbl>
    <w:p>
      <w:pPr>
        <w:spacing w:after="80"/>
      </w:pPr>
    </w:p>
    <w:p>
      <w:pPr>
        <w:pStyle w:val="Heading2"/>
        <w:keepNext/>
        <w:spacing w:after="120" w:before="280"/>
      </w:pPr>
      <w:r>
        <w:rPr>
          <w:rFonts w:ascii="Arial" w:cs="Arial" w:eastAsia="Arial" w:hAnsi="Arial"/>
          <w:b/>
          <w:bCs/>
          <w:color w:val="1F3A5F"/>
          <w:sz w:val="26"/>
          <w:szCs w:val="26"/>
        </w:rPr>
        <w:t xml:space="preserve">1.5 Offene Punkte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926"/>
        <w:gridCol w:w="1700"/>
        <w:gridCol w:w="1800"/>
      </w:tblGrid>
      <w:tr>
        <w:trPr>
          <w:cantSplit/>
          <w:tblHeader/>
        </w:trPr>
        <w:tc>
          <w:tcPr>
            <w:tcW w:type="dxa" w:w="6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Nr.</w:t>
            </w:r>
          </w:p>
        </w:tc>
        <w:tc>
          <w:tcPr>
            <w:tcW w:type="dxa" w:w="4926"/>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Punkt</w:t>
            </w:r>
          </w:p>
        </w:tc>
        <w:tc>
          <w:tcPr>
            <w:tcW w:type="dxa" w:w="17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Zuständig</w:t>
            </w:r>
          </w:p>
        </w:tc>
        <w:tc>
          <w:tcPr>
            <w:tcW w:type="dxa" w:w="18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Frist</w:t>
            </w:r>
          </w:p>
        </w:tc>
      </w:tr>
      <w:tr>
        <w:trPr>
          <w:cantSplit/>
        </w:trPr>
        <w:tc>
          <w:tcPr>
            <w:tcW w:type="dxa" w:w="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1</w:t>
            </w:r>
          </w:p>
        </w:tc>
        <w:tc>
          <w:tcPr>
            <w:tcW w:type="dxa" w:w="49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Kernaussage aus 1.2 bestätigen.</w:t>
            </w:r>
          </w:p>
        </w:tc>
        <w:tc>
          <w:tcPr>
            <w:tcW w:type="dxa" w:w="17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Balaram</w:t>
            </w:r>
          </w:p>
        </w:tc>
        <w:tc>
          <w:tcPr>
            <w:tcW w:type="dxa" w:w="18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vor Freigabe an Philippe</w:t>
            </w:r>
          </w:p>
        </w:tc>
      </w:tr>
      <w:tr>
        <w:trPr>
          <w:cantSplit/>
        </w:trPr>
        <w:tc>
          <w:tcPr>
            <w:tcW w:type="dxa" w:w="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2</w:t>
            </w:r>
          </w:p>
        </w:tc>
        <w:tc>
          <w:tcPr>
            <w:tcW w:type="dxa" w:w="49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Auftragsrahmen klären: Ist dieser Fachartikel von der bestehenden Vereinbarung gedeckt? Das Angebot AN-00083 ist abgelaufen. Das wissen wir aktuell nicht.</w:t>
            </w:r>
          </w:p>
        </w:tc>
        <w:tc>
          <w:tcPr>
            <w:tcW w:type="dxa" w:w="17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Balaram</w:t>
            </w:r>
          </w:p>
        </w:tc>
        <w:tc>
          <w:tcPr>
            <w:tcW w:type="dxa" w:w="18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vor Übergabe an Philippe</w:t>
            </w:r>
          </w:p>
        </w:tc>
      </w:tr>
      <w:tr>
        <w:trPr>
          <w:cantSplit/>
        </w:trPr>
        <w:tc>
          <w:tcPr>
            <w:tcW w:type="dxa" w:w="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3</w:t>
            </w:r>
          </w:p>
        </w:tc>
        <w:tc>
          <w:tcPr>
            <w:tcW w:type="dxa" w:w="49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Fachinhalt freigeben, insbesondere Punkte 1, 3, 4, 10, 11, 13 aus 1.4. Freigabe schriftlich per Mail.</w:t>
            </w:r>
          </w:p>
        </w:tc>
        <w:tc>
          <w:tcPr>
            <w:tcW w:type="dxa" w:w="17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Philippe Bally</w:t>
            </w:r>
          </w:p>
        </w:tc>
        <w:tc>
          <w:tcPr>
            <w:tcW w:type="dxa" w:w="18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vor Veröffentlichung</w:t>
            </w:r>
          </w:p>
        </w:tc>
      </w:tr>
      <w:tr>
        <w:trPr>
          <w:cantSplit/>
        </w:trPr>
        <w:tc>
          <w:tcPr>
            <w:tcW w:type="dxa" w:w="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4</w:t>
            </w:r>
          </w:p>
        </w:tc>
        <w:tc>
          <w:tcPr>
            <w:tcW w:type="dxa" w:w="49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Bestätigen, dass sein Fachschreiben als Grundlage für einen anonymisierten Artikel dienen darf. Der Artikel enthält keine Daten der Mandantschaft.</w:t>
            </w:r>
          </w:p>
        </w:tc>
        <w:tc>
          <w:tcPr>
            <w:tcW w:type="dxa" w:w="17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Philippe Bally</w:t>
            </w:r>
          </w:p>
        </w:tc>
        <w:tc>
          <w:tcPr>
            <w:tcW w:type="dxa" w:w="18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vor Veröffentlichung</w:t>
            </w:r>
          </w:p>
        </w:tc>
      </w:tr>
      <w:tr>
        <w:trPr>
          <w:cantSplit/>
        </w:trPr>
        <w:tc>
          <w:tcPr>
            <w:tcW w:type="dxa" w:w="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5</w:t>
            </w:r>
          </w:p>
        </w:tc>
        <w:tc>
          <w:tcPr>
            <w:tcW w:type="dxa" w:w="49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Korrektur der Zeile im Beitrag zur Grundstückgewinnsteuer freigeben (siehe 1.4).</w:t>
            </w:r>
          </w:p>
        </w:tc>
        <w:tc>
          <w:tcPr>
            <w:tcW w:type="dxa" w:w="17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Philippe Bally</w:t>
            </w:r>
          </w:p>
        </w:tc>
        <w:tc>
          <w:tcPr>
            <w:tcW w:type="dxa" w:w="18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vor Veröffentlichung</w:t>
            </w:r>
          </w:p>
        </w:tc>
      </w:tr>
      <w:tr>
        <w:trPr>
          <w:cantSplit/>
        </w:trPr>
        <w:tc>
          <w:tcPr>
            <w:tcW w:type="dxa" w:w="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6</w:t>
            </w:r>
          </w:p>
        </w:tc>
        <w:tc>
          <w:tcPr>
            <w:tcW w:type="dxa" w:w="49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Quote des Vermögensverzehrs und Freibeträge nennen, wenn die Zahl in den Artikel soll.</w:t>
            </w:r>
          </w:p>
        </w:tc>
        <w:tc>
          <w:tcPr>
            <w:tcW w:type="dxa" w:w="17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Philippe Bally</w:t>
            </w:r>
          </w:p>
        </w:tc>
        <w:tc>
          <w:tcPr>
            <w:tcW w:type="dxa" w:w="18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optional</w:t>
            </w:r>
          </w:p>
        </w:tc>
      </w:tr>
      <w:tr>
        <w:trPr>
          <w:cantSplit/>
        </w:trPr>
        <w:tc>
          <w:tcPr>
            <w:tcW w:type="dxa" w:w="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7</w:t>
            </w:r>
          </w:p>
        </w:tc>
        <w:tc>
          <w:tcPr>
            <w:tcW w:type="dxa" w:w="49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Zitat, Abschnitt «Über den Autor» und Autor im Schema bestätigen (siehe «Zitat und Autorenangaben» in 1.4). Das Zitat ist sinngemäss aus dem Fachschreiben formuliert.</w:t>
            </w:r>
          </w:p>
        </w:tc>
        <w:tc>
          <w:tcPr>
            <w:tcW w:type="dxa" w:w="17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Philippe Bally</w:t>
            </w:r>
          </w:p>
        </w:tc>
        <w:tc>
          <w:tcPr>
            <w:tcW w:type="dxa" w:w="18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vor Veröffentlichung</w:t>
            </w:r>
          </w:p>
        </w:tc>
      </w:tr>
      <w:tr>
        <w:trPr>
          <w:cantSplit/>
        </w:trPr>
        <w:tc>
          <w:tcPr>
            <w:tcW w:type="dxa" w:w="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8</w:t>
            </w:r>
          </w:p>
        </w:tc>
        <w:tc>
          <w:tcPr>
            <w:tcW w:type="dxa" w:w="49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Entscheiden, ob der LinkedIn-Beitrag (Kapitel 4) veröffentlicht wird, auf welchem Profil, und ob er trotz fehlender Vereinbarung Teil des Auftrags ist.</w:t>
            </w:r>
          </w:p>
        </w:tc>
        <w:tc>
          <w:tcPr>
            <w:tcW w:type="dxa" w:w="17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Balaram</w:t>
            </w:r>
          </w:p>
        </w:tc>
        <w:tc>
          <w:tcPr>
            <w:tcW w:type="dxa" w:w="18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vor Übergabe an Philippe</w:t>
            </w:r>
          </w:p>
        </w:tc>
      </w:tr>
      <w:tr>
        <w:trPr>
          <w:cantSplit/>
        </w:trPr>
        <w:tc>
          <w:tcPr>
            <w:tcW w:type="dxa" w:w="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9</w:t>
            </w:r>
          </w:p>
        </w:tc>
        <w:tc>
          <w:tcPr>
            <w:tcW w:type="dxa" w:w="49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Umsetzung auf der Website nach Freigabe. Silvia bestätigt die Freigabe, legt das Dokument im Kundenordner ab und erstellt den Task.</w:t>
            </w:r>
          </w:p>
        </w:tc>
        <w:tc>
          <w:tcPr>
            <w:tcW w:type="dxa" w:w="17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Silvia, Alberto</w:t>
            </w:r>
          </w:p>
        </w:tc>
        <w:tc>
          <w:tcPr>
            <w:tcW w:type="dxa" w:w="18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nach Freigabe</w:t>
            </w:r>
          </w:p>
        </w:tc>
      </w:tr>
    </w:tbl>
    <w:p>
      <w:pPr>
        <w:pStyle w:val="Heading2"/>
        <w:keepNext/>
        <w:spacing w:after="120" w:before="280"/>
      </w:pPr>
      <w:r>
        <w:rPr>
          <w:rFonts w:ascii="Arial" w:cs="Arial" w:eastAsia="Arial" w:hAnsi="Arial"/>
          <w:b/>
          <w:bCs/>
          <w:color w:val="1F3A5F"/>
          <w:sz w:val="26"/>
          <w:szCs w:val="26"/>
        </w:rPr>
        <w:t xml:space="preserve">1.6 Prüfung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Prüfung</w:t>
            </w:r>
          </w:p>
        </w:tc>
        <w:tc>
          <w:tcPr>
            <w:tcW w:type="dxa" w:w="4726"/>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Ergebnis</w:t>
            </w:r>
          </w:p>
        </w:tc>
      </w:tr>
      <w:tr>
        <w:trPr>
          <w:cantSplit/>
        </w:trPr>
        <w:tc>
          <w:tcPr>
            <w:tcW w:type="dxa" w:w="43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Keine Gedankenstriche, kein Eszett, Schweizer Schreibweise, Anführungszeichen «»</w:t>
            </w:r>
          </w:p>
        </w:tc>
        <w:tc>
          <w:tcPr>
            <w:tcW w:type="dxa" w:w="47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 (automatisch geprüft)</w:t>
            </w:r>
          </w:p>
        </w:tc>
      </w:tr>
      <w:tr>
        <w:trPr>
          <w:cantSplit/>
        </w:trPr>
        <w:tc>
          <w:tcPr>
            <w:tcW w:type="dxa" w:w="43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Keine Platzhalter im Artikeltext</w:t>
            </w:r>
          </w:p>
        </w:tc>
        <w:tc>
          <w:tcPr>
            <w:tcW w:type="dxa" w:w="47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 Im JSON-LD (Kapitel 3) bleiben zwei Werte offen, weil die Plattform die Adresse erst beim Anlegen vergibt.</w:t>
            </w:r>
          </w:p>
        </w:tc>
      </w:tr>
      <w:tr>
        <w:trPr>
          <w:cantSplit/>
        </w:trPr>
        <w:tc>
          <w:tcPr>
            <w:tcW w:type="dxa" w:w="43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Meta Title höchstens 60 Zeichen, Meta Description 150 bis 160 Zeichen</w:t>
            </w:r>
          </w:p>
        </w:tc>
        <w:tc>
          <w:tcPr>
            <w:tcW w:type="dxa" w:w="47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 (54 und 153 Zeichen)</w:t>
            </w:r>
          </w:p>
        </w:tc>
      </w:tr>
      <w:tr>
        <w:trPr>
          <w:cantSplit/>
        </w:trPr>
        <w:tc>
          <w:tcPr>
            <w:tcW w:type="dxa" w:w="43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Kernantwort in den ersten 200 Wörtern</w:t>
            </w:r>
          </w:p>
        </w:tc>
        <w:tc>
          <w:tcPr>
            <w:tcW w:type="dxa" w:w="47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 (168 Wörter)</w:t>
            </w:r>
          </w:p>
        </w:tc>
      </w:tr>
      <w:tr>
        <w:trPr>
          <w:cantSplit/>
        </w:trPr>
        <w:tc>
          <w:tcPr>
            <w:tcW w:type="dxa" w:w="43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Zwischentitel als Suchfragen, FAQ als sichtbarer Text, Tabelle und Listen</w:t>
            </w:r>
          </w:p>
        </w:tc>
        <w:tc>
          <w:tcPr>
            <w:tcW w:type="dxa" w:w="47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 (kein FAQ-Schema, wie im Projekt festgelegt)</w:t>
            </w:r>
          </w:p>
        </w:tc>
      </w:tr>
      <w:tr>
        <w:trPr>
          <w:cantSplit/>
        </w:trPr>
        <w:tc>
          <w:tcPr>
            <w:tcW w:type="dxa" w:w="43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Absolute Aussagen und Fachjargon im Artikel (alle, immer, jeder; Fachbegriffe aus dem Marketing)</w:t>
            </w:r>
          </w:p>
        </w:tc>
        <w:tc>
          <w:tcPr>
            <w:tcW w:type="dxa" w:w="47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 (automatisch geprüft)</w:t>
            </w:r>
          </w:p>
        </w:tc>
      </w:tr>
      <w:tr>
        <w:trPr>
          <w:cantSplit/>
        </w:trPr>
        <w:tc>
          <w:tcPr>
            <w:tcW w:type="dxa" w:w="43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Rechnungen im Beispiel nachgerechnet</w:t>
            </w:r>
          </w:p>
        </w:tc>
        <w:tc>
          <w:tcPr>
            <w:tcW w:type="dxa" w:w="47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 900'000 × 65 Prozent = 585'000; 315'000 × 5 Prozent = 15'750; Gegenleistung 600'000 von 900'000 = rund 67 Prozent</w:t>
            </w:r>
          </w:p>
        </w:tc>
      </w:tr>
      <w:tr>
        <w:trPr>
          <w:cantSplit/>
        </w:trPr>
        <w:tc>
          <w:tcPr>
            <w:tcW w:type="dxa" w:w="43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Alle Links abgerufen am 29.10.2026</w:t>
            </w:r>
          </w:p>
        </w:tc>
        <w:tc>
          <w:tcPr>
            <w:tcW w:type="dxa" w:w="47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 (siehe Kapitel 3, Abschnitt 3.6)</w:t>
            </w:r>
          </w:p>
        </w:tc>
      </w:tr>
      <w:tr>
        <w:trPr>
          <w:cantSplit/>
        </w:trPr>
        <w:tc>
          <w:tcPr>
            <w:tcW w:type="dxa" w:w="43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Keine Namen, Adressen oder Zahlen der Mandantschaft; keine anderen Kunden genannt</w:t>
            </w:r>
          </w:p>
        </w:tc>
        <w:tc>
          <w:tcPr>
            <w:tcW w:type="dxa" w:w="47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 (automatisch geprüft)</w:t>
            </w:r>
          </w:p>
        </w:tc>
      </w:tr>
      <w:tr>
        <w:trPr>
          <w:cantSplit/>
        </w:trPr>
        <w:tc>
          <w:tcPr>
            <w:tcW w:type="dxa" w:w="43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Doppelpunkt mitten im Satz, Praxis-Zuschreibung, Autorenzeile (automatisch geprüft)</w:t>
            </w:r>
          </w:p>
        </w:tc>
        <w:tc>
          <w:tcPr>
            <w:tcW w:type="dxa" w:w="47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 (Artikel, Überschriften, Titel, Meta-Beschreibung, Tabellen, GBP-Text, LinkedIn-Beitrag)</w:t>
            </w:r>
          </w:p>
        </w:tc>
      </w:tr>
      <w:tr>
        <w:trPr>
          <w:cantSplit/>
        </w:trPr>
        <w:tc>
          <w:tcPr>
            <w:tcW w:type="dxa" w:w="43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28 Fragen der Universal Content Rules und Content-Richtlinien R1 bis R30 des Kunden</w:t>
            </w:r>
          </w:p>
        </w:tc>
        <w:tc>
          <w:tcPr>
            <w:tcW w:type="dxa" w:w="47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nicht geprüft: Die Dokumente liegen weder im Projekt noch in Notion vor. Angewendet wurden stattdessen die Council Article Rules 1 bis 32, die Fachbeitrags-Regeln aus Prompt 10.7 und die Projektregeln. Detail unten.</w:t>
            </w:r>
          </w:p>
        </w:tc>
      </w:tr>
    </w:tbl>
    <w:p>
      <w:pPr>
        <w:pStyle w:val="Heading3"/>
        <w:keepNext/>
        <w:spacing w:after="100" w:before="220"/>
      </w:pPr>
      <w:r>
        <w:rPr>
          <w:rFonts w:ascii="Arial" w:cs="Arial" w:eastAsia="Arial" w:hAnsi="Arial"/>
          <w:b/>
          <w:bCs/>
          <w:color w:val="1F3A5F"/>
          <w:sz w:val="22"/>
          <w:szCs w:val="22"/>
        </w:rPr>
        <w:t xml:space="preserve">Regelprüfung im Detail (Stand Version 0.3)</w:t>
      </w:r>
    </w:p>
    <w:p>
      <w:pPr>
        <w:spacing w:after="120" w:before="0" w:line="276"/>
      </w:pPr>
      <w:r>
        <w:rPr>
          <w:rFonts w:ascii="Arial" w:cs="Arial" w:eastAsia="Arial" w:hAnsi="Arial"/>
          <w:sz w:val="20"/>
          <w:szCs w:val="20"/>
        </w:rPr>
        <w:t xml:space="preserve">Geprüft wurde der Artikel mit Titel, Meta-Angaben und dem GBP-Text. Die Regeln 13 bis 23 und B-01 bis B-03 gelten für LinkedIn-Beiträge und sind hier, ausser Regel 13, nicht anwendbar. Status: bestanden, korrigiert (in Version 0.2 oder 0.3 geändert), bewusst offen (Entscheid nötig).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50"/>
        <w:gridCol w:w="5776"/>
      </w:tblGrid>
      <w:tr>
        <w:trPr>
          <w:cantSplit/>
          <w:tblHeader/>
        </w:trPr>
        <w:tc>
          <w:tcPr>
            <w:tcW w:type="dxa" w:w="20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Regel</w:t>
            </w:r>
          </w:p>
        </w:tc>
        <w:tc>
          <w:tcPr>
            <w:tcW w:type="dxa" w:w="125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Status</w:t>
            </w:r>
          </w:p>
        </w:tc>
        <w:tc>
          <w:tcPr>
            <w:tcW w:type="dxa" w:w="5776"/>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Befund und Textstelle</w:t>
            </w:r>
          </w:p>
        </w:tc>
      </w:tr>
      <w:tr>
        <w:trPr>
          <w:cantSplit/>
        </w:trPr>
        <w:tc>
          <w:tcPr>
            <w:tcW w:type="dxa" w:w="2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2 Konkreter Anker</w:t>
            </w:r>
          </w:p>
        </w:tc>
        <w:tc>
          <w:tcPr>
            <w:tcW w:type="dxa" w:w="12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korrigiert</w:t>
            </w:r>
          </w:p>
        </w:tc>
        <w:tc>
          <w:tcPr>
            <w:tcW w:type="dxa" w:w="577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«Für die Kinder ist die Nutzniessung finanziell oft die bessere Wahl» hatte keinen Anker. Neu: «Bei den laufenden Kosten ist die Nutzniessung für die Kinder günstiger, weil sie die Hypothekarzinsen nicht tragen.» (belegt durch die Tabelle).</w:t>
            </w:r>
          </w:p>
        </w:tc>
      </w:tr>
      <w:tr>
        <w:trPr>
          <w:cantSplit/>
        </w:trPr>
        <w:tc>
          <w:tcPr>
            <w:tcW w:type="dxa" w:w="2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3 Floskeln</w:t>
            </w:r>
          </w:p>
        </w:tc>
        <w:tc>
          <w:tcPr>
            <w:tcW w:type="dxa" w:w="12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korrigiert</w:t>
            </w:r>
          </w:p>
        </w:tc>
        <w:tc>
          <w:tcPr>
            <w:tcW w:type="dxa" w:w="577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«Am Ende steht eine Abwägung zwischen den Interessen der Eltern und jenen der Kinder» gestrichen. Dazu «Es geht also um eine Abwägung.»</w:t>
            </w:r>
          </w:p>
        </w:tc>
      </w:tr>
      <w:tr>
        <w:trPr>
          <w:cantSplit/>
        </w:trPr>
        <w:tc>
          <w:tcPr>
            <w:tcW w:type="dxa" w:w="2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4 Beraterverben</w:t>
            </w:r>
          </w:p>
        </w:tc>
        <w:tc>
          <w:tcPr>
            <w:tcW w:type="dxa" w:w="12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w:t>
            </w:r>
          </w:p>
        </w:tc>
        <w:tc>
          <w:tcPr>
            <w:tcW w:type="dxa" w:w="577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Keines der gesperrten Wörter (automatisch).</w:t>
            </w:r>
          </w:p>
        </w:tc>
      </w:tr>
      <w:tr>
        <w:trPr>
          <w:cantSplit/>
        </w:trPr>
        <w:tc>
          <w:tcPr>
            <w:tcW w:type="dxa" w:w="2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5 KI-Muster</w:t>
            </w:r>
          </w:p>
        </w:tc>
        <w:tc>
          <w:tcPr>
            <w:tcW w:type="dxa" w:w="12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korrigiert</w:t>
            </w:r>
          </w:p>
        </w:tc>
        <w:tc>
          <w:tcPr>
            <w:tcW w:type="dxa" w:w="577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21 Doppelpunkte mitten im Satz, in Überschriften, Titel, Tabellen und GBP-Text ersetzt, z. B. «Im Kanton Aargau kommt ein zweiter Punkt dazu:», «Der Kaufpreis ergibt sich so:», «Dabei gelten diese Regeln:» bleibt als Listeneinleitung. Listenköpfe «Wohnrecht (…): Das Recht …» sind ganze Sätze. Aufzählungen von vier Begriffen («Alter, Gesundheit, Vermögen und Familie», zweimal) und «Kosten, Steuern und Verfügungsrechte» entfernt. Kein Gedankenstrich, kein Fettdruck im Fliesstext.</w:t>
            </w:r>
          </w:p>
        </w:tc>
      </w:tr>
      <w:tr>
        <w:trPr>
          <w:cantSplit/>
        </w:trPr>
        <w:tc>
          <w:tcPr>
            <w:tcW w:type="dxa" w:w="2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6 Kein Overclaim</w:t>
            </w:r>
          </w:p>
        </w:tc>
        <w:tc>
          <w:tcPr>
            <w:tcW w:type="dxa" w:w="12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korrigiert</w:t>
            </w:r>
          </w:p>
        </w:tc>
        <w:tc>
          <w:tcPr>
            <w:tcW w:type="dxa" w:w="577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FAQ schrieb «Nach der Praxis des Kantons». Der Kanton ist als Quelle der 20-Prozent-Regel nicht belegt. Neu «In der Praxis». Die 20- und die 90-Prozent-Schwelle bleiben Erfahrungswerte und brauchen die Freigabe von Philippe Bally (1.4).</w:t>
            </w:r>
          </w:p>
        </w:tc>
      </w:tr>
      <w:tr>
        <w:trPr>
          <w:cantSplit/>
        </w:trPr>
        <w:tc>
          <w:tcPr>
            <w:tcW w:type="dxa" w:w="2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7 Vorlesetest</w:t>
            </w:r>
          </w:p>
        </w:tc>
        <w:tc>
          <w:tcPr>
            <w:tcW w:type="dxa" w:w="12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w:t>
            </w:r>
          </w:p>
        </w:tc>
        <w:tc>
          <w:tcPr>
            <w:tcW w:type="dxa" w:w="577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Durchgelesen, keine Broschürensätze gefunden. Durchschnitt 12 Wörter pro Satz. Nicht laut gesprochen: Vorlesen durch Balaram oder Philippe empfohlen.</w:t>
            </w:r>
          </w:p>
        </w:tc>
      </w:tr>
      <w:tr>
        <w:trPr>
          <w:cantSplit/>
        </w:trPr>
        <w:tc>
          <w:tcPr>
            <w:tcW w:type="dxa" w:w="2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8 Nichts erfinden</w:t>
            </w:r>
          </w:p>
        </w:tc>
        <w:tc>
          <w:tcPr>
            <w:tcW w:type="dxa" w:w="12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w:t>
            </w:r>
          </w:p>
        </w:tc>
        <w:tc>
          <w:tcPr>
            <w:tcW w:type="dxa" w:w="577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Alle Zahlen stehen im Faktencheck (1.4). Die Zahlen des Rechenbeispiels sind frei gewählt und im Text so bezeichnet. Nichts aus dem Mandat übernommen.</w:t>
            </w:r>
          </w:p>
        </w:tc>
      </w:tr>
      <w:tr>
        <w:trPr>
          <w:cantSplit/>
        </w:trPr>
        <w:tc>
          <w:tcPr>
            <w:tcW w:type="dxa" w:w="2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9 Quellenpflicht</w:t>
            </w:r>
          </w:p>
        </w:tc>
        <w:tc>
          <w:tcPr>
            <w:tcW w:type="dxa" w:w="12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w:t>
            </w:r>
          </w:p>
        </w:tc>
        <w:tc>
          <w:tcPr>
            <w:tcW w:type="dxa" w:w="577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Fünf externe Quellen im Verzeichnis (Gesetz, Merkblatt, Medienmitteilung, Urteil). Die Grenze von höchstens drei Quellen gilt für LinkedIn und wird beim Fachartikel nicht angewendet.</w:t>
            </w:r>
          </w:p>
        </w:tc>
      </w:tr>
      <w:tr>
        <w:trPr>
          <w:cantSplit/>
        </w:trPr>
        <w:tc>
          <w:tcPr>
            <w:tcW w:type="dxa" w:w="2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10 Attribution des Zitats</w:t>
            </w:r>
          </w:p>
        </w:tc>
        <w:tc>
          <w:tcPr>
            <w:tcW w:type="dxa" w:w="12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w:t>
            </w:r>
          </w:p>
        </w:tc>
        <w:tc>
          <w:tcPr>
            <w:tcW w:type="dxa" w:w="577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Das Zitat trägt Vorname, Name, Funktion und Firma: «sagt Philippe Bally, dipl. Treuhänder und Steuerexperte bei der Zofingen Treuhand AG». Es belegt nur die Abwägung Steuer gegen Ergänzungsleistungen. Regel 27 (Studien) nicht anwendbar, es ist keine Studie zitiert. Wortlaut braucht die Freigabe von Philippe Bally.</w:t>
            </w:r>
          </w:p>
        </w:tc>
      </w:tr>
      <w:tr>
        <w:trPr>
          <w:cantSplit/>
        </w:trPr>
        <w:tc>
          <w:tcPr>
            <w:tcW w:type="dxa" w:w="2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11 Wettbewerb</w:t>
            </w:r>
          </w:p>
        </w:tc>
        <w:tc>
          <w:tcPr>
            <w:tcW w:type="dxa" w:w="12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w:t>
            </w:r>
          </w:p>
        </w:tc>
        <w:tc>
          <w:tcPr>
            <w:tcW w:type="dxa" w:w="577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Keine Mitbewerber, keine Links zu Mitbewerbern (automatisch).</w:t>
            </w:r>
          </w:p>
        </w:tc>
      </w:tr>
      <w:tr>
        <w:trPr>
          <w:cantSplit/>
        </w:trPr>
        <w:tc>
          <w:tcPr>
            <w:tcW w:type="dxa" w:w="2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12 Rechtschreibung</w:t>
            </w:r>
          </w:p>
        </w:tc>
        <w:tc>
          <w:tcPr>
            <w:tcW w:type="dxa" w:w="12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w:t>
            </w:r>
          </w:p>
        </w:tc>
        <w:tc>
          <w:tcPr>
            <w:tcW w:type="dxa" w:w="577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Kein ß, Tausender mit Apostroph, Anführungszeichen «» (automatisch).</w:t>
            </w:r>
          </w:p>
        </w:tc>
      </w:tr>
      <w:tr>
        <w:trPr>
          <w:cantSplit/>
        </w:trPr>
        <w:tc>
          <w:tcPr>
            <w:tcW w:type="dxa" w:w="2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13 Schema-Wahrheit</w:t>
            </w:r>
          </w:p>
        </w:tc>
        <w:tc>
          <w:tcPr>
            <w:tcW w:type="dxa" w:w="12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korrigiert</w:t>
            </w:r>
          </w:p>
        </w:tc>
        <w:tc>
          <w:tcPr>
            <w:tcW w:type="dxa" w:w="577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JSON-LD nennt jetzt den Autor als Person (Philippe Bally, Funktion), passend zur sichtbaren Autorenzeile. Kein FAQPage, kein aggregateRating.</w:t>
            </w:r>
          </w:p>
        </w:tc>
      </w:tr>
      <w:tr>
        <w:trPr>
          <w:cantSplit/>
        </w:trPr>
        <w:tc>
          <w:tcPr>
            <w:tcW w:type="dxa" w:w="2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14 Aktualität</w:t>
            </w:r>
          </w:p>
        </w:tc>
        <w:tc>
          <w:tcPr>
            <w:tcW w:type="dxa" w:w="12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w:t>
            </w:r>
          </w:p>
        </w:tc>
        <w:tc>
          <w:tcPr>
            <w:tcW w:type="dxa" w:w="577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Stand Oktober 2026 im Text. Zeitkritische Aussagen in 1.7 für die Quartalsprüfung.</w:t>
            </w:r>
          </w:p>
        </w:tc>
      </w:tr>
      <w:tr>
        <w:trPr>
          <w:cantSplit/>
        </w:trPr>
        <w:tc>
          <w:tcPr>
            <w:tcW w:type="dxa" w:w="2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24 Realitätstreue</w:t>
            </w:r>
          </w:p>
        </w:tc>
        <w:tc>
          <w:tcPr>
            <w:tcW w:type="dxa" w:w="12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w:t>
            </w:r>
          </w:p>
        </w:tc>
        <w:tc>
          <w:tcPr>
            <w:tcW w:type="dxa" w:w="577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Kein «alle», «immer», «jeder», «täglich» (automatisch). «Eine Verjährung gibt es nicht» ist im Faktencheck belegt.</w:t>
            </w:r>
          </w:p>
        </w:tc>
      </w:tr>
      <w:tr>
        <w:trPr>
          <w:cantSplit/>
        </w:trPr>
        <w:tc>
          <w:tcPr>
            <w:tcW w:type="dxa" w:w="2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25 Logik-Check</w:t>
            </w:r>
          </w:p>
        </w:tc>
        <w:tc>
          <w:tcPr>
            <w:tcW w:type="dxa" w:w="12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korrigiert</w:t>
            </w:r>
          </w:p>
        </w:tc>
        <w:tc>
          <w:tcPr>
            <w:tcW w:type="dxa" w:w="577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Vier Widersprüche. (1) Die Einleitung sagte, beide Rechte gelten auf Lebenszeit, das Wohnrecht endet aber in der Regel mit dem Auszug. (2) Tabelle «Das Wohnrecht endet» gegen Text «in der Regel gelöscht». (3) «Die Kinder haben keine Kosten» bei der Nutzniessung gegen den Absatz zu Art. 764 ZGB, der den Eigentümer bei grösseren Reparaturen belasten kann. (4) «Eine Nutzniessung der Eltern mindert dabei den Wert, an dem die Gegenleistung gemessen wird» widersprach dem Rechenbeispiel, in dem der Barwert als Gegenleistung zählt. Sie ist gestrichen. Dazu: «etwa die Hälfte» nach 15 Jahren ist neu «knapp die Hälfte» (14 Kürzungen zu 10'000 Franken sind 140'000 von 300'000).</w:t>
            </w:r>
          </w:p>
        </w:tc>
      </w:tr>
      <w:tr>
        <w:trPr>
          <w:cantSplit/>
        </w:trPr>
        <w:tc>
          <w:tcPr>
            <w:tcW w:type="dxa" w:w="2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26 Pronomen</w:t>
            </w:r>
          </w:p>
        </w:tc>
        <w:tc>
          <w:tcPr>
            <w:tcW w:type="dxa" w:w="12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korrigiert</w:t>
            </w:r>
          </w:p>
        </w:tc>
        <w:tc>
          <w:tcPr>
            <w:tcW w:type="dxa" w:w="577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«eine Schuld, die sie abziehen können» und «als hätten sie es noch» ersetzt, das Nomen steht jetzt jeweils im Satz.</w:t>
            </w:r>
          </w:p>
        </w:tc>
      </w:tr>
      <w:tr>
        <w:trPr>
          <w:cantSplit/>
        </w:trPr>
        <w:tc>
          <w:tcPr>
            <w:tcW w:type="dxa" w:w="2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28 Anthropomorphisierung</w:t>
            </w:r>
          </w:p>
        </w:tc>
        <w:tc>
          <w:tcPr>
            <w:tcW w:type="dxa" w:w="12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nicht anwendbar</w:t>
            </w:r>
          </w:p>
        </w:tc>
        <w:tc>
          <w:tcPr>
            <w:tcW w:type="dxa" w:w="577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KI kommt im Artikel nicht vor.</w:t>
            </w:r>
          </w:p>
        </w:tc>
      </w:tr>
      <w:tr>
        <w:trPr>
          <w:cantSplit/>
        </w:trPr>
        <w:tc>
          <w:tcPr>
            <w:tcW w:type="dxa" w:w="2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29 Lesbarkeit</w:t>
            </w:r>
          </w:p>
        </w:tc>
        <w:tc>
          <w:tcPr>
            <w:tcW w:type="dxa" w:w="12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w:t>
            </w:r>
          </w:p>
        </w:tc>
        <w:tc>
          <w:tcPr>
            <w:tcW w:type="dxa" w:w="577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144 Sätze, Durchschnitt 12 Wörter, längster Satz 29 Wörter. Erklärt beim ersten Gebrauch: Personaldienstbarkeit, Eigenmietwert, Verkäuferdarlehen, Anlagekosten, Verkehrswert, Barwert, Verzicht. Statt «latente Steuerlast» steht «Die Steuer ist damit nur aufgeschoben».</w:t>
            </w:r>
          </w:p>
        </w:tc>
      </w:tr>
      <w:tr>
        <w:trPr>
          <w:cantSplit/>
        </w:trPr>
        <w:tc>
          <w:tcPr>
            <w:tcW w:type="dxa" w:w="2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30 Fachjargon des Absenders</w:t>
            </w:r>
          </w:p>
        </w:tc>
        <w:tc>
          <w:tcPr>
            <w:tcW w:type="dxa" w:w="12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w:t>
            </w:r>
          </w:p>
        </w:tc>
        <w:tc>
          <w:tcPr>
            <w:tcW w:type="dxa" w:w="577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Keine Wörter wie Lead, Funnel, Conversion (automatisch). Treuhand-Begriffe gehören zur Sprache der Leser und sind erklärt.</w:t>
            </w:r>
          </w:p>
        </w:tc>
      </w:tr>
      <w:tr>
        <w:trPr>
          <w:cantSplit/>
        </w:trPr>
        <w:tc>
          <w:tcPr>
            <w:tcW w:type="dxa" w:w="2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31 Kommasetzung</w:t>
            </w:r>
          </w:p>
        </w:tc>
        <w:tc>
          <w:tcPr>
            <w:tcW w:type="dxa" w:w="12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w:t>
            </w:r>
          </w:p>
        </w:tc>
        <w:tc>
          <w:tcPr>
            <w:tcW w:type="dxa" w:w="577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Alle neuen und geänderten Sätze durchgesehen, kein Fehler gefunden. Eine Rechtschreibprüfung in der Plattform bleibt sinnvoll.</w:t>
            </w:r>
          </w:p>
        </w:tc>
      </w:tr>
      <w:tr>
        <w:trPr>
          <w:cantSplit/>
        </w:trPr>
        <w:tc>
          <w:tcPr>
            <w:tcW w:type="dxa" w:w="2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32 Keine Redundanz</w:t>
            </w:r>
          </w:p>
        </w:tc>
        <w:tc>
          <w:tcPr>
            <w:tcW w:type="dxa" w:w="12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bewusst offen</w:t>
            </w:r>
          </w:p>
        </w:tc>
        <w:tc>
          <w:tcPr>
            <w:tcW w:type="dxa" w:w="577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Gestrichen: «Es geht also um eine Abwägung. Die gemischte Schenkung spart Steuern, kann aber den Anspruch auf Ergänzungsleistungen mindern» (stand fast wortgleich im Schlussabsatz des Rechenbeispiels), «Wir rechnen beide Zeiträume durch», doppelte Hinweise auf den Vertrag. Bleibt: Die Aussage zum fehlenden Steueraufschub seit 1. Juli 2023 steht in der Einleitung, im Abschnitt und im FAQ. Der FAQ-Block ist im Projekt vorgeschrieben, damit einzelne Antworten für sich stehen. Entscheid Balaram: FAQ so lassen oder auf drei Fragen kürzen.</w:t>
            </w:r>
          </w:p>
        </w:tc>
      </w:tr>
    </w:tbl>
    <w:p>
      <w:pPr>
        <w:spacing w:after="80"/>
      </w:pPr>
    </w:p>
    <w:p>
      <w:pPr>
        <w:pStyle w:val="Heading3"/>
        <w:keepNext/>
        <w:spacing w:after="100" w:before="220"/>
      </w:pPr>
      <w:r>
        <w:rPr>
          <w:rFonts w:ascii="Arial" w:cs="Arial" w:eastAsia="Arial" w:hAnsi="Arial"/>
          <w:b/>
          <w:bCs/>
          <w:color w:val="1F3A5F"/>
          <w:sz w:val="22"/>
          <w:szCs w:val="22"/>
        </w:rPr>
        <w:t xml:space="preserve">Fachbeitrags-Regeln aus Prompt 10.7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50"/>
        <w:gridCol w:w="4776"/>
      </w:tblGrid>
      <w:tr>
        <w:trPr>
          <w:cantSplit/>
          <w:tblHeader/>
        </w:trPr>
        <w:tc>
          <w:tcPr>
            <w:tcW w:type="dxa" w:w="30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Regel</w:t>
            </w:r>
          </w:p>
        </w:tc>
        <w:tc>
          <w:tcPr>
            <w:tcW w:type="dxa" w:w="125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Status</w:t>
            </w:r>
          </w:p>
        </w:tc>
        <w:tc>
          <w:tcPr>
            <w:tcW w:type="dxa" w:w="4776"/>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Befund</w:t>
            </w:r>
          </w:p>
        </w:tc>
      </w:tr>
      <w:tr>
        <w:trPr>
          <w:cantSplit/>
        </w:trPr>
        <w:tc>
          <w:tcPr>
            <w:tcW w:type="dxa" w:w="3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Kernaussage in den ersten zwei Sätzen</w:t>
            </w:r>
          </w:p>
        </w:tc>
        <w:tc>
          <w:tcPr>
            <w:tcW w:type="dxa" w:w="12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korrigiert</w:t>
            </w:r>
          </w:p>
        </w:tc>
        <w:tc>
          <w:tcPr>
            <w:tcW w:type="dxa" w:w="477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Die Einleitung begann mit einem Rahmen. Jetzt nennen die ersten zwei Sätze den Kern: Wer trägt die Hypothekarzinsen, wer darf wann über das Haus verfügen.</w:t>
            </w:r>
          </w:p>
        </w:tc>
      </w:tr>
      <w:tr>
        <w:trPr>
          <w:cantSplit/>
        </w:trPr>
        <w:tc>
          <w:tcPr>
            <w:tcW w:type="dxa" w:w="3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Zwischenüberschriften beschreiben den Abschnitt</w:t>
            </w:r>
          </w:p>
        </w:tc>
        <w:tc>
          <w:tcPr>
            <w:tcW w:type="dxa" w:w="12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korrigiert</w:t>
            </w:r>
          </w:p>
        </w:tc>
        <w:tc>
          <w:tcPr>
            <w:tcW w:type="dxa" w:w="477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«Wie geht es weiter?» wurde zu «Wie unterstützen wir Sie bei der Übergabe?». Zwei Überschriften mit Doppelpunkt sind umformuliert.</w:t>
            </w:r>
          </w:p>
        </w:tc>
      </w:tr>
      <w:tr>
        <w:trPr>
          <w:cantSplit/>
        </w:trPr>
        <w:tc>
          <w:tcPr>
            <w:tcW w:type="dxa" w:w="3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Titel beschreibend, ohne Listenformel</w:t>
            </w:r>
          </w:p>
        </w:tc>
        <w:tc>
          <w:tcPr>
            <w:tcW w:type="dxa" w:w="12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w:t>
            </w:r>
          </w:p>
        </w:tc>
        <w:tc>
          <w:tcPr>
            <w:tcW w:type="dxa" w:w="477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Titel ohne Doppelpunkt, 54 Zeichen.</w:t>
            </w:r>
          </w:p>
        </w:tc>
      </w:tr>
      <w:tr>
        <w:trPr>
          <w:cantSplit/>
        </w:trPr>
        <w:tc>
          <w:tcPr>
            <w:tcW w:type="dxa" w:w="3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Laien verständlich, Fachbegriffe beim ersten Mal erklärt</w:t>
            </w:r>
          </w:p>
        </w:tc>
        <w:tc>
          <w:tcPr>
            <w:tcW w:type="dxa" w:w="12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w:t>
            </w:r>
          </w:p>
        </w:tc>
        <w:tc>
          <w:tcPr>
            <w:tcW w:type="dxa" w:w="477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Siehe Regel 29.</w:t>
            </w:r>
          </w:p>
        </w:tc>
      </w:tr>
      <w:tr>
        <w:trPr>
          <w:cantSplit/>
        </w:trPr>
        <w:tc>
          <w:tcPr>
            <w:tcW w:type="dxa" w:w="3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Apostroph als Tausendertrennzeichen</w:t>
            </w:r>
          </w:p>
        </w:tc>
        <w:tc>
          <w:tcPr>
            <w:tcW w:type="dxa" w:w="12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w:t>
            </w:r>
          </w:p>
        </w:tc>
        <w:tc>
          <w:tcPr>
            <w:tcW w:type="dxa" w:w="477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CHF 900'000, 10'000 Franken.</w:t>
            </w:r>
          </w:p>
        </w:tc>
      </w:tr>
      <w:tr>
        <w:trPr>
          <w:cantSplit/>
        </w:trPr>
        <w:tc>
          <w:tcPr>
            <w:tcW w:type="dxa" w:w="3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Autorenangabe mit Name, Funktion, Fachkompetenz</w:t>
            </w:r>
          </w:p>
        </w:tc>
        <w:tc>
          <w:tcPr>
            <w:tcW w:type="dxa" w:w="12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korrigiert</w:t>
            </w:r>
          </w:p>
        </w:tc>
        <w:tc>
          <w:tcPr>
            <w:tcW w:type="dxa" w:w="477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Fehlte. Neu der Abschnitt «Über den Autor» mit Name, Funktion, Erfahrung, früherer Tätigkeit und Link auf /ueber-uns (alles von der Startseite geprüft). Im Schema steht Philippe Bally als Person mit Funktion und Adresse. Freigabe offen (1.5, Punkt 7).</w:t>
            </w:r>
          </w:p>
        </w:tc>
      </w:tr>
      <w:tr>
        <w:trPr>
          <w:cantSplit/>
        </w:trPr>
        <w:tc>
          <w:tcPr>
            <w:tcW w:type="dxa" w:w="3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Meta-Titel höchstens 60, Meta-Beschreibung höchstens 155 Zeichen</w:t>
            </w:r>
          </w:p>
        </w:tc>
        <w:tc>
          <w:tcPr>
            <w:tcW w:type="dxa" w:w="12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w:t>
            </w:r>
          </w:p>
        </w:tc>
        <w:tc>
          <w:tcPr>
            <w:tcW w:type="dxa" w:w="477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Titel 54 Zeichen, Beschreibung 153 Zeichen. Der Skill verlangt 150 bis 160, auch das ist erfüllt.</w:t>
            </w:r>
          </w:p>
        </w:tc>
      </w:tr>
      <w:tr>
        <w:trPr>
          <w:cantSplit/>
        </w:trPr>
        <w:tc>
          <w:tcPr>
            <w:tcW w:type="dxa" w:w="3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Drei interne Link-Vorschläge</w:t>
            </w:r>
          </w:p>
        </w:tc>
        <w:tc>
          <w:tcPr>
            <w:tcW w:type="dxa" w:w="125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w:t>
            </w:r>
          </w:p>
        </w:tc>
        <w:tc>
          <w:tcPr>
            <w:tcW w:type="dxa" w:w="477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Drei Fachseiten (Beitrag zur Grundstückgewinnsteuer, Seite Grundstückgewinnsteuern, Steuern für Privatpersonen) und die Kontaktseite, alle am 29.10.2026 abgerufen.</w:t>
            </w:r>
          </w:p>
        </w:tc>
      </w:tr>
    </w:tbl>
    <w:p>
      <w:pPr>
        <w:spacing w:after="80"/>
      </w:pPr>
    </w:p>
    <w:p>
      <w:pPr>
        <w:pStyle w:val="Heading3"/>
        <w:keepNext/>
        <w:spacing w:after="100" w:before="220"/>
      </w:pPr>
      <w:r>
        <w:rPr>
          <w:rFonts w:ascii="Arial" w:cs="Arial" w:eastAsia="Arial" w:hAnsi="Arial"/>
          <w:b/>
          <w:bCs/>
          <w:color w:val="1F3A5F"/>
          <w:sz w:val="22"/>
          <w:szCs w:val="22"/>
        </w:rPr>
        <w:t xml:space="preserve">LinkedIn-Beitrag (Entwurf, Regeln 17 und weitere)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526"/>
      </w:tblGrid>
      <w:tr>
        <w:trPr>
          <w:cantSplit/>
          <w:tblHeader/>
        </w:trPr>
        <w:tc>
          <w:tcPr>
            <w:tcW w:type="dxa" w:w="22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Regel</w:t>
            </w:r>
          </w:p>
        </w:tc>
        <w:tc>
          <w:tcPr>
            <w:tcW w:type="dxa" w:w="13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Status</w:t>
            </w:r>
          </w:p>
        </w:tc>
        <w:tc>
          <w:tcPr>
            <w:tcW w:type="dxa" w:w="5526"/>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Befund</w:t>
            </w:r>
          </w:p>
        </w:tc>
      </w:tr>
      <w:tr>
        <w:trPr>
          <w:cantSplit/>
        </w:trPr>
        <w:tc>
          <w:tcPr>
            <w:tcW w:type="dxa" w:w="22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17 Format</w:t>
            </w:r>
          </w:p>
        </w:tc>
        <w:tc>
          <w:tcPr>
            <w:tcW w:type="dxa" w:w="13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w:t>
            </w:r>
          </w:p>
        </w:tc>
        <w:tc>
          <w:tcPr>
            <w:tcW w:type="dxa" w:w="55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Hook in den ersten zwei Zeilen, kein Link im Beitrag (der Link steht im ersten Kommentar), echte Frage am Schluss, 1055 Zeichen, drei Hashtags.</w:t>
            </w:r>
          </w:p>
        </w:tc>
      </w:tr>
      <w:tr>
        <w:trPr>
          <w:cantSplit/>
        </w:trPr>
        <w:tc>
          <w:tcPr>
            <w:tcW w:type="dxa" w:w="22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5, 24, 26, 30</w:t>
            </w:r>
          </w:p>
        </w:tc>
        <w:tc>
          <w:tcPr>
            <w:tcW w:type="dxa" w:w="13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w:t>
            </w:r>
          </w:p>
        </w:tc>
        <w:tc>
          <w:tcPr>
            <w:tcW w:type="dxa" w:w="55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Kein Doppelpunkt, kein Gedankenstrich, kein Wort wie «alle» oder «immer», kein Marketing-Jargon (automatisch geprüft).</w:t>
            </w:r>
          </w:p>
        </w:tc>
      </w:tr>
      <w:tr>
        <w:trPr>
          <w:cantSplit/>
        </w:trPr>
        <w:tc>
          <w:tcPr>
            <w:tcW w:type="dxa" w:w="22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2, 8, 25</w:t>
            </w:r>
          </w:p>
        </w:tc>
        <w:tc>
          <w:tcPr>
            <w:tcW w:type="dxa" w:w="13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bestanden</w:t>
            </w:r>
          </w:p>
        </w:tc>
        <w:tc>
          <w:tcPr>
            <w:tcW w:type="dxa" w:w="55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Alle Zahlen stehen im Artikel und im Faktencheck. Das Rechenbeispiel ist als solches bezeichnet («in unserem Rechenbeispiel»).</w:t>
            </w:r>
          </w:p>
        </w:tc>
      </w:tr>
      <w:tr>
        <w:trPr>
          <w:cantSplit/>
        </w:trPr>
        <w:tc>
          <w:tcPr>
            <w:tcW w:type="dxa" w:w="22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18 Voice Fit</w:t>
            </w:r>
          </w:p>
        </w:tc>
        <w:tc>
          <w:tcPr>
            <w:tcW w:type="dxa" w:w="13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bewusst offen</w:t>
            </w:r>
          </w:p>
        </w:tc>
        <w:tc>
          <w:tcPr>
            <w:tcW w:type="dxa" w:w="55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Es gibt kein Voice Profile von Philippe Bally. Der Entwurf folgt der Sprache der Website. Philippe muss ihn lesen und anpassen.</w:t>
            </w:r>
          </w:p>
        </w:tc>
      </w:tr>
      <w:tr>
        <w:trPr>
          <w:cantSplit/>
        </w:trPr>
        <w:tc>
          <w:tcPr>
            <w:tcW w:type="dxa" w:w="22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13, 14, 20, 21, 23, B-01 bis B-03</w:t>
            </w:r>
          </w:p>
        </w:tc>
        <w:tc>
          <w:tcPr>
            <w:tcW w:type="dxa" w:w="13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nicht anwendbar</w:t>
            </w:r>
          </w:p>
        </w:tc>
        <w:tc>
          <w:tcPr>
            <w:tcW w:type="dxa" w:w="55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Die Regeln gelten für die Stimmen im LinkedIn Content System von Bexolutions, nicht für ein Kundenprofil.</w:t>
            </w:r>
          </w:p>
        </w:tc>
      </w:tr>
    </w:tbl>
    <w:p>
      <w:pPr>
        <w:pStyle w:val="Heading2"/>
        <w:keepNext/>
        <w:spacing w:after="120" w:before="280"/>
      </w:pPr>
      <w:r>
        <w:rPr>
          <w:rFonts w:ascii="Arial" w:cs="Arial" w:eastAsia="Arial" w:hAnsi="Arial"/>
          <w:b/>
          <w:bCs/>
          <w:color w:val="1F3A5F"/>
          <w:sz w:val="26"/>
          <w:szCs w:val="26"/>
        </w:rPr>
        <w:t xml:space="preserve">1.7 Zeitkritische Aussagen (Quartalsprüfung)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3226"/>
        <w:gridCol w:w="1600"/>
      </w:tblGrid>
      <w:tr>
        <w:trPr>
          <w:cantSplit/>
          <w:tblHeader/>
        </w:trPr>
        <w:tc>
          <w:tcPr>
            <w:tcW w:type="dxa" w:w="42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Aussage</w:t>
            </w:r>
          </w:p>
        </w:tc>
        <w:tc>
          <w:tcPr>
            <w:tcW w:type="dxa" w:w="3226"/>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Prüfen gegen</w:t>
            </w:r>
          </w:p>
        </w:tc>
        <w:tc>
          <w:tcPr>
            <w:tcW w:type="dxa" w:w="16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Nächste Prüfung</w:t>
            </w:r>
          </w:p>
        </w:tc>
      </w:tr>
      <w:tr>
        <w:trPr>
          <w:cantSplit/>
        </w:trPr>
        <w:tc>
          <w:tcPr>
            <w:tcW w:type="dxa" w:w="42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Eigenmietwert entfällt am 1. Januar 2029; Unterhaltsabzug und Schuldzinsabzug</w:t>
            </w:r>
          </w:p>
        </w:tc>
        <w:tc>
          <w:tcPr>
            <w:tcW w:type="dxa" w:w="32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admin.ch und kantonale Umsetzung</w:t>
            </w:r>
          </w:p>
        </w:tc>
        <w:tc>
          <w:tcPr>
            <w:tcW w:type="dxa" w:w="1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Januar 2027</w:t>
            </w:r>
          </w:p>
        </w:tc>
      </w:tr>
      <w:tr>
        <w:trPr>
          <w:cantSplit/>
        </w:trPr>
        <w:tc>
          <w:tcPr>
            <w:tcW w:type="dxa" w:w="42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Kein Steueraufschub beim Verkauf an die Kinder seit 1. Juli 2023; § 97 Abs. 1 StG</w:t>
            </w:r>
          </w:p>
        </w:tc>
        <w:tc>
          <w:tcPr>
            <w:tcW w:type="dxa" w:w="32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Merkblatt Grundstückgewinnsteuer des Kantonalen Steueramts, Steuergesetz Aargau</w:t>
            </w:r>
          </w:p>
        </w:tc>
        <w:tc>
          <w:tcPr>
            <w:tcW w:type="dxa" w:w="1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Januar 2027</w:t>
            </w:r>
          </w:p>
        </w:tc>
      </w:tr>
      <w:tr>
        <w:trPr>
          <w:cantSplit/>
        </w:trPr>
        <w:tc>
          <w:tcPr>
            <w:tcW w:type="dxa" w:w="42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Prozentsätze Pauschale und Steuersatz (Beispiele 65 und 5 Prozent)</w:t>
            </w:r>
          </w:p>
        </w:tc>
        <w:tc>
          <w:tcPr>
            <w:tcW w:type="dxa" w:w="32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Merkblatt, § 105 und Tarif im Steuergesetz</w:t>
            </w:r>
          </w:p>
        </w:tc>
        <w:tc>
          <w:tcPr>
            <w:tcW w:type="dxa" w:w="1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Januar 2027</w:t>
            </w:r>
          </w:p>
        </w:tc>
      </w:tr>
      <w:tr>
        <w:trPr>
          <w:cantSplit/>
        </w:trPr>
        <w:tc>
          <w:tcPr>
            <w:tcW w:type="dxa" w:w="42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Vermögensverzicht: Abbau CHF 10'000 pro Jahr, 90-Prozent-Schwelle</w:t>
            </w:r>
          </w:p>
        </w:tc>
        <w:tc>
          <w:tcPr>
            <w:tcW w:type="dxa" w:w="32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ELV Art. 17a, Wegleitung über die Ergänzungsleistungen</w:t>
            </w:r>
          </w:p>
        </w:tc>
        <w:tc>
          <w:tcPr>
            <w:tcW w:type="dxa" w:w="1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Januar 2027</w:t>
            </w:r>
          </w:p>
        </w:tc>
      </w:tr>
    </w:tbl>
    <w:p>
      <w:pPr>
        <w:pStyle w:val="Heading2"/>
        <w:keepNext/>
        <w:spacing w:after="120" w:before="280"/>
      </w:pPr>
      <w:r>
        <w:rPr>
          <w:rFonts w:ascii="Arial" w:cs="Arial" w:eastAsia="Arial" w:hAnsi="Arial"/>
          <w:b/>
          <w:bCs/>
          <w:color w:val="1F3A5F"/>
          <w:sz w:val="26"/>
          <w:szCs w:val="26"/>
        </w:rPr>
        <w:t xml:space="preserve">1.8 Später, nicht Teil dieses Auftrags</w:t>
      </w:r>
    </w:p>
    <w:p>
      <w:pPr>
        <w:pStyle w:val="ListParagraph"/>
        <w:numPr>
          <w:ilvl w:val="0"/>
          <w:numId w:val="2"/>
        </w:numPr>
        <w:spacing w:after="80" w:line="276"/>
      </w:pPr>
      <w:r>
        <w:rPr>
          <w:rFonts w:ascii="Arial" w:cs="Arial" w:eastAsia="Arial" w:hAnsi="Arial"/>
          <w:sz w:val="20"/>
          <w:szCs w:val="20"/>
        </w:rPr>
        <w:t xml:space="preserve">Die Seite /grundstueckgewinnsteuern nennt Wohnrecht und Nutzniessung nur als Stichwort. Ein eigener Abschnitt wäre eine spätere Erweiterung. Der Verweis auf den Artikel gehört dagegen zu diesem Auftrag.</w:t>
      </w:r>
    </w:p>
    <w:p>
      <w:pPr>
        <w:pStyle w:val="ListParagraph"/>
        <w:numPr>
          <w:ilvl w:val="0"/>
          <w:numId w:val="2"/>
        </w:numPr>
        <w:spacing w:after="80" w:line="276"/>
      </w:pPr>
      <w:r>
        <w:rPr>
          <w:rFonts w:ascii="Arial" w:cs="Arial" w:eastAsia="Arial" w:hAnsi="Arial"/>
          <w:sz w:val="20"/>
          <w:szCs w:val="20"/>
        </w:rPr>
        <w:t xml:space="preserve">Sobald der Grundstückgewinnsteuer-Rechner live ist, im Abschnitt zur Grundstückgewinnsteuer darauf verlinken. /rechner/ leitet heute auf den Beitrag zur Grundstückgewinnsteuer weiter und ist deshalb kein Ziel.</w:t>
      </w:r>
    </w:p>
    <w:p>
      <w:pPr>
        <w:pStyle w:val="ListParagraph"/>
        <w:numPr>
          <w:ilvl w:val="0"/>
          <w:numId w:val="2"/>
        </w:numPr>
        <w:spacing w:after="80" w:line="276"/>
      </w:pPr>
      <w:r>
        <w:rPr>
          <w:rFonts w:ascii="Arial" w:cs="Arial" w:eastAsia="Arial" w:hAnsi="Arial"/>
          <w:sz w:val="20"/>
          <w:szCs w:val="20"/>
        </w:rPr>
        <w:t xml:space="preserve">Plattformbefunde (siehe Kapitel 3, Abschnitt 3.2): fehlendes BreadcrumbList, relative Logo-Adresse im Schema, mitten im Satz abgeschnittene Beschreibung im Schema, Title-Tag mit Markenzusatz über 60 Zeichen.</w:t>
      </w:r>
    </w:p>
    <w:p>
      <w:pPr>
        <w:pStyle w:val="ListParagraph"/>
        <w:numPr>
          <w:ilvl w:val="0"/>
          <w:numId w:val="2"/>
        </w:numPr>
        <w:spacing w:after="80" w:line="276"/>
      </w:pPr>
      <w:r>
        <w:rPr>
          <w:rFonts w:ascii="Arial" w:cs="Arial" w:eastAsia="Arial" w:hAnsi="Arial"/>
          <w:sz w:val="20"/>
          <w:szCs w:val="20"/>
        </w:rPr>
        <w:t xml:space="preserve">Weitere Themen aus dem Fachschreiben als eigene Beiträge: Erbvorbezug und Ergänzungsleistungen, Heimkosten und Vermögensverzicht, Eigenmietwert-Abschaffung für Hausbesitzer.</w:t>
      </w:r>
    </w:p>
    <w:p>
      <w:pPr>
        <w:pStyle w:val="Heading1"/>
        <w:pageBreakBefore/>
        <w:spacing w:after="200" w:before="0"/>
      </w:pPr>
      <w:r>
        <w:rPr>
          <w:rFonts w:ascii="Arial" w:cs="Arial" w:eastAsia="Arial" w:hAnsi="Arial"/>
          <w:b/>
          <w:bCs/>
          <w:color w:val="1F3A5F"/>
          <w:sz w:val="32"/>
          <w:szCs w:val="32"/>
        </w:rPr>
        <w:t xml:space="preserve">2. Fachartikel (Deutsch, publikationsfertig)</w:t>
      </w:r>
    </w:p>
    <w:p>
      <w:pPr>
        <w:spacing w:after="20" w:before="0" w:line="276"/>
      </w:pPr>
      <w:r>
        <w:rPr>
          <w:rFonts w:ascii="Arial" w:cs="Arial" w:eastAsia="Arial" w:hAnsi="Arial"/>
          <w:color w:val="5B6573"/>
          <w:sz w:val="18"/>
          <w:szCs w:val="18"/>
        </w:rPr>
        <w:t xml:space="preserve">Meta Title: Wohnrecht oder Nutzniessung bei der Übergabe an Kinder</w:t>
      </w:r>
    </w:p>
    <w:p>
      <w:pPr>
        <w:spacing w:after="20" w:before="0" w:line="276"/>
      </w:pPr>
      <w:r>
        <w:rPr>
          <w:rFonts w:ascii="Arial" w:cs="Arial" w:eastAsia="Arial" w:hAnsi="Arial"/>
          <w:color w:val="5B6573"/>
          <w:sz w:val="18"/>
          <w:szCs w:val="18"/>
        </w:rPr>
        <w:t xml:space="preserve">Meta Description: Wohnrecht oder Nutzniessung bei der Übergabe an die Kinder. Kosten, Steuern im Kanton Aargau, Grundstückgewinnsteuer und Folgen für Ergänzungsleistungen.</w:t>
      </w:r>
    </w:p>
    <w:p>
      <w:pPr>
        <w:spacing w:after="200" w:before="0" w:line="276"/>
      </w:pPr>
      <w:r>
        <w:rPr>
          <w:rFonts w:ascii="Arial" w:cs="Arial" w:eastAsia="Arial" w:hAnsi="Arial"/>
          <w:color w:val="5B6573"/>
          <w:sz w:val="18"/>
          <w:szCs w:val="18"/>
        </w:rPr>
        <w:t xml:space="preserve">Adresse (Plattform vergibt die ID): /posts/ID/wohnrecht-oder-nutzniessung-liegenschaft-an-die-kinder-ubergeben</w:t>
      </w:r>
    </w:p>
    <w:p>
      <w:pPr>
        <w:spacing w:after="160" w:before="0"/>
      </w:pPr>
      <w:r>
        <w:rPr>
          <w:rFonts w:ascii="Arial" w:cs="Arial" w:eastAsia="Arial" w:hAnsi="Arial"/>
          <w:b/>
          <w:bCs/>
          <w:color w:val="1F3A5F"/>
          <w:sz w:val="36"/>
          <w:szCs w:val="36"/>
        </w:rPr>
        <w:t xml:space="preserve">Wohnrecht oder Nutzniessung bei der Übergabe der Liegenschaft an die Kinder</w:t>
      </w:r>
    </w:p>
    <w:p>
      <w:pPr>
        <w:spacing w:after="120" w:before="0" w:line="276"/>
      </w:pPr>
      <w:r>
        <w:rPr>
          <w:rFonts w:ascii="Arial" w:cs="Arial" w:eastAsia="Arial" w:hAnsi="Arial"/>
          <w:sz w:val="20"/>
          <w:szCs w:val="20"/>
        </w:rPr>
        <w:t xml:space="preserve">Wer das Haus an die Kinder übergibt und darin wohnen bleiben möchte, kann zwischen Wohnrecht und Nutzniessung wählen. Beim Wohnrecht tragen die Kinder die Hypothekarzinsen und können nach dem Auszug der Eltern über das Haus verfügen. Bei der Nutzniessung tragen die Eltern die Kosten, und die Kinder verfügen erst nach dem Tod der Nutzniesser.</w:t>
      </w:r>
    </w:p>
    <w:p>
      <w:pPr>
        <w:spacing w:after="120" w:before="0" w:line="276"/>
      </w:pPr>
      <w:r>
        <w:rPr>
          <w:rFonts w:ascii="Arial" w:cs="Arial" w:eastAsia="Arial" w:hAnsi="Arial"/>
          <w:sz w:val="20"/>
          <w:szCs w:val="20"/>
        </w:rPr>
        <w:t xml:space="preserve">Das Wohnrecht erlaubt nur das Wohnen und endet in der Regel mit dem dauernden Auszug der Eltern. Die Nutzniessung gibt den Eltern ein volles Nutzungsrecht bis zum Tod, auch zum Vermieten. Dafür versteuern sie die Liegenschaft weiter selbst. Beide Rechte stehen im Grundbuch und enden spätestens mit dem Tod der berechtigten Personen.</w:t>
      </w:r>
    </w:p>
    <w:p>
      <w:pPr>
        <w:spacing w:after="120" w:before="0" w:line="276"/>
      </w:pPr>
      <w:r>
        <w:rPr>
          <w:rFonts w:ascii="Arial" w:cs="Arial" w:eastAsia="Arial" w:hAnsi="Arial"/>
          <w:sz w:val="20"/>
          <w:szCs w:val="20"/>
        </w:rPr>
        <w:t xml:space="preserve">Im Kanton Aargau kommt ein zweiter Punkt dazu. Seit dem 1. Juli 2023 gewährt der Kanton beim Verkauf an die Kinder keinen Steueraufschub mehr, es fällt also Grundstückgewinnsteuer an. Eine gemischte Schenkung kann diese Steuer aufschieben, kann aber später die Ergänzungsleistungen kürzen, wenn die Eltern ins Pflegeheim ziehen. Welche Variante passt, hängt deshalb von der Gesundheit und dem Vermögen der Eltern ab.</w:t>
      </w:r>
    </w:p>
    <w:p>
      <w:pPr>
        <w:pStyle w:val="Heading3"/>
        <w:keepNext/>
        <w:spacing w:after="100" w:before="220"/>
      </w:pPr>
      <w:r>
        <w:rPr>
          <w:rFonts w:ascii="Arial" w:cs="Arial" w:eastAsia="Arial" w:hAnsi="Arial"/>
          <w:b/>
          <w:bCs/>
          <w:color w:val="1F3A5F"/>
          <w:sz w:val="22"/>
          <w:szCs w:val="22"/>
        </w:rPr>
        <w:t xml:space="preserve">Was ist der Unterschied zwischen Wohnrecht und Nutzniessung?</w:t>
      </w:r>
    </w:p>
    <w:p>
      <w:pPr>
        <w:spacing w:after="120" w:before="0" w:line="276"/>
      </w:pPr>
      <w:r>
        <w:rPr>
          <w:rFonts w:ascii="Arial" w:cs="Arial" w:eastAsia="Arial" w:hAnsi="Arial"/>
          <w:sz w:val="20"/>
          <w:szCs w:val="20"/>
        </w:rPr>
        <w:t xml:space="preserve">Wohnrecht und Nutzniessung sind Personaldienstbarkeiten, also Rechte an einer fremden Sache, die einer bestimmten Person zustehen. Sie werden eingeräumt, öffentlich beurkundet und im Grundbuch eingetragen. Die Kinder werden Eigentümer der Liegenschaft, die Eltern behalten ein Recht daran.</w:t>
      </w:r>
    </w:p>
    <w:p>
      <w:pPr>
        <w:pStyle w:val="ListParagraph"/>
        <w:numPr>
          <w:ilvl w:val="0"/>
          <w:numId w:val="2"/>
        </w:numPr>
        <w:spacing w:after="80" w:line="276"/>
      </w:pPr>
      <w:r>
        <w:rPr>
          <w:rFonts w:ascii="Arial" w:cs="Arial" w:eastAsia="Arial" w:hAnsi="Arial"/>
          <w:sz w:val="20"/>
          <w:szCs w:val="20"/>
        </w:rPr>
        <w:t xml:space="preserve">Das Wohnrecht (Art. 776 ff. ZGB) ist auf das Wohnen beschränkt. Es kann nicht übertragen und nicht vererbt werden, und auch die Ausübung lässt sich nicht an andere abgeben, etwa durch Vermieten. Es endet spätestens mit dem Tod der berechtigten Person. Ziehen die Eltern dauernd aus, wird das Recht in der Regel gelöscht.</w:t>
      </w:r>
    </w:p>
    <w:p>
      <w:pPr>
        <w:pStyle w:val="ListParagraph"/>
        <w:numPr>
          <w:ilvl w:val="0"/>
          <w:numId w:val="2"/>
        </w:numPr>
        <w:spacing w:after="80" w:line="276"/>
      </w:pPr>
      <w:r>
        <w:rPr>
          <w:rFonts w:ascii="Arial" w:cs="Arial" w:eastAsia="Arial" w:hAnsi="Arial"/>
          <w:sz w:val="20"/>
          <w:szCs w:val="20"/>
        </w:rPr>
        <w:t xml:space="preserve">Die Nutzniessung (Art. 745 ff. ZGB) gibt grundsätzlich ein volles Nutzungsrecht und dauert in der Regel bis zum Tod der Nutzniesser. Die Nutzniesser dürfen die Wohnung auch vermieten und behalten die Mieteinnahmen.</w:t>
      </w:r>
    </w:p>
    <w:p>
      <w:pPr>
        <w:pStyle w:val="Heading3"/>
        <w:keepNext/>
        <w:spacing w:after="100" w:before="220"/>
      </w:pPr>
      <w:r>
        <w:rPr>
          <w:rFonts w:ascii="Arial" w:cs="Arial" w:eastAsia="Arial" w:hAnsi="Arial"/>
          <w:b/>
          <w:bCs/>
          <w:color w:val="1F3A5F"/>
          <w:sz w:val="22"/>
          <w:szCs w:val="22"/>
        </w:rPr>
        <w:t xml:space="preserve">Wer trägt welche Kosten und Steuern?</w:t>
      </w:r>
    </w:p>
    <w:p>
      <w:pPr>
        <w:spacing w:after="120" w:before="0" w:line="276"/>
      </w:pPr>
      <w:r>
        <w:rPr>
          <w:rFonts w:ascii="Arial" w:cs="Arial" w:eastAsia="Arial" w:hAnsi="Arial"/>
          <w:sz w:val="20"/>
          <w:szCs w:val="20"/>
        </w:rPr>
        <w:t xml:space="preserve">Die Verteilung der Lasten ist im Alltag der wichtigste Unterschied. Die Tabelle zeigt den Normalfall, im Vertrag lässt sich vieles anders regeln.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063"/>
        <w:gridCol w:w="3063"/>
      </w:tblGrid>
      <w:tr>
        <w:trPr>
          <w:cantSplit/>
          <w:tblHeader/>
        </w:trPr>
        <w:tc>
          <w:tcPr>
            <w:tcW w:type="dxa" w:w="29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Frage</w:t>
            </w:r>
          </w:p>
        </w:tc>
        <w:tc>
          <w:tcPr>
            <w:tcW w:type="dxa" w:w="3063"/>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Wohnrecht</w:t>
            </w:r>
          </w:p>
        </w:tc>
        <w:tc>
          <w:tcPr>
            <w:tcW w:type="dxa" w:w="3063"/>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Nutzniessung</w:t>
            </w:r>
          </w:p>
        </w:tc>
      </w:tr>
      <w:tr>
        <w:trPr>
          <w:cantSplit/>
        </w:trPr>
        <w:tc>
          <w:tcPr>
            <w:tcW w:type="dxa" w:w="29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Wer ist Eigentümer?</w:t>
            </w:r>
          </w:p>
        </w:tc>
        <w:tc>
          <w:tcPr>
            <w:tcW w:type="dxa" w:w="30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Die Kinder</w:t>
            </w:r>
          </w:p>
        </w:tc>
        <w:tc>
          <w:tcPr>
            <w:tcW w:type="dxa" w:w="30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Die Kinder</w:t>
            </w:r>
          </w:p>
        </w:tc>
      </w:tr>
      <w:tr>
        <w:trPr>
          <w:cantSplit/>
        </w:trPr>
        <w:tc>
          <w:tcPr>
            <w:tcW w:type="dxa" w:w="29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Wer darf die Liegenschaft nutzen?</w:t>
            </w:r>
          </w:p>
        </w:tc>
        <w:tc>
          <w:tcPr>
            <w:tcW w:type="dxa" w:w="30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Die Eltern, nur zum Wohnen</w:t>
            </w:r>
          </w:p>
        </w:tc>
        <w:tc>
          <w:tcPr>
            <w:tcW w:type="dxa" w:w="30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Die Eltern, auch zum Vermieten</w:t>
            </w:r>
          </w:p>
        </w:tc>
      </w:tr>
      <w:tr>
        <w:trPr>
          <w:cantSplit/>
        </w:trPr>
        <w:tc>
          <w:tcPr>
            <w:tcW w:type="dxa" w:w="29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Was gilt bei einem dauernden Auszug der Eltern?</w:t>
            </w:r>
          </w:p>
        </w:tc>
        <w:tc>
          <w:tcPr>
            <w:tcW w:type="dxa" w:w="30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Das Wohnrecht endet in der Regel, die Kinder verfügen frei</w:t>
            </w:r>
          </w:p>
        </w:tc>
        <w:tc>
          <w:tcPr>
            <w:tcW w:type="dxa" w:w="30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Die Nutzniessung bleibt, die Mieteinnahmen gehören den Eltern</w:t>
            </w:r>
          </w:p>
        </w:tc>
      </w:tr>
      <w:tr>
        <w:trPr>
          <w:cantSplit/>
        </w:trPr>
        <w:tc>
          <w:tcPr>
            <w:tcW w:type="dxa" w:w="29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Hypothekarzinsen</w:t>
            </w:r>
          </w:p>
        </w:tc>
        <w:tc>
          <w:tcPr>
            <w:tcW w:type="dxa" w:w="30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Die Kinder</w:t>
            </w:r>
          </w:p>
        </w:tc>
        <w:tc>
          <w:tcPr>
            <w:tcW w:type="dxa" w:w="30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Die Eltern</w:t>
            </w:r>
          </w:p>
        </w:tc>
      </w:tr>
      <w:tr>
        <w:trPr>
          <w:cantSplit/>
        </w:trPr>
        <w:tc>
          <w:tcPr>
            <w:tcW w:type="dxa" w:w="29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Nebenkosten (Strom, Heizung)</w:t>
            </w:r>
          </w:p>
        </w:tc>
        <w:tc>
          <w:tcPr>
            <w:tcW w:type="dxa" w:w="30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Die Eltern</w:t>
            </w:r>
          </w:p>
        </w:tc>
        <w:tc>
          <w:tcPr>
            <w:tcW w:type="dxa" w:w="30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Die Eltern</w:t>
            </w:r>
          </w:p>
        </w:tc>
      </w:tr>
      <w:tr>
        <w:trPr>
          <w:cantSplit/>
        </w:trPr>
        <w:tc>
          <w:tcPr>
            <w:tcW w:type="dxa" w:w="29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Gewöhnlicher Unterhalt</w:t>
            </w:r>
          </w:p>
        </w:tc>
        <w:tc>
          <w:tcPr>
            <w:tcW w:type="dxa" w:w="30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Die Eltern, wenn sie das Haus allein nutzen</w:t>
            </w:r>
          </w:p>
        </w:tc>
        <w:tc>
          <w:tcPr>
            <w:tcW w:type="dxa" w:w="30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Die Eltern</w:t>
            </w:r>
          </w:p>
        </w:tc>
      </w:tr>
      <w:tr>
        <w:trPr>
          <w:cantSplit/>
        </w:trPr>
        <w:tc>
          <w:tcPr>
            <w:tcW w:type="dxa" w:w="29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Eigenmietwert bis 31. Dezember 2028</w:t>
            </w:r>
          </w:p>
        </w:tc>
        <w:tc>
          <w:tcPr>
            <w:tcW w:type="dxa" w:w="30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Die Eltern</w:t>
            </w:r>
          </w:p>
        </w:tc>
        <w:tc>
          <w:tcPr>
            <w:tcW w:type="dxa" w:w="30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Die Eltern</w:t>
            </w:r>
          </w:p>
        </w:tc>
      </w:tr>
      <w:tr>
        <w:trPr>
          <w:cantSplit/>
        </w:trPr>
        <w:tc>
          <w:tcPr>
            <w:tcW w:type="dxa" w:w="29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Liegenschaft und Hypothek in der Steuererklärung</w:t>
            </w:r>
          </w:p>
        </w:tc>
        <w:tc>
          <w:tcPr>
            <w:tcW w:type="dxa" w:w="30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Die Kinder</w:t>
            </w:r>
          </w:p>
        </w:tc>
        <w:tc>
          <w:tcPr>
            <w:tcW w:type="dxa" w:w="30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Die Eltern</w:t>
            </w:r>
          </w:p>
        </w:tc>
      </w:tr>
      <w:tr>
        <w:trPr>
          <w:cantSplit/>
        </w:trPr>
        <w:tc>
          <w:tcPr>
            <w:tcW w:type="dxa" w:w="29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Verfügung über die Liegenschaft</w:t>
            </w:r>
          </w:p>
        </w:tc>
        <w:tc>
          <w:tcPr>
            <w:tcW w:type="dxa" w:w="30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Nach dem Auszug der Eltern</w:t>
            </w:r>
          </w:p>
        </w:tc>
        <w:tc>
          <w:tcPr>
            <w:tcW w:type="dxa" w:w="30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Erst nach dem Tod der Nutzniesser</w:t>
            </w:r>
          </w:p>
        </w:tc>
      </w:tr>
    </w:tbl>
    <w:p>
      <w:pPr>
        <w:spacing w:after="80"/>
      </w:pPr>
    </w:p>
    <w:p>
      <w:pPr>
        <w:spacing w:after="120" w:before="0" w:line="276"/>
      </w:pPr>
      <w:r>
        <w:rPr>
          <w:rFonts w:ascii="Arial" w:cs="Arial" w:eastAsia="Arial" w:hAnsi="Arial"/>
          <w:sz w:val="20"/>
          <w:szCs w:val="20"/>
        </w:rPr>
        <w:t xml:space="preserve">Bei der Nutzniessung unterscheidet das Gesetz nach der Art der Arbeiten. Der Nutzniesser besorgt den gewöhnlichen Unterhalt selbst. Werden wichtigere Arbeiten zum Schutz der Liegenschaft nötig, muss er den Eigentümer informieren. Schafft dieser nicht Abhilfe, darf der Nutzniesser auf Kosten des Eigentümers handeln (Art. 764 ZGB). Die Kostenfrage bei grösseren Reparaturen sollten Sie deshalb im Vertrag ausdrücklich regeln.</w:t>
      </w:r>
    </w:p>
    <w:p>
      <w:pPr>
        <w:spacing w:after="120" w:before="0" w:line="276"/>
      </w:pPr>
      <w:r>
        <w:rPr>
          <w:rFonts w:ascii="Arial" w:cs="Arial" w:eastAsia="Arial" w:hAnsi="Arial"/>
          <w:sz w:val="20"/>
          <w:szCs w:val="20"/>
        </w:rPr>
        <w:t xml:space="preserve">Bei den Steuern steht eine Änderung an. Der Eigenmietwert ist ein fiktives Einkommen, das die Steuerbehörde für selbst bewohntes Wohneigentum aufrechnet. Der Bundesrat setzt seine Abschaffung auf den 1. Januar 2029 in Kraft. Ab dann entfällt dort auch der Abzug der Unterhaltskosten, und Schuldzinsen sind nur noch eingeschränkt abziehbar. Die steuerliche Rechnung sieht bis Ende 2028 darum anders aus als danach.</w:t>
      </w:r>
    </w:p>
    <w:p>
      <w:pPr>
        <w:pStyle w:val="Heading3"/>
        <w:keepNext/>
        <w:spacing w:after="100" w:before="220"/>
      </w:pPr>
      <w:r>
        <w:rPr>
          <w:rFonts w:ascii="Arial" w:cs="Arial" w:eastAsia="Arial" w:hAnsi="Arial"/>
          <w:b/>
          <w:bCs/>
          <w:color w:val="1F3A5F"/>
          <w:sz w:val="22"/>
          <w:szCs w:val="22"/>
        </w:rPr>
        <w:t xml:space="preserve">Wie wirkt sich das Recht auf den Kaufpreis aus?</w:t>
      </w:r>
    </w:p>
    <w:p>
      <w:pPr>
        <w:spacing w:after="120" w:before="0" w:line="276"/>
      </w:pPr>
      <w:r>
        <w:rPr>
          <w:rFonts w:ascii="Arial" w:cs="Arial" w:eastAsia="Arial" w:hAnsi="Arial"/>
          <w:sz w:val="20"/>
          <w:szCs w:val="20"/>
        </w:rPr>
        <w:t xml:space="preserve">Wohnrecht und Nutzniessung haben einen Geldwert. Dieser kapitalisierte Wert, auch Barwert genannt, wird an den Kaufpreis angerechnet. Er hängt vom Alter der berechtigten Personen ab. Je jünger sie sind, desto länger läuft das Recht und desto höher ist der Wert. Bei der Nutzniessung stützt sich die Berechnung auf den jährlichen Nutzwert der Liegenschaft abzüglich der Kosten, die die Berechtigten tragen.</w:t>
      </w:r>
    </w:p>
    <w:p>
      <w:pPr>
        <w:spacing w:after="120" w:before="0" w:line="276"/>
      </w:pPr>
      <w:r>
        <w:rPr>
          <w:rFonts w:ascii="Arial" w:cs="Arial" w:eastAsia="Arial" w:hAnsi="Arial"/>
          <w:sz w:val="20"/>
          <w:szCs w:val="20"/>
        </w:rPr>
        <w:t xml:space="preserve">In unserer Praxis fällt der Wert eines Wohnrechts höher aus als der einer Nutzniessung, weil die Berechtigten beim Wohnrecht weniger Kosten und Pflichten tragen. Ein höherer Barwert senkt den Betrag, den die Kinder bezahlen oder schulden.</w:t>
      </w:r>
    </w:p>
    <w:p>
      <w:pPr>
        <w:spacing w:after="120" w:before="0" w:line="276"/>
      </w:pPr>
      <w:r>
        <w:rPr>
          <w:rFonts w:ascii="Arial" w:cs="Arial" w:eastAsia="Arial" w:hAnsi="Arial"/>
          <w:sz w:val="20"/>
          <w:szCs w:val="20"/>
        </w:rPr>
        <w:t xml:space="preserve">Der Kaufpreis ergibt sich aus dem Verkehrswert. Das ist der geschätzte Marktwert, zum Beispiel gemäss amtlicher Neuschätzung des Kantonalen Steueramts. Davon werden der Barwert des Rechts und die Hypothek abgezogen, die auf die Kinder übergeht. Den Rest zahlen die Kinder, oder er bleibt als Verkäuferdarlehen stehen. Beim Verkäuferdarlehen stunden die Eltern den Restbetrag. Er bleibt für sie steuerbares Vermögen, und die Kinder können die Schuld abziehen.</w:t>
      </w:r>
    </w:p>
    <w:p>
      <w:pPr>
        <w:pStyle w:val="Heading3"/>
        <w:keepNext/>
        <w:spacing w:after="100" w:before="220"/>
      </w:pPr>
      <w:r>
        <w:rPr>
          <w:rFonts w:ascii="Arial" w:cs="Arial" w:eastAsia="Arial" w:hAnsi="Arial"/>
          <w:b/>
          <w:bCs/>
          <w:color w:val="1F3A5F"/>
          <w:sz w:val="22"/>
          <w:szCs w:val="22"/>
        </w:rPr>
        <w:t xml:space="preserve">Fällt beim Verkauf an die Kinder Grundstückgewinnsteuer an?</w:t>
      </w:r>
    </w:p>
    <w:p>
      <w:pPr>
        <w:spacing w:after="120" w:before="0" w:line="276"/>
      </w:pPr>
      <w:r>
        <w:rPr>
          <w:rFonts w:ascii="Arial" w:cs="Arial" w:eastAsia="Arial" w:hAnsi="Arial"/>
          <w:sz w:val="20"/>
          <w:szCs w:val="20"/>
        </w:rPr>
        <w:t xml:space="preserve">In der Regel ja. Seit dem 1. Juli 2023 gewährt der Kanton Aargau beim Verkauf unter Verwandten in gerader Linie keinen Steueraufschub mehr. Die Steuer tragen die Verkäufer, also die Eltern. Auch ein eingeräumtes Wohnrecht oder eine Nutzniessung ändert daran nichts, weil der Wert des Rechts zum Verkaufserlös zählt.</w:t>
      </w:r>
    </w:p>
    <w:p>
      <w:pPr>
        <w:spacing w:after="120" w:before="0" w:line="276"/>
      </w:pPr>
      <w:r>
        <w:rPr>
          <w:rFonts w:ascii="Arial" w:cs="Arial" w:eastAsia="Arial" w:hAnsi="Arial"/>
          <w:sz w:val="20"/>
          <w:szCs w:val="20"/>
        </w:rPr>
        <w:t xml:space="preserve">Besteuert wird der Gewinn, also der Erlös abzüglich der Anlagekosten, die die Eltern für die Liegenschaft aufgewendet haben. Bei überbauten Grundstücken mit einer Besitzdauer von mehr als 10 Jahren können Sie statt der effektiven Kosten eine Pauschale wählen. Sie wird in Prozent des Erlöses festgelegt und hängt von der Besitzdauer ab, zum Beispiel 65 Prozent bei mehr als 25 Jahren. Auch der Steuersatz richtet sich nach der Besitzdauer. Das Merkblatt des Kantonalen Steueramts nennt als Beispiele 20 Prozent bei 10 bis 11 Jahren und 5 Prozent bei mehr als 25 Jahren. Wie die Steuer für Ihre Liegenschaft ausfällt, zeigt unser Beitrag </w:t>
      </w:r>
      <w:hyperlink w:history="1" r:id="rId0y21fzc7sjcgu41cpjv5g">
        <w:r>
          <w:rPr>
            <w:rFonts w:ascii="Arial" w:cs="Arial" w:eastAsia="Arial" w:hAnsi="Arial"/>
            <w:color w:val="1A5FB4"/>
            <w:sz w:val="20"/>
            <w:szCs w:val="20"/>
            <w:u w:val="single"/>
          </w:rPr>
          <w:t xml:space="preserve">Grundstückgewinnsteuer im Kanton Aargau berechnen</w:t>
        </w:r>
      </w:hyperlink>
      <w:r>
        <w:rPr>
          <w:rFonts w:ascii="Arial" w:cs="Arial" w:eastAsia="Arial" w:hAnsi="Arial"/>
          <w:sz w:val="20"/>
          <w:szCs w:val="20"/>
        </w:rPr>
        <w:t xml:space="preserve">.</w:t>
      </w:r>
    </w:p>
    <w:p>
      <w:pPr>
        <w:pStyle w:val="Heading3"/>
        <w:keepNext/>
        <w:spacing w:after="100" w:before="220"/>
      </w:pPr>
      <w:r>
        <w:rPr>
          <w:rFonts w:ascii="Arial" w:cs="Arial" w:eastAsia="Arial" w:hAnsi="Arial"/>
          <w:b/>
          <w:bCs/>
          <w:color w:val="1F3A5F"/>
          <w:sz w:val="22"/>
          <w:szCs w:val="22"/>
        </w:rPr>
        <w:t xml:space="preserve">Wie lässt sich die Grundstückgewinnsteuer vermeiden?</w:t>
      </w:r>
    </w:p>
    <w:p>
      <w:pPr>
        <w:spacing w:after="120" w:before="0" w:line="276"/>
      </w:pPr>
      <w:r>
        <w:rPr>
          <w:rFonts w:ascii="Arial" w:cs="Arial" w:eastAsia="Arial" w:hAnsi="Arial"/>
          <w:sz w:val="20"/>
          <w:szCs w:val="20"/>
        </w:rPr>
        <w:t xml:space="preserve">Mit einer gemischten Schenkung. Dabei verkaufen die Eltern die Liegenschaft zu einem Preis unter dem Verkehrswert und schenken den Rest. Die gemischte Schenkung ist nach § 97 Abs. 1 lit. a des Aargauer Steuergesetzes steueraufschiebend, es fällt also keine Grundstückgewinnsteuer an. Die Steuer ist damit nur aufgeschoben und geht auf die Kinder über. Bei einem späteren Verkauf übernehmen sie die Anlagekosten und die Besitzdauer der Eltern.</w:t>
      </w:r>
    </w:p>
    <w:p>
      <w:pPr>
        <w:spacing w:after="120" w:before="0" w:line="276"/>
      </w:pPr>
      <w:r>
        <w:rPr>
          <w:rFonts w:ascii="Arial" w:cs="Arial" w:eastAsia="Arial" w:hAnsi="Arial"/>
          <w:sz w:val="20"/>
          <w:szCs w:val="20"/>
        </w:rPr>
        <w:t xml:space="preserve">In der Praxis liegt eine gemischte Schenkung in der Regel vor, wenn die Gegenleistung der Kinder mindestens 20 Prozent unter dem Verkehrswert liegt und die Eltern die Zuwendung wollen. Liegt der Kaufpreis nur knapp unter dem Verkehrswert, gilt das Geschäft als Verkauf, und die Steuer fällt an. Ob die Voraussetzungen im Einzelfall erfüllt sind, klären wir vor der Beurkundung.</w:t>
      </w:r>
    </w:p>
    <w:p>
      <w:pPr>
        <w:pStyle w:val="Heading3"/>
        <w:keepNext/>
        <w:spacing w:after="100" w:before="220"/>
      </w:pPr>
      <w:r>
        <w:rPr>
          <w:rFonts w:ascii="Arial" w:cs="Arial" w:eastAsia="Arial" w:hAnsi="Arial"/>
          <w:b/>
          <w:bCs/>
          <w:color w:val="1F3A5F"/>
          <w:sz w:val="22"/>
          <w:szCs w:val="22"/>
        </w:rPr>
        <w:t xml:space="preserve">Was bedeutet eine Schenkung für spätere Ergänzungsleistungen?</w:t>
      </w:r>
    </w:p>
    <w:p>
      <w:pPr>
        <w:spacing w:after="120" w:before="0" w:line="276"/>
      </w:pPr>
      <w:r>
        <w:rPr>
          <w:rFonts w:ascii="Arial" w:cs="Arial" w:eastAsia="Arial" w:hAnsi="Arial"/>
          <w:sz w:val="20"/>
          <w:szCs w:val="20"/>
        </w:rPr>
        <w:t xml:space="preserve">Der Steuervorteil hat einen Preis. Wer einen Teil der Liegenschaft verschenkt, verzichtet auf Vermögen. Beantragen die Eltern später Ergänzungsleistungen, rechnet die Behörde das verschenkte Vermögen weiterhin zu ihrem Vermögen (Art. 11 Abs. 1 lit. g ELG). Dabei gelten diese Regeln:</w:t>
      </w:r>
    </w:p>
    <w:p>
      <w:pPr>
        <w:pStyle w:val="ListParagraph"/>
        <w:numPr>
          <w:ilvl w:val="0"/>
          <w:numId w:val="2"/>
        </w:numPr>
        <w:spacing w:after="80" w:line="276"/>
      </w:pPr>
      <w:r>
        <w:rPr>
          <w:rFonts w:ascii="Arial" w:cs="Arial" w:eastAsia="Arial" w:hAnsi="Arial"/>
          <w:sz w:val="20"/>
          <w:szCs w:val="20"/>
        </w:rPr>
        <w:t xml:space="preserve">Ein Verzicht liegt vor, wenn die Eltern ohne rechtliche Verpflichtung und ohne gleichwertige Gegenleistung auf Vermögen verzichten.</w:t>
      </w:r>
    </w:p>
    <w:p>
      <w:pPr>
        <w:pStyle w:val="ListParagraph"/>
        <w:numPr>
          <w:ilvl w:val="0"/>
          <w:numId w:val="2"/>
        </w:numPr>
        <w:spacing w:after="80" w:line="276"/>
      </w:pPr>
      <w:r>
        <w:rPr>
          <w:rFonts w:ascii="Arial" w:cs="Arial" w:eastAsia="Arial" w:hAnsi="Arial"/>
          <w:sz w:val="20"/>
          <w:szCs w:val="20"/>
        </w:rPr>
        <w:t xml:space="preserve">In der Praxis gilt die Gegenleistung als gleichwertig, wenn sie mindestens 90 Prozent des Werts der Liegenschaft erreicht. Liegt sie darunter, zählt die gesamte Differenz als Verzicht, nicht nur der Teil unterhalb der 90-Prozent-Grenze.</w:t>
      </w:r>
    </w:p>
    <w:p>
      <w:pPr>
        <w:pStyle w:val="ListParagraph"/>
        <w:numPr>
          <w:ilvl w:val="0"/>
          <w:numId w:val="2"/>
        </w:numPr>
        <w:spacing w:after="80" w:line="276"/>
      </w:pPr>
      <w:r>
        <w:rPr>
          <w:rFonts w:ascii="Arial" w:cs="Arial" w:eastAsia="Arial" w:hAnsi="Arial"/>
          <w:sz w:val="20"/>
          <w:szCs w:val="20"/>
        </w:rPr>
        <w:t xml:space="preserve">Als Gegenleistung zählen der kapitalisierte Wert des Wohnrechts oder der Nutzniessung und die übernommenen Hypotheken.</w:t>
      </w:r>
    </w:p>
    <w:p>
      <w:pPr>
        <w:pStyle w:val="ListParagraph"/>
        <w:numPr>
          <w:ilvl w:val="0"/>
          <w:numId w:val="2"/>
        </w:numPr>
        <w:spacing w:after="80" w:line="276"/>
      </w:pPr>
      <w:r>
        <w:rPr>
          <w:rFonts w:ascii="Arial" w:cs="Arial" w:eastAsia="Arial" w:hAnsi="Arial"/>
          <w:sz w:val="20"/>
          <w:szCs w:val="20"/>
        </w:rPr>
        <w:t xml:space="preserve">Der angerechnete Betrag sinkt pro Jahr um 10'000 Franken, erstmals am 1. Januar des zweiten Jahres nach dem Verzicht (Art. 17a ELV).</w:t>
      </w:r>
    </w:p>
    <w:p>
      <w:pPr>
        <w:pStyle w:val="ListParagraph"/>
        <w:numPr>
          <w:ilvl w:val="0"/>
          <w:numId w:val="2"/>
        </w:numPr>
        <w:spacing w:after="80" w:line="276"/>
      </w:pPr>
      <w:r>
        <w:rPr>
          <w:rFonts w:ascii="Arial" w:cs="Arial" w:eastAsia="Arial" w:hAnsi="Arial"/>
          <w:sz w:val="20"/>
          <w:szCs w:val="20"/>
        </w:rPr>
        <w:t xml:space="preserve">Eine Verjährung gibt es nicht. Liegenschaftsgeschäfte sind im Grundbuch ersichtlich, deshalb lässt sich ein Verzicht auch nach Jahrzehnten nachvollziehen.</w:t>
      </w:r>
    </w:p>
    <w:p>
      <w:pPr>
        <w:spacing w:after="120" w:before="0" w:line="276"/>
      </w:pPr>
      <w:r>
        <w:rPr>
          <w:rFonts w:ascii="Arial" w:cs="Arial" w:eastAsia="Arial" w:hAnsi="Arial"/>
          <w:sz w:val="20"/>
          <w:szCs w:val="20"/>
        </w:rPr>
        <w:t xml:space="preserve">Dazu ein Beispiel. Schenken die Eltern im Rahmen der Übergabe CHF 300'000 und ziehen 15 Jahre später ins Pflegeheim, ist knapp die Hälfte des Verzichts abgebaut. Der Rest bleibt anrechenbar und senkt die Ergänzungsleistungen. Ziehen die Eltern früher ein, ist ein grösserer Teil noch angerechnet.</w:t>
      </w:r>
    </w:p>
    <w:p>
      <w:pPr>
        <w:spacing w:after="120" w:before="0" w:line="276"/>
      </w:pPr>
      <w:r>
        <w:rPr>
          <w:rFonts w:ascii="Arial" w:cs="Arial" w:eastAsia="Arial" w:hAnsi="Arial"/>
          <w:sz w:val="20"/>
          <w:szCs w:val="20"/>
        </w:rPr>
        <w:t xml:space="preserve">Je wahrscheinlicher ein Heimaufenthalt ist, desto stärker wiegt dieses Risiko. Reicht das Vermögen der Eltern auch bei einem langen Heimaufenthalt aus, ist das Risiko kleiner. Wie sich die Gesundheit entwickelt, lässt sich nicht planen.</w:t>
      </w:r>
    </w:p>
    <w:p>
      <w:pPr>
        <w:pBdr>
          <w:left w:val="single" w:color="1F3A5F" w:sz="18" w:space="8"/>
        </w:pBdr>
        <w:shd w:fill="EEF2F7" w:color="auto" w:val="clear"/>
        <w:spacing w:after="140" w:before="60" w:line="276"/>
        <w:ind w:left="240"/>
      </w:pPr>
      <w:r>
        <w:rPr>
          <w:rFonts w:ascii="Arial" w:cs="Arial" w:eastAsia="Arial" w:hAnsi="Arial"/>
          <w:sz w:val="20"/>
          <w:szCs w:val="20"/>
        </w:rPr>
        <w:t xml:space="preserve">«Steuerlich ist die gemischte Schenkung attraktiv. Entscheidend sind aber die Ergänzungsleistungen, denn ein freiwilliger Verzicht auf Vermögen führt später zu Kürzungen», sagt Philippe Bally, dipl. Treuhänder und Steuerexperte bei der Zofingen Treuhand AG.</w:t>
      </w:r>
    </w:p>
    <w:p>
      <w:pPr>
        <w:pStyle w:val="Heading3"/>
        <w:keepNext/>
        <w:spacing w:after="100" w:before="220"/>
      </w:pPr>
      <w:r>
        <w:rPr>
          <w:rFonts w:ascii="Arial" w:cs="Arial" w:eastAsia="Arial" w:hAnsi="Arial"/>
          <w:b/>
          <w:bCs/>
          <w:color w:val="1F3A5F"/>
          <w:sz w:val="22"/>
          <w:szCs w:val="22"/>
        </w:rPr>
        <w:t xml:space="preserve">Was kostet welche Variante im Rechenbeispiel?</w:t>
      </w:r>
    </w:p>
    <w:p>
      <w:pPr>
        <w:spacing w:after="120" w:before="0" w:line="276"/>
      </w:pPr>
      <w:r>
        <w:rPr>
          <w:rFonts w:ascii="Arial" w:cs="Arial" w:eastAsia="Arial" w:hAnsi="Arial"/>
          <w:sz w:val="20"/>
          <w:szCs w:val="20"/>
        </w:rPr>
        <w:t xml:space="preserve">Das Beispiel ist vereinfacht und mit frei gewählten Zahlen gerechnet. Ein Ehepaar übergibt sein Einfamilienhaus mit einem Verkehrswert von CHF 900'000 an die Kinder und behält eine Nutzniessung. Das Haus gehört den Eltern seit mehr als 25 Jahren. Die Kinder übernehmen eine Hypothek von CHF 150'000. Der kapitalisierte Wert der Nutzniessung beträgt CHF 150'000.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863"/>
        <w:gridCol w:w="2863"/>
      </w:tblGrid>
      <w:tr>
        <w:trPr>
          <w:cantSplit/>
          <w:tblHeader/>
        </w:trPr>
        <w:tc>
          <w:tcPr>
            <w:tcW w:type="dxa" w:w="33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Position</w:t>
            </w:r>
          </w:p>
        </w:tc>
        <w:tc>
          <w:tcPr>
            <w:tcW w:type="dxa" w:w="2863"/>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Verkauf zum Verkehrswert</w:t>
            </w:r>
          </w:p>
        </w:tc>
        <w:tc>
          <w:tcPr>
            <w:tcW w:type="dxa" w:w="2863"/>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Gemischte Schenkung</w:t>
            </w:r>
          </w:p>
        </w:tc>
      </w:tr>
      <w:tr>
        <w:trPr>
          <w:cantSplit/>
        </w:trPr>
        <w:tc>
          <w:tcPr>
            <w:tcW w:type="dxa" w:w="33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Verkehrswert der Liegenschaft</w:t>
            </w:r>
          </w:p>
        </w:tc>
        <w:tc>
          <w:tcPr>
            <w:tcW w:type="dxa" w:w="28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CHF 900'000</w:t>
            </w:r>
          </w:p>
        </w:tc>
        <w:tc>
          <w:tcPr>
            <w:tcW w:type="dxa" w:w="28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CHF 900'000</w:t>
            </w:r>
          </w:p>
        </w:tc>
      </w:tr>
      <w:tr>
        <w:trPr>
          <w:cantSplit/>
        </w:trPr>
        <w:tc>
          <w:tcPr>
            <w:tcW w:type="dxa" w:w="33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Abzüglich kapitalisierte Nutzniessung</w:t>
            </w:r>
          </w:p>
        </w:tc>
        <w:tc>
          <w:tcPr>
            <w:tcW w:type="dxa" w:w="28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-CHF 150'000</w:t>
            </w:r>
          </w:p>
        </w:tc>
        <w:tc>
          <w:tcPr>
            <w:tcW w:type="dxa" w:w="28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-CHF 150'000</w:t>
            </w:r>
          </w:p>
        </w:tc>
      </w:tr>
      <w:tr>
        <w:trPr>
          <w:cantSplit/>
        </w:trPr>
        <w:tc>
          <w:tcPr>
            <w:tcW w:type="dxa" w:w="33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Abzüglich übernommene Hypothek</w:t>
            </w:r>
          </w:p>
        </w:tc>
        <w:tc>
          <w:tcPr>
            <w:tcW w:type="dxa" w:w="28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-CHF 150'000</w:t>
            </w:r>
          </w:p>
        </w:tc>
        <w:tc>
          <w:tcPr>
            <w:tcW w:type="dxa" w:w="28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-CHF 150'000</w:t>
            </w:r>
          </w:p>
        </w:tc>
      </w:tr>
      <w:tr>
        <w:trPr>
          <w:cantSplit/>
        </w:trPr>
        <w:tc>
          <w:tcPr>
            <w:tcW w:type="dxa" w:w="33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Abzüglich Schenkungsanteil</w:t>
            </w:r>
          </w:p>
        </w:tc>
        <w:tc>
          <w:tcPr>
            <w:tcW w:type="dxa" w:w="28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CHF 0</w:t>
            </w:r>
          </w:p>
        </w:tc>
        <w:tc>
          <w:tcPr>
            <w:tcW w:type="dxa" w:w="28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-CHF 300'000</w:t>
            </w:r>
          </w:p>
        </w:tc>
      </w:tr>
      <w:tr>
        <w:trPr>
          <w:cantSplit/>
        </w:trPr>
        <w:tc>
          <w:tcPr>
            <w:tcW w:type="dxa" w:w="33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Rest (Zahlung der Kinder oder Verkäuferdarlehen)</w:t>
            </w:r>
          </w:p>
        </w:tc>
        <w:tc>
          <w:tcPr>
            <w:tcW w:type="dxa" w:w="28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CHF 600'000</w:t>
            </w:r>
          </w:p>
        </w:tc>
        <w:tc>
          <w:tcPr>
            <w:tcW w:type="dxa" w:w="28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CHF 300'000</w:t>
            </w:r>
          </w:p>
        </w:tc>
      </w:tr>
      <w:tr>
        <w:trPr>
          <w:cantSplit/>
        </w:trPr>
        <w:tc>
          <w:tcPr>
            <w:tcW w:type="dxa" w:w="33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Gegenleistung in Prozent des Verkehrswerts</w:t>
            </w:r>
          </w:p>
        </w:tc>
        <w:tc>
          <w:tcPr>
            <w:tcW w:type="dxa" w:w="28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100 Prozent</w:t>
            </w:r>
          </w:p>
        </w:tc>
        <w:tc>
          <w:tcPr>
            <w:tcW w:type="dxa" w:w="28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rund 67 Prozent</w:t>
            </w:r>
          </w:p>
        </w:tc>
      </w:tr>
      <w:tr>
        <w:trPr>
          <w:cantSplit/>
        </w:trPr>
        <w:tc>
          <w:tcPr>
            <w:tcW w:type="dxa" w:w="33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Grundstückgewinnsteuer</w:t>
            </w:r>
          </w:p>
        </w:tc>
        <w:tc>
          <w:tcPr>
            <w:tcW w:type="dxa" w:w="28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rund CHF 15'750</w:t>
            </w:r>
          </w:p>
        </w:tc>
        <w:tc>
          <w:tcPr>
            <w:tcW w:type="dxa" w:w="28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Keine, aufgeschoben</w:t>
            </w:r>
          </w:p>
        </w:tc>
      </w:tr>
      <w:tr>
        <w:trPr>
          <w:cantSplit/>
        </w:trPr>
        <w:tc>
          <w:tcPr>
            <w:tcW w:type="dxa" w:w="33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Angerechneter Vermögensverzicht bei Ergänzungsleistungen</w:t>
            </w:r>
          </w:p>
        </w:tc>
        <w:tc>
          <w:tcPr>
            <w:tcW w:type="dxa" w:w="28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Keiner</w:t>
            </w:r>
          </w:p>
        </w:tc>
        <w:tc>
          <w:tcPr>
            <w:tcW w:type="dxa" w:w="2863"/>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CHF 300'000, sinkt ab dem zweiten Jahr um CHF 10'000 pro Jahr</w:t>
            </w:r>
          </w:p>
        </w:tc>
      </w:tr>
    </w:tbl>
    <w:p>
      <w:pPr>
        <w:spacing w:after="80"/>
      </w:pPr>
    </w:p>
    <w:p>
      <w:pPr>
        <w:spacing w:after="120" w:before="0" w:line="276"/>
      </w:pPr>
      <w:r>
        <w:rPr>
          <w:rFonts w:ascii="Arial" w:cs="Arial" w:eastAsia="Arial" w:hAnsi="Arial"/>
          <w:sz w:val="20"/>
          <w:szCs w:val="20"/>
        </w:rPr>
        <w:t xml:space="preserve">Die Steuer im Beispiel rechnet sich so. Die Pauschale von 65 Prozent auf CHF 900'000 ergibt Anlagekosten von CHF 585'000. Der steuerbare Gewinn beträgt damit CHF 315'000. Bei einem Steuersatz von 5 Prozent sind das CHF 15'750.</w:t>
      </w:r>
    </w:p>
    <w:p>
      <w:pPr>
        <w:spacing w:after="120" w:before="0" w:line="276"/>
      </w:pPr>
      <w:r>
        <w:rPr>
          <w:rFonts w:ascii="Arial" w:cs="Arial" w:eastAsia="Arial" w:hAnsi="Arial"/>
          <w:sz w:val="20"/>
          <w:szCs w:val="20"/>
        </w:rPr>
        <w:t xml:space="preserve">Die gemischte Schenkung spart im Beispiel CHF 15'750 Steuern. Dafür steht ein Verzicht von CHF 300'000 im Raum, der die Ergänzungsleistungen mindern kann. Der Verkauf zum Verkehrswert kostet Steuern und verlangt, dass die Kinder CHF 600'000 bezahlen oder schulden, vermeidet aber den Verzicht. Welche Variante besser ist, entscheidet die Steuer nicht allein.</w:t>
      </w:r>
    </w:p>
    <w:p>
      <w:pPr>
        <w:pStyle w:val="Heading3"/>
        <w:keepNext/>
        <w:spacing w:after="100" w:before="220"/>
      </w:pPr>
      <w:r>
        <w:rPr>
          <w:rFonts w:ascii="Arial" w:cs="Arial" w:eastAsia="Arial" w:hAnsi="Arial"/>
          <w:b/>
          <w:bCs/>
          <w:color w:val="1F3A5F"/>
          <w:sz w:val="22"/>
          <w:szCs w:val="22"/>
        </w:rPr>
        <w:t xml:space="preserve">Welche Variante passt zu welcher Situation?</w:t>
      </w:r>
    </w:p>
    <w:p>
      <w:pPr>
        <w:pStyle w:val="ListParagraph"/>
        <w:numPr>
          <w:ilvl w:val="0"/>
          <w:numId w:val="2"/>
        </w:numPr>
        <w:spacing w:after="80" w:line="276"/>
      </w:pPr>
      <w:r>
        <w:rPr>
          <w:rFonts w:ascii="Arial" w:cs="Arial" w:eastAsia="Arial" w:hAnsi="Arial"/>
          <w:sz w:val="20"/>
          <w:szCs w:val="20"/>
        </w:rPr>
        <w:t xml:space="preserve">Das Wohnrecht passt, wenn die Eltern günstig im Haus bleiben möchten und ein späterer Umzug absehbar ist. Nach dem Auszug können die Kinder die Liegenschaft verkaufen oder vermieten. Dafür tragen die Kinder die Hypothekarzinsen und die grösseren Kosten.</w:t>
      </w:r>
    </w:p>
    <w:p>
      <w:pPr>
        <w:pStyle w:val="ListParagraph"/>
        <w:numPr>
          <w:ilvl w:val="0"/>
          <w:numId w:val="2"/>
        </w:numPr>
        <w:spacing w:after="80" w:line="276"/>
      </w:pPr>
      <w:r>
        <w:rPr>
          <w:rFonts w:ascii="Arial" w:cs="Arial" w:eastAsia="Arial" w:hAnsi="Arial"/>
          <w:sz w:val="20"/>
          <w:szCs w:val="20"/>
        </w:rPr>
        <w:t xml:space="preserve">Die Nutzniessung passt, wenn die Eltern Kontrolle und Erträge behalten möchten, auch bei einem Auszug. Die Kinder tragen weder Hypothekarzinsen noch gewöhnlichen Unterhalt, können aber bis zum Tod der Nutzniesser nicht über das Haus verfügen.</w:t>
      </w:r>
    </w:p>
    <w:p>
      <w:pPr>
        <w:pStyle w:val="ListParagraph"/>
        <w:numPr>
          <w:ilvl w:val="0"/>
          <w:numId w:val="2"/>
        </w:numPr>
        <w:spacing w:after="80" w:line="276"/>
      </w:pPr>
      <w:r>
        <w:rPr>
          <w:rFonts w:ascii="Arial" w:cs="Arial" w:eastAsia="Arial" w:hAnsi="Arial"/>
          <w:sz w:val="20"/>
          <w:szCs w:val="20"/>
        </w:rPr>
        <w:t xml:space="preserve">Bei den laufenden Kosten ist die Nutzniessung für die Kinder günstiger, weil sie die Hypothekarzinsen nicht tragen.</w:t>
      </w:r>
    </w:p>
    <w:p>
      <w:pPr>
        <w:spacing w:after="120" w:before="0" w:line="276"/>
      </w:pPr>
      <w:r>
        <w:rPr>
          <w:rFonts w:ascii="Arial" w:cs="Arial" w:eastAsia="Arial" w:hAnsi="Arial"/>
          <w:sz w:val="20"/>
          <w:szCs w:val="20"/>
        </w:rPr>
        <w:t xml:space="preserve">Dazu kommen Fragen, die über die Steuern hinausgehen. Wie wahrscheinlich ist ein Heimaufenthalt? Reicht das Vermögen der Eltern, damit sie keine Ergänzungsleistungen brauchen? Wie verändert sich die Steuerlage ab 2029? Und was bedeutet die Übergabe für die anderen Kinder? Bei mehreren Kindern spielen das Erbrecht und die Gleichbehandlung eine Rolle, etwa die Ausgleichung und die Pflichtteile.</w:t>
      </w:r>
    </w:p>
    <w:p>
      <w:pPr>
        <w:pStyle w:val="Heading3"/>
        <w:keepNext/>
        <w:spacing w:after="100" w:before="220"/>
      </w:pPr>
      <w:r>
        <w:rPr>
          <w:rFonts w:ascii="Arial" w:cs="Arial" w:eastAsia="Arial" w:hAnsi="Arial"/>
          <w:b/>
          <w:bCs/>
          <w:color w:val="1F3A5F"/>
          <w:sz w:val="22"/>
          <w:szCs w:val="22"/>
        </w:rPr>
        <w:t xml:space="preserve">Häufige Fragen</w:t>
      </w:r>
    </w:p>
    <w:p>
      <w:pPr>
        <w:pStyle w:val="Heading4"/>
        <w:keepNext/>
        <w:spacing w:after="60" w:before="160"/>
      </w:pPr>
      <w:r>
        <w:rPr>
          <w:rFonts w:ascii="Arial" w:cs="Arial" w:eastAsia="Arial" w:hAnsi="Arial"/>
          <w:b/>
          <w:bCs/>
          <w:color w:val="1F3A5F"/>
          <w:sz w:val="20"/>
          <w:szCs w:val="20"/>
        </w:rPr>
        <w:t xml:space="preserve">Was ist der Hauptunterschied zwischen Wohnrecht und Nutzniessung?</w:t>
      </w:r>
    </w:p>
    <w:p>
      <w:pPr>
        <w:spacing w:after="120" w:before="0" w:line="276"/>
      </w:pPr>
      <w:r>
        <w:rPr>
          <w:rFonts w:ascii="Arial" w:cs="Arial" w:eastAsia="Arial" w:hAnsi="Arial"/>
          <w:sz w:val="20"/>
          <w:szCs w:val="20"/>
        </w:rPr>
        <w:t xml:space="preserve">Das Wohnrecht erlaubt nur das Wohnen und endet in der Regel mit dem dauernden Auszug der Eltern. Die Nutzniessung gibt ein volles Nutzungsrecht bis zum Tod, auch zum Vermieten. Beim Wohnrecht tragen die Kinder die Hypothekarzinsen, bei der Nutzniessung die Eltern.</w:t>
      </w:r>
    </w:p>
    <w:p>
      <w:pPr>
        <w:pStyle w:val="Heading4"/>
        <w:keepNext/>
        <w:spacing w:after="60" w:before="160"/>
      </w:pPr>
      <w:r>
        <w:rPr>
          <w:rFonts w:ascii="Arial" w:cs="Arial" w:eastAsia="Arial" w:hAnsi="Arial"/>
          <w:b/>
          <w:bCs/>
          <w:color w:val="1F3A5F"/>
          <w:sz w:val="20"/>
          <w:szCs w:val="20"/>
        </w:rPr>
        <w:t xml:space="preserve">Fällt im Kanton Aargau beim Verkauf an die Kinder Grundstückgewinnsteuer an?</w:t>
      </w:r>
    </w:p>
    <w:p>
      <w:pPr>
        <w:spacing w:after="120" w:before="0" w:line="276"/>
      </w:pPr>
      <w:r>
        <w:rPr>
          <w:rFonts w:ascii="Arial" w:cs="Arial" w:eastAsia="Arial" w:hAnsi="Arial"/>
          <w:sz w:val="20"/>
          <w:szCs w:val="20"/>
        </w:rPr>
        <w:t xml:space="preserve">In der Regel ja. Seit dem 1. Juli 2023 gewährt der Kanton Aargau beim Verkauf unter Verwandten in gerader Linie keinen Steueraufschub mehr. Bei einer gemischten Schenkung wird die Steuer dagegen aufgeschoben.</w:t>
      </w:r>
    </w:p>
    <w:p>
      <w:pPr>
        <w:pStyle w:val="Heading4"/>
        <w:keepNext/>
        <w:spacing w:after="60" w:before="160"/>
      </w:pPr>
      <w:r>
        <w:rPr>
          <w:rFonts w:ascii="Arial" w:cs="Arial" w:eastAsia="Arial" w:hAnsi="Arial"/>
          <w:b/>
          <w:bCs/>
          <w:color w:val="1F3A5F"/>
          <w:sz w:val="20"/>
          <w:szCs w:val="20"/>
        </w:rPr>
        <w:t xml:space="preserve">Was ist eine gemischte Schenkung bei einer Liegenschaft?</w:t>
      </w:r>
    </w:p>
    <w:p>
      <w:pPr>
        <w:spacing w:after="120" w:before="0" w:line="276"/>
      </w:pPr>
      <w:r>
        <w:rPr>
          <w:rFonts w:ascii="Arial" w:cs="Arial" w:eastAsia="Arial" w:hAnsi="Arial"/>
          <w:sz w:val="20"/>
          <w:szCs w:val="20"/>
        </w:rPr>
        <w:t xml:space="preserve">Die Eltern verkaufen die Liegenschaft unter dem Verkehrswert und schenken die Differenz. In der Praxis liegt eine gemischte Schenkung in der Regel vor, wenn die Gegenleistung mindestens 20 Prozent unter dem Verkehrswert liegt und die Eltern die Zuwendung wollen.</w:t>
      </w:r>
    </w:p>
    <w:p>
      <w:pPr>
        <w:pStyle w:val="Heading4"/>
        <w:keepNext/>
        <w:spacing w:after="60" w:before="160"/>
      </w:pPr>
      <w:r>
        <w:rPr>
          <w:rFonts w:ascii="Arial" w:cs="Arial" w:eastAsia="Arial" w:hAnsi="Arial"/>
          <w:b/>
          <w:bCs/>
          <w:color w:val="1F3A5F"/>
          <w:sz w:val="20"/>
          <w:szCs w:val="20"/>
        </w:rPr>
        <w:t xml:space="preserve">Wirkt sich eine Schenkung der Liegenschaft auf Ergänzungsleistungen aus?</w:t>
      </w:r>
    </w:p>
    <w:p>
      <w:pPr>
        <w:spacing w:after="120" w:before="0" w:line="276"/>
      </w:pPr>
      <w:r>
        <w:rPr>
          <w:rFonts w:ascii="Arial" w:cs="Arial" w:eastAsia="Arial" w:hAnsi="Arial"/>
          <w:sz w:val="20"/>
          <w:szCs w:val="20"/>
        </w:rPr>
        <w:t xml:space="preserve">Ja. Verzichten die Eltern ohne gleichwertige Gegenleistung auf Vermögen, rechnet die Behörde den Verzicht bei einem späteren Anspruch an. Der angerechnete Betrag sinkt ab dem zweiten Jahr um 10'000 Franken pro Jahr.</w:t>
      </w:r>
    </w:p>
    <w:p>
      <w:pPr>
        <w:pStyle w:val="Heading4"/>
        <w:keepNext/>
        <w:spacing w:after="60" w:before="160"/>
      </w:pPr>
      <w:r>
        <w:rPr>
          <w:rFonts w:ascii="Arial" w:cs="Arial" w:eastAsia="Arial" w:hAnsi="Arial"/>
          <w:b/>
          <w:bCs/>
          <w:color w:val="1F3A5F"/>
          <w:sz w:val="20"/>
          <w:szCs w:val="20"/>
        </w:rPr>
        <w:t xml:space="preserve">Was ändert sich beim Eigenmietwert?</w:t>
      </w:r>
    </w:p>
    <w:p>
      <w:pPr>
        <w:spacing w:after="120" w:before="0" w:line="276"/>
      </w:pPr>
      <w:r>
        <w:rPr>
          <w:rFonts w:ascii="Arial" w:cs="Arial" w:eastAsia="Arial" w:hAnsi="Arial"/>
          <w:sz w:val="20"/>
          <w:szCs w:val="20"/>
        </w:rPr>
        <w:t xml:space="preserve">Der Bundesrat setzt die Abschaffung des Eigenmietwerts auf selbstgenutztem Wohneigentum auf den 1. Januar 2029 in Kraft. Bis dahin versteuern bei beiden Varianten die Eltern den Eigenmietwert.</w:t>
      </w:r>
    </w:p>
    <w:p>
      <w:pPr>
        <w:pStyle w:val="Heading3"/>
        <w:keepNext/>
        <w:spacing w:after="100" w:before="220"/>
      </w:pPr>
      <w:r>
        <w:rPr>
          <w:rFonts w:ascii="Arial" w:cs="Arial" w:eastAsia="Arial" w:hAnsi="Arial"/>
          <w:b/>
          <w:bCs/>
          <w:color w:val="1F3A5F"/>
          <w:sz w:val="22"/>
          <w:szCs w:val="22"/>
        </w:rPr>
        <w:t xml:space="preserve">Wie unterstützen wir Sie bei der Übergabe?</w:t>
      </w:r>
    </w:p>
    <w:p>
      <w:pPr>
        <w:spacing w:after="120" w:before="0" w:line="276"/>
      </w:pPr>
      <w:r>
        <w:rPr>
          <w:rFonts w:ascii="Arial" w:cs="Arial" w:eastAsia="Arial" w:hAnsi="Arial"/>
          <w:sz w:val="20"/>
          <w:szCs w:val="20"/>
        </w:rPr>
        <w:t xml:space="preserve">Wir rechnen die Varianten mit Ihren Zahlen durch. So sehen Sie, wie hoch Kaufpreis und Steuer ausfallen und was eine Schenkung für spätere Ergänzungsleistungen bedeutet. Mehr zu unserer Beratung finden Sie auf der Seite </w:t>
      </w:r>
      <w:hyperlink w:history="1" r:id="rIdzxytjcfkbwkkvhwdfh_33">
        <w:r>
          <w:rPr>
            <w:rFonts w:ascii="Arial" w:cs="Arial" w:eastAsia="Arial" w:hAnsi="Arial"/>
            <w:color w:val="1A5FB4"/>
            <w:sz w:val="20"/>
            <w:szCs w:val="20"/>
            <w:u w:val="single"/>
          </w:rPr>
          <w:t xml:space="preserve">Grundstückgewinnsteuern</w:t>
        </w:r>
      </w:hyperlink>
      <w:r>
        <w:rPr>
          <w:rFonts w:ascii="Arial" w:cs="Arial" w:eastAsia="Arial" w:hAnsi="Arial"/>
          <w:sz w:val="20"/>
          <w:szCs w:val="20"/>
        </w:rPr>
        <w:t xml:space="preserve">. Wie sich die Übergabe auf Ihre Steuererklärung auswirkt, klären wir mit Ihnen als </w:t>
      </w:r>
      <w:hyperlink w:history="1" r:id="rIdyp9lblmzvsvcrec3y-e8o">
        <w:r>
          <w:rPr>
            <w:rFonts w:ascii="Arial" w:cs="Arial" w:eastAsia="Arial" w:hAnsi="Arial"/>
            <w:color w:val="1A5FB4"/>
            <w:sz w:val="20"/>
            <w:szCs w:val="20"/>
            <w:u w:val="single"/>
          </w:rPr>
          <w:t xml:space="preserve">Steuerberater für Privatpersonen</w:t>
        </w:r>
      </w:hyperlink>
      <w:r>
        <w:rPr>
          <w:rFonts w:ascii="Arial" w:cs="Arial" w:eastAsia="Arial" w:hAnsi="Arial"/>
          <w:sz w:val="20"/>
          <w:szCs w:val="20"/>
        </w:rPr>
        <w:t xml:space="preserve">.</w:t>
      </w:r>
    </w:p>
    <w:p>
      <w:pPr>
        <w:spacing w:after="120" w:before="0" w:line="276"/>
      </w:pPr>
      <w:r>
        <w:rPr>
          <w:rFonts w:ascii="Arial" w:cs="Arial" w:eastAsia="Arial" w:hAnsi="Arial"/>
          <w:sz w:val="20"/>
          <w:szCs w:val="20"/>
        </w:rPr>
        <w:t xml:space="preserve">Vereinbaren Sie ein Erstgespräch über unsere </w:t>
      </w:r>
      <w:hyperlink w:history="1" r:id="rIduzcpqy0iqxof_vbmbbbpm">
        <w:r>
          <w:rPr>
            <w:rFonts w:ascii="Arial" w:cs="Arial" w:eastAsia="Arial" w:hAnsi="Arial"/>
            <w:color w:val="1A5FB4"/>
            <w:sz w:val="20"/>
            <w:szCs w:val="20"/>
            <w:u w:val="single"/>
          </w:rPr>
          <w:t xml:space="preserve">Kontaktseite</w:t>
        </w:r>
      </w:hyperlink>
      <w:r>
        <w:rPr>
          <w:rFonts w:ascii="Arial" w:cs="Arial" w:eastAsia="Arial" w:hAnsi="Arial"/>
          <w:sz w:val="20"/>
          <w:szCs w:val="20"/>
        </w:rPr>
        <w:t xml:space="preserve"> oder rufen Sie uns unter </w:t>
      </w:r>
      <w:hyperlink w:history="1" r:id="rId5szuwdwv5cxglstqr7uhp">
        <w:r>
          <w:rPr>
            <w:rFonts w:ascii="Arial" w:cs="Arial" w:eastAsia="Arial" w:hAnsi="Arial"/>
            <w:color w:val="1A5FB4"/>
            <w:sz w:val="20"/>
            <w:szCs w:val="20"/>
            <w:u w:val="single"/>
          </w:rPr>
          <w:t xml:space="preserve">062 745 70 30</w:t>
        </w:r>
      </w:hyperlink>
      <w:r>
        <w:rPr>
          <w:rFonts w:ascii="Arial" w:cs="Arial" w:eastAsia="Arial" w:hAnsi="Arial"/>
          <w:sz w:val="20"/>
          <w:szCs w:val="20"/>
        </w:rPr>
        <w:t xml:space="preserve"> an.</w:t>
      </w:r>
    </w:p>
    <w:p>
      <w:pPr>
        <w:spacing w:after="120" w:before="0" w:line="276"/>
      </w:pPr>
      <w:r>
        <w:rPr>
          <w:rFonts w:ascii="Arial" w:cs="Arial" w:eastAsia="Arial" w:hAnsi="Arial"/>
          <w:sz w:val="20"/>
          <w:szCs w:val="20"/>
        </w:rPr>
        <w:t xml:space="preserve">Dieser Beitrag gibt einen Überblick und ersetzt keine Beratung im Einzelfall. Die Angaben stehen auf dem Stand von Oktober 2026.</w:t>
      </w:r>
    </w:p>
    <w:p>
      <w:pPr>
        <w:pStyle w:val="Heading3"/>
        <w:keepNext/>
        <w:spacing w:after="100" w:before="220"/>
      </w:pPr>
      <w:r>
        <w:rPr>
          <w:rFonts w:ascii="Arial" w:cs="Arial" w:eastAsia="Arial" w:hAnsi="Arial"/>
          <w:b/>
          <w:bCs/>
          <w:color w:val="1F3A5F"/>
          <w:sz w:val="22"/>
          <w:szCs w:val="22"/>
        </w:rPr>
        <w:t xml:space="preserve">Über den Autor</w:t>
      </w:r>
    </w:p>
    <w:p>
      <w:pPr>
        <w:spacing w:after="120" w:before="0" w:line="276"/>
      </w:pPr>
      <w:r>
        <w:rPr>
          <w:rFonts w:ascii="Arial" w:cs="Arial" w:eastAsia="Arial" w:hAnsi="Arial"/>
          <w:sz w:val="20"/>
          <w:szCs w:val="20"/>
        </w:rPr>
        <w:t xml:space="preserve">Philippe Bally ist dipl. Treuhänder und Steuerexperte und leitet das Team der Zofingen Treuhand AG. Er hat über 20 Jahre Erfahrung in der Steuerberatung, vertritt Kunden vor den Steuerbehörden und war zuvor viele Jahre für Kanton und Gemeinden tätig. Mehr zum Team finden Sie unter </w:t>
      </w:r>
      <w:hyperlink w:history="1" r:id="rIdxxj2pqxbg65tadvfiqzww">
        <w:r>
          <w:rPr>
            <w:rFonts w:ascii="Arial" w:cs="Arial" w:eastAsia="Arial" w:hAnsi="Arial"/>
            <w:color w:val="1A5FB4"/>
            <w:sz w:val="20"/>
            <w:szCs w:val="20"/>
            <w:u w:val="single"/>
          </w:rPr>
          <w:t xml:space="preserve">Über uns</w:t>
        </w:r>
      </w:hyperlink>
      <w:r>
        <w:rPr>
          <w:rFonts w:ascii="Arial" w:cs="Arial" w:eastAsia="Arial" w:hAnsi="Arial"/>
          <w:sz w:val="20"/>
          <w:szCs w:val="20"/>
        </w:rPr>
        <w:t xml:space="preserve">.</w:t>
      </w:r>
    </w:p>
    <w:p>
      <w:pPr>
        <w:pStyle w:val="Heading3"/>
        <w:keepNext/>
        <w:spacing w:after="100" w:before="220"/>
      </w:pPr>
      <w:r>
        <w:rPr>
          <w:rFonts w:ascii="Arial" w:cs="Arial" w:eastAsia="Arial" w:hAnsi="Arial"/>
          <w:b/>
          <w:bCs/>
          <w:color w:val="1F3A5F"/>
          <w:sz w:val="22"/>
          <w:szCs w:val="22"/>
        </w:rPr>
        <w:t xml:space="preserve">Quellen</w:t>
      </w:r>
    </w:p>
    <w:p>
      <w:pPr>
        <w:pStyle w:val="ListParagraph"/>
        <w:numPr>
          <w:ilvl w:val="0"/>
          <w:numId w:val="2"/>
        </w:numPr>
        <w:spacing w:after="80" w:line="276"/>
      </w:pPr>
      <w:r>
        <w:rPr>
          <w:rFonts w:ascii="Arial" w:cs="Arial" w:eastAsia="Arial" w:hAnsi="Arial"/>
          <w:sz w:val="20"/>
          <w:szCs w:val="20"/>
        </w:rPr>
        <w:t xml:space="preserve">Der Bundesrat: </w:t>
      </w:r>
      <w:hyperlink w:history="1" r:id="rId1dx1vbhyj02d8shwayu6d">
        <w:r>
          <w:rPr>
            <w:rFonts w:ascii="Arial" w:cs="Arial" w:eastAsia="Arial" w:hAnsi="Arial"/>
            <w:color w:val="1A5FB4"/>
            <w:sz w:val="20"/>
            <w:szCs w:val="20"/>
            <w:u w:val="single"/>
          </w:rPr>
          <w:t xml:space="preserve">Bundesrat setzt Abschaffung des Eigenmietwerts auf 2029 in Kraft</w:t>
        </w:r>
      </w:hyperlink>
      <w:r>
        <w:rPr>
          <w:rFonts w:ascii="Arial" w:cs="Arial" w:eastAsia="Arial" w:hAnsi="Arial"/>
          <w:sz w:val="20"/>
          <w:szCs w:val="20"/>
        </w:rPr>
        <w:t xml:space="preserve">, Medienmitteilung vom 1. April 2026.</w:t>
      </w:r>
    </w:p>
    <w:p>
      <w:pPr>
        <w:pStyle w:val="ListParagraph"/>
        <w:numPr>
          <w:ilvl w:val="0"/>
          <w:numId w:val="2"/>
        </w:numPr>
        <w:spacing w:after="80" w:line="276"/>
      </w:pPr>
      <w:r>
        <w:rPr>
          <w:rFonts w:ascii="Arial" w:cs="Arial" w:eastAsia="Arial" w:hAnsi="Arial"/>
          <w:sz w:val="20"/>
          <w:szCs w:val="20"/>
        </w:rPr>
        <w:t xml:space="preserve">Kantonales Steueramt Aargau: </w:t>
      </w:r>
      <w:hyperlink w:history="1" r:id="rId6xl-u5k-ddnra7ncdooq8">
        <w:r>
          <w:rPr>
            <w:rFonts w:ascii="Arial" w:cs="Arial" w:eastAsia="Arial" w:hAnsi="Arial"/>
            <w:color w:val="1A5FB4"/>
            <w:sz w:val="20"/>
            <w:szCs w:val="20"/>
            <w:u w:val="single"/>
          </w:rPr>
          <w:t xml:space="preserve">Merkblatt «Grundstückgewinnsteuer»</w:t>
        </w:r>
      </w:hyperlink>
      <w:r>
        <w:rPr>
          <w:rFonts w:ascii="Arial" w:cs="Arial" w:eastAsia="Arial" w:hAnsi="Arial"/>
          <w:sz w:val="20"/>
          <w:szCs w:val="20"/>
        </w:rPr>
        <w:t xml:space="preserve">, Änderungen vom 1. Juli 2023.</w:t>
      </w:r>
    </w:p>
    <w:p>
      <w:pPr>
        <w:pStyle w:val="ListParagraph"/>
        <w:numPr>
          <w:ilvl w:val="0"/>
          <w:numId w:val="2"/>
        </w:numPr>
        <w:spacing w:after="80" w:line="276"/>
      </w:pPr>
      <w:r>
        <w:rPr>
          <w:rFonts w:ascii="Arial" w:cs="Arial" w:eastAsia="Arial" w:hAnsi="Arial"/>
          <w:sz w:val="20"/>
          <w:szCs w:val="20"/>
        </w:rPr>
        <w:t xml:space="preserve">Schweizerisches Zivilgesetzbuch: </w:t>
      </w:r>
      <w:hyperlink w:history="1" r:id="rIdbdzev6-8bjiosah_k-ntc">
        <w:r>
          <w:rPr>
            <w:rFonts w:ascii="Arial" w:cs="Arial" w:eastAsia="Arial" w:hAnsi="Arial"/>
            <w:color w:val="1A5FB4"/>
            <w:sz w:val="20"/>
            <w:szCs w:val="20"/>
            <w:u w:val="single"/>
          </w:rPr>
          <w:t xml:space="preserve">ZGB</w:t>
        </w:r>
      </w:hyperlink>
      <w:r>
        <w:rPr>
          <w:rFonts w:ascii="Arial" w:cs="Arial" w:eastAsia="Arial" w:hAnsi="Arial"/>
          <w:sz w:val="20"/>
          <w:szCs w:val="20"/>
        </w:rPr>
        <w:t xml:space="preserve">, Art. 745 ff., Art. 764 und Art. 776 ff.</w:t>
      </w:r>
    </w:p>
    <w:p>
      <w:pPr>
        <w:pStyle w:val="ListParagraph"/>
        <w:numPr>
          <w:ilvl w:val="0"/>
          <w:numId w:val="2"/>
        </w:numPr>
        <w:spacing w:after="80" w:line="276"/>
      </w:pPr>
      <w:r>
        <w:rPr>
          <w:rFonts w:ascii="Arial" w:cs="Arial" w:eastAsia="Arial" w:hAnsi="Arial"/>
          <w:sz w:val="20"/>
          <w:szCs w:val="20"/>
        </w:rPr>
        <w:t xml:space="preserve">Bundesgesetz über Ergänzungsleistungen: </w:t>
      </w:r>
      <w:hyperlink w:history="1" r:id="rId8aviinc0bhwlry8c-e2we">
        <w:r>
          <w:rPr>
            <w:rFonts w:ascii="Arial" w:cs="Arial" w:eastAsia="Arial" w:hAnsi="Arial"/>
            <w:color w:val="1A5FB4"/>
            <w:sz w:val="20"/>
            <w:szCs w:val="20"/>
            <w:u w:val="single"/>
          </w:rPr>
          <w:t xml:space="preserve">ELG</w:t>
        </w:r>
      </w:hyperlink>
      <w:r>
        <w:rPr>
          <w:rFonts w:ascii="Arial" w:cs="Arial" w:eastAsia="Arial" w:hAnsi="Arial"/>
          <w:sz w:val="20"/>
          <w:szCs w:val="20"/>
        </w:rPr>
        <w:t xml:space="preserve">, Art. 11 Abs. 1 lit. g.</w:t>
      </w:r>
    </w:p>
    <w:p>
      <w:pPr>
        <w:pStyle w:val="ListParagraph"/>
        <w:numPr>
          <w:ilvl w:val="0"/>
          <w:numId w:val="2"/>
        </w:numPr>
        <w:spacing w:after="80" w:line="276"/>
      </w:pPr>
      <w:r>
        <w:rPr>
          <w:rFonts w:ascii="Arial" w:cs="Arial" w:eastAsia="Arial" w:hAnsi="Arial"/>
          <w:sz w:val="20"/>
          <w:szCs w:val="20"/>
        </w:rPr>
        <w:t xml:space="preserve">Bundesgericht: </w:t>
      </w:r>
      <w:hyperlink w:history="1" r:id="rIduacldwefhnpipfobjwyhc">
        <w:r>
          <w:rPr>
            <w:rFonts w:ascii="Arial" w:cs="Arial" w:eastAsia="Arial" w:hAnsi="Arial"/>
            <w:color w:val="1A5FB4"/>
            <w:sz w:val="20"/>
            <w:szCs w:val="20"/>
            <w:u w:val="single"/>
          </w:rPr>
          <w:t xml:space="preserve">Urteil 9C_31/2018 vom 23. Mai 2018</w:t>
        </w:r>
      </w:hyperlink>
      <w:r>
        <w:rPr>
          <w:rFonts w:ascii="Arial" w:cs="Arial" w:eastAsia="Arial" w:hAnsi="Arial"/>
          <w:sz w:val="20"/>
          <w:szCs w:val="20"/>
        </w:rPr>
        <w:t xml:space="preserve"> zur jährlichen Verminderung des Vermögensverzichts nach Art. 17a ELV.</w:t>
      </w:r>
    </w:p>
    <w:p>
      <w:pPr>
        <w:pStyle w:val="Heading1"/>
        <w:pageBreakBefore/>
        <w:spacing w:after="200" w:before="0"/>
      </w:pPr>
      <w:r>
        <w:rPr>
          <w:rFonts w:ascii="Arial" w:cs="Arial" w:eastAsia="Arial" w:hAnsi="Arial"/>
          <w:b/>
          <w:bCs/>
          <w:color w:val="1F3A5F"/>
          <w:sz w:val="32"/>
          <w:szCs w:val="32"/>
        </w:rPr>
        <w:t xml:space="preserve">3. Implementation (English, for Alberto)</w:t>
      </w:r>
    </w:p>
    <w:p>
      <w:pPr>
        <w:pBdr>
          <w:left w:val="single" w:color="C98A00" w:sz="18" w:space="8"/>
        </w:pBdr>
        <w:shd w:fill="FFF4D6" w:color="auto" w:val="clear"/>
        <w:spacing w:after="140" w:before="60" w:line="276"/>
        <w:ind w:left="200"/>
      </w:pPr>
      <w:r>
        <w:rPr>
          <w:rFonts w:ascii="Arial" w:cs="Arial" w:eastAsia="Arial" w:hAnsi="Arial"/>
          <w:sz w:val="20"/>
          <w:szCs w:val="20"/>
        </w:rPr>
        <w:t xml:space="preserve">German text stays German. Do not translate it, rewrite it or run it through an AI plugin. Chapter 2 is final and approved text once Silvia confirms the client approval. Do not start before that confirmation.</w:t>
      </w:r>
    </w:p>
    <w:p>
      <w:pPr>
        <w:pStyle w:val="Heading2"/>
        <w:keepNext/>
        <w:spacing w:after="120" w:before="280"/>
      </w:pPr>
      <w:r>
        <w:rPr>
          <w:rFonts w:ascii="Arial" w:cs="Arial" w:eastAsia="Arial" w:hAnsi="Arial"/>
          <w:b/>
          <w:bCs/>
          <w:color w:val="1F3A5F"/>
          <w:sz w:val="26"/>
          <w:szCs w:val="26"/>
        </w:rPr>
        <w:t xml:space="preserve">3.1 Task in short</w:t>
      </w:r>
    </w:p>
    <w:p>
      <w:pPr>
        <w:spacing w:after="120" w:before="0" w:line="276"/>
      </w:pPr>
      <w:r>
        <w:rPr>
          <w:rFonts w:ascii="Arial" w:cs="Arial" w:eastAsia="Arial" w:hAnsi="Arial"/>
          <w:sz w:val="20"/>
          <w:szCs w:val="20"/>
        </w:rPr>
        <w:t xml:space="preserve">Publish one new article on zofingen-treuhand.ch: «Wohnrecht oder Nutzniessung bei der Übergabe der Liegenschaft an die Kinder». Add two inbound links from existing pages, replace the structured data of this one post as described below, and check the result with curl and the Rich Results Test. Priority: normal. Deadline: set by Silvia after the client approval.</w:t>
      </w:r>
    </w:p>
    <w:p>
      <w:pPr>
        <w:pStyle w:val="Heading2"/>
        <w:keepNext/>
        <w:spacing w:after="120" w:before="280"/>
      </w:pPr>
      <w:r>
        <w:rPr>
          <w:rFonts w:ascii="Arial" w:cs="Arial" w:eastAsia="Arial" w:hAnsi="Arial"/>
          <w:b/>
          <w:bCs/>
          <w:color w:val="1F3A5F"/>
          <w:sz w:val="26"/>
          <w:szCs w:val="26"/>
        </w:rPr>
        <w:t xml:space="preserve">3.2 Findings on the live site (checked 29 October 2026 with curl)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026"/>
      </w:tblGrid>
      <w:tr>
        <w:trPr>
          <w:cantSplit/>
          <w:tblHeader/>
        </w:trPr>
        <w:tc>
          <w:tcPr>
            <w:tcW w:type="dxa" w:w="27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Finding</w:t>
            </w:r>
          </w:p>
        </w:tc>
        <w:tc>
          <w:tcPr>
            <w:tcW w:type="dxa" w:w="33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Evidence</w:t>
            </w:r>
          </w:p>
        </w:tc>
        <w:tc>
          <w:tcPr>
            <w:tcW w:type="dxa" w:w="3026"/>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Recommendation</w:t>
            </w:r>
          </w:p>
        </w:tc>
      </w:tr>
      <w:tr>
        <w:trPr>
          <w:cantSplit/>
        </w:trPr>
        <w:tc>
          <w:tcPr>
            <w:tcW w:type="dxa" w:w="27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Posts live under /posts/&lt;ID&gt;/&lt;slug&gt;. The ID is assigned by the platform.</w:t>
            </w:r>
          </w:p>
        </w:tc>
        <w:tc>
          <w:tcPr>
            <w:tcW w:type="dxa" w:w="33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Sitemap lists 21 posts, e.g. /posts/rjzqhh/grundstuckgewinnsteuer-aargau-schweiz-berechnen-einfach-erklart. Umlauts are stripped from slugs (ü becomes u).</w:t>
            </w:r>
          </w:p>
        </w:tc>
        <w:tc>
          <w:tcPr>
            <w:tcW w:type="dxa" w:w="30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Create the post with the title below. Expected slug: wohnrecht-oder-nutzniessung-liegenschaft-an-die-kinder-ubergeben. Never change the slug after publication (rule since the July migration).</w:t>
            </w:r>
          </w:p>
        </w:tc>
      </w:tr>
      <w:tr>
        <w:trPr>
          <w:cantSplit/>
        </w:trPr>
        <w:tc>
          <w:tcPr>
            <w:tcW w:type="dxa" w:w="27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Sitemaps: /sitemaps.xml points to sitemap-pages.xml and sitemap-posts.xml. robots.txt allows /, llms.txt returns 200.</w:t>
            </w:r>
          </w:p>
        </w:tc>
        <w:tc>
          <w:tcPr>
            <w:tcW w:type="dxa" w:w="33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curl: all 200.</w:t>
            </w:r>
          </w:p>
        </w:tc>
        <w:tc>
          <w:tcPr>
            <w:tcW w:type="dxa" w:w="30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After publishing, confirm the new URL appears in sitemap-posts.xml with a current lastmod.</w:t>
            </w:r>
          </w:p>
        </w:tc>
      </w:tr>
      <w:tr>
        <w:trPr>
          <w:cantSplit/>
        </w:trPr>
        <w:tc>
          <w:tcPr>
            <w:tcW w:type="dxa" w:w="27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Posts output one standalone Article block, plus a sitewide graph with Organization (@id …/#organization) and WebSite (@id …/#website). There is no BreadcrumbList.</w:t>
            </w:r>
          </w:p>
        </w:tc>
        <w:tc>
          <w:tcPr>
            <w:tcW w:type="dxa" w:w="33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View source of /posts/rjzqhh/… (29 Oct 2026). The Article has author and publisher as plain Organization objects, publisher.logo.url is the relative path /img/home/logo-treuhand.png, and the description is cut at about 150 characters in the middle of a sentence.</w:t>
            </w:r>
          </w:p>
        </w:tc>
        <w:tc>
          <w:tcPr>
            <w:tcW w:type="dxa" w:w="30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Replace the Article block of this post with the one in 3.8 (do not add a second Article). Add the BreadcrumbList. Fixing the same issues on all other posts is a later task (see 3.11).</w:t>
            </w:r>
          </w:p>
        </w:tc>
      </w:tr>
      <w:tr>
        <w:trPr>
          <w:cantSplit/>
        </w:trPr>
        <w:tc>
          <w:tcPr>
            <w:tcW w:type="dxa" w:w="27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Title tags end with « | Zofingen Treuhand AG» (22 characters).</w:t>
            </w:r>
          </w:p>
        </w:tc>
        <w:tc>
          <w:tcPr>
            <w:tcW w:type="dxa" w:w="33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Example: «Immobilien Ag oder Immobilien GmbH gründen und Steuern sparen | Zofingen Treuhand AG».</w:t>
            </w:r>
          </w:p>
        </w:tc>
        <w:tc>
          <w:tcPr>
            <w:tcW w:type="dxa" w:w="30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Enter the title in 3.3 as the title field. If the suffix is added automatically, the full title tag is longer than 60 characters. Report it, do not work around it.</w:t>
            </w:r>
          </w:p>
        </w:tc>
      </w:tr>
      <w:tr>
        <w:trPr>
          <w:cantSplit/>
        </w:trPr>
        <w:tc>
          <w:tcPr>
            <w:tcW w:type="dxa" w:w="27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/rechner/ redirects to the Grundstückgewinnsteuer post.</w:t>
            </w:r>
          </w:p>
        </w:tc>
        <w:tc>
          <w:tcPr>
            <w:tcW w:type="dxa" w:w="33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curl -L: 200 at /posts/rjzqhh/…</w:t>
            </w:r>
          </w:p>
        </w:tc>
        <w:tc>
          <w:tcPr>
            <w:tcW w:type="dxa" w:w="30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Do not link /rechner/.</w:t>
            </w:r>
          </w:p>
        </w:tc>
      </w:tr>
      <w:tr>
        <w:trPr>
          <w:cantSplit/>
        </w:trPr>
        <w:tc>
          <w:tcPr>
            <w:tcW w:type="dxa" w:w="27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No page covers the topic. /grundstueckgewinnsteuern lists «Steuerliche Beurteilung von Wohnrecht und Nutzniessung» as a service without content.</w:t>
            </w:r>
          </w:p>
        </w:tc>
        <w:tc>
          <w:tcPr>
            <w:tcW w:type="dxa" w:w="33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Page text and sitemap checked.</w:t>
            </w:r>
          </w:p>
        </w:tc>
        <w:tc>
          <w:tcPr>
            <w:tcW w:type="dxa" w:w="30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Add the inbound links in 3.5.</w:t>
            </w:r>
          </w:p>
        </w:tc>
      </w:tr>
    </w:tbl>
    <w:p>
      <w:pPr>
        <w:pStyle w:val="Heading2"/>
        <w:keepNext/>
        <w:spacing w:after="120" w:before="280"/>
      </w:pPr>
      <w:r>
        <w:rPr>
          <w:rFonts w:ascii="Arial" w:cs="Arial" w:eastAsia="Arial" w:hAnsi="Arial"/>
          <w:b/>
          <w:bCs/>
          <w:color w:val="1F3A5F"/>
          <w:sz w:val="26"/>
          <w:szCs w:val="26"/>
        </w:rPr>
        <w:t xml:space="preserve">3.3 URL and metadata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rPr>
        <w:tc>
          <w:tcPr>
            <w:tcW w:type="dxa" w:w="27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H1 (post title)</w:t>
            </w:r>
          </w:p>
        </w:tc>
        <w:tc>
          <w:tcPr>
            <w:tcW w:type="dxa" w:w="63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Wohnrecht oder Nutzniessung bei der Übergabe der Liegenschaft an die Kinder</w:t>
            </w:r>
          </w:p>
        </w:tc>
      </w:tr>
      <w:tr>
        <w:trPr>
          <w:cantSplit/>
        </w:trPr>
        <w:tc>
          <w:tcPr>
            <w:tcW w:type="dxa" w:w="27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Title field (54 characters)</w:t>
            </w:r>
          </w:p>
        </w:tc>
        <w:tc>
          <w:tcPr>
            <w:tcW w:type="dxa" w:w="63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Wohnrecht oder Nutzniessung bei der Übergabe an Kinder</w:t>
            </w:r>
          </w:p>
        </w:tc>
      </w:tr>
      <w:tr>
        <w:trPr>
          <w:cantSplit/>
        </w:trPr>
        <w:tc>
          <w:tcPr>
            <w:tcW w:type="dxa" w:w="27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Meta description (153 characters)</w:t>
            </w:r>
          </w:p>
        </w:tc>
        <w:tc>
          <w:tcPr>
            <w:tcW w:type="dxa" w:w="63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Wohnrecht oder Nutzniessung bei der Übergabe an die Kinder. Kosten, Steuern im Kanton Aargau, Grundstückgewinnsteuer und Folgen für Ergänzungsleistungen.</w:t>
            </w:r>
          </w:p>
        </w:tc>
      </w:tr>
      <w:tr>
        <w:trPr>
          <w:cantSplit/>
        </w:trPr>
        <w:tc>
          <w:tcPr>
            <w:tcW w:type="dxa" w:w="27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Slug (platform generated)</w:t>
            </w:r>
          </w:p>
        </w:tc>
        <w:tc>
          <w:tcPr>
            <w:tcW w:type="dxa" w:w="63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wohnrecht-oder-nutzniessung-liegenschaft-an-die-kinder-ubergeben</w:t>
            </w:r>
          </w:p>
        </w:tc>
      </w:tr>
      <w:tr>
        <w:trPr>
          <w:cantSplit/>
        </w:trPr>
        <w:tc>
          <w:tcPr>
            <w:tcW w:type="dxa" w:w="27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Canonical</w:t>
            </w:r>
          </w:p>
        </w:tc>
        <w:tc>
          <w:tcPr>
            <w:tcW w:type="dxa" w:w="63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Self-referencing, absolute address of the post</w:t>
            </w:r>
          </w:p>
        </w:tc>
      </w:tr>
      <w:tr>
        <w:trPr>
          <w:cantSplit/>
        </w:trPr>
        <w:tc>
          <w:tcPr>
            <w:tcW w:type="dxa" w:w="27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Open Graph and Twitter tags</w:t>
            </w:r>
          </w:p>
        </w:tc>
        <w:tc>
          <w:tcPr>
            <w:tcW w:type="dxa" w:w="63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Generated by the platform from title and description. Check that og:title and og:description show the full text and that og:image loads.</w:t>
            </w:r>
          </w:p>
        </w:tc>
      </w:tr>
      <w:tr>
        <w:trPr>
          <w:cantSplit/>
        </w:trPr>
        <w:tc>
          <w:tcPr>
            <w:tcW w:type="dxa" w:w="27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Author</w:t>
            </w:r>
          </w:p>
        </w:tc>
        <w:tc>
          <w:tcPr>
            <w:tcW w:type="dxa" w:w="63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Zofingen Treuhand AG (Organization), same as existing posts</w:t>
            </w:r>
          </w:p>
        </w:tc>
      </w:tr>
      <w:tr>
        <w:trPr>
          <w:cantSplit/>
        </w:trPr>
        <w:tc>
          <w:tcPr>
            <w:tcW w:type="dxa" w:w="2700"/>
            <w:tcBorders>
              <w:top w:val="single" w:color="D0D7E2" w:sz="4"/>
              <w:left w:val="single" w:color="D0D7E2" w:sz="4"/>
              <w:bottom w:val="single" w:color="D0D7E2" w:sz="4"/>
              <w:right w:val="single" w:color="D0D7E2" w:sz="4"/>
            </w:tcBorders>
            <w:shd w:fill="F4F6F9" w:color="auto" w:val="clear"/>
            <w:tcMar>
              <w:top w:type="dxa" w:w="70"/>
              <w:left w:type="dxa" w:w="110"/>
              <w:bottom w:type="dxa" w:w="70"/>
              <w:right w:type="dxa" w:w="110"/>
            </w:tcMar>
            <w:vAlign w:val="top"/>
          </w:tcPr>
          <w:p>
            <w:pPr>
              <w:spacing w:after="40" w:line="260"/>
            </w:pPr>
            <w:r>
              <w:rPr>
                <w:rFonts w:ascii="Arial" w:cs="Arial" w:eastAsia="Arial" w:hAnsi="Arial"/>
                <w:b/>
                <w:bCs/>
                <w:sz w:val="18"/>
                <w:szCs w:val="18"/>
              </w:rPr>
              <w:t xml:space="preserve">Dates</w:t>
            </w:r>
          </w:p>
        </w:tc>
        <w:tc>
          <w:tcPr>
            <w:tcW w:type="dxa" w:w="63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datePublished: day of publication. dateModified: same day. Update dateModified with every content change.</w:t>
            </w:r>
          </w:p>
        </w:tc>
      </w:tr>
    </w:tbl>
    <w:p>
      <w:pPr>
        <w:pStyle w:val="Heading2"/>
        <w:keepNext/>
        <w:spacing w:after="120" w:before="280"/>
      </w:pPr>
      <w:r>
        <w:rPr>
          <w:rFonts w:ascii="Arial" w:cs="Arial" w:eastAsia="Arial" w:hAnsi="Arial"/>
          <w:b/>
          <w:bCs/>
          <w:color w:val="1F3A5F"/>
          <w:sz w:val="26"/>
          <w:szCs w:val="26"/>
        </w:rPr>
        <w:t xml:space="preserve">3.4 Heading hierarchy</w:t>
      </w:r>
    </w:p>
    <w:p>
      <w:pPr>
        <w:pStyle w:val="ListParagraph"/>
        <w:numPr>
          <w:ilvl w:val="0"/>
          <w:numId w:val="2"/>
        </w:numPr>
        <w:spacing w:after="80" w:line="276"/>
      </w:pPr>
      <w:r>
        <w:rPr>
          <w:rFonts w:ascii="Arial" w:cs="Arial" w:eastAsia="Arial" w:hAnsi="Arial"/>
          <w:sz w:val="20"/>
          <w:szCs w:val="20"/>
        </w:rPr>
        <w:t xml:space="preserve">H1: Wohnrecht oder Nutzniessung bei der Übergabe der Liegenschaft an die Kinder (exactly one)</w:t>
      </w:r>
    </w:p>
    <w:p>
      <w:pPr>
        <w:pStyle w:val="ListParagraph"/>
        <w:numPr>
          <w:ilvl w:val="0"/>
          <w:numId w:val="2"/>
        </w:numPr>
        <w:spacing w:after="80" w:line="276"/>
      </w:pPr>
      <w:r>
        <w:rPr>
          <w:rFonts w:ascii="Arial" w:cs="Arial" w:eastAsia="Arial" w:hAnsi="Arial"/>
          <w:sz w:val="20"/>
          <w:szCs w:val="20"/>
        </w:rPr>
        <w:t xml:space="preserve">H2: Was ist der Unterschied zwischen Wohnrecht und Nutzniessung?</w:t>
      </w:r>
    </w:p>
    <w:p>
      <w:pPr>
        <w:pStyle w:val="ListParagraph"/>
        <w:numPr>
          <w:ilvl w:val="0"/>
          <w:numId w:val="2"/>
        </w:numPr>
        <w:spacing w:after="80" w:line="276"/>
      </w:pPr>
      <w:r>
        <w:rPr>
          <w:rFonts w:ascii="Arial" w:cs="Arial" w:eastAsia="Arial" w:hAnsi="Arial"/>
          <w:sz w:val="20"/>
          <w:szCs w:val="20"/>
        </w:rPr>
        <w:t xml:space="preserve">H2: Wer trägt welche Kosten und Steuern?</w:t>
      </w:r>
    </w:p>
    <w:p>
      <w:pPr>
        <w:pStyle w:val="ListParagraph"/>
        <w:numPr>
          <w:ilvl w:val="0"/>
          <w:numId w:val="2"/>
        </w:numPr>
        <w:spacing w:after="80" w:line="276"/>
      </w:pPr>
      <w:r>
        <w:rPr>
          <w:rFonts w:ascii="Arial" w:cs="Arial" w:eastAsia="Arial" w:hAnsi="Arial"/>
          <w:sz w:val="20"/>
          <w:szCs w:val="20"/>
        </w:rPr>
        <w:t xml:space="preserve">H2: Wie wirkt sich das Recht auf den Kaufpreis aus?</w:t>
      </w:r>
    </w:p>
    <w:p>
      <w:pPr>
        <w:pStyle w:val="ListParagraph"/>
        <w:numPr>
          <w:ilvl w:val="0"/>
          <w:numId w:val="2"/>
        </w:numPr>
        <w:spacing w:after="80" w:line="276"/>
      </w:pPr>
      <w:r>
        <w:rPr>
          <w:rFonts w:ascii="Arial" w:cs="Arial" w:eastAsia="Arial" w:hAnsi="Arial"/>
          <w:sz w:val="20"/>
          <w:szCs w:val="20"/>
        </w:rPr>
        <w:t xml:space="preserve">H2: Fällt beim Verkauf an die Kinder Grundstückgewinnsteuer an?</w:t>
      </w:r>
    </w:p>
    <w:p>
      <w:pPr>
        <w:pStyle w:val="ListParagraph"/>
        <w:numPr>
          <w:ilvl w:val="0"/>
          <w:numId w:val="2"/>
        </w:numPr>
        <w:spacing w:after="80" w:line="276"/>
      </w:pPr>
      <w:r>
        <w:rPr>
          <w:rFonts w:ascii="Arial" w:cs="Arial" w:eastAsia="Arial" w:hAnsi="Arial"/>
          <w:sz w:val="20"/>
          <w:szCs w:val="20"/>
        </w:rPr>
        <w:t xml:space="preserve">H2: Wie lässt sich die Grundstückgewinnsteuer vermeiden?</w:t>
      </w:r>
    </w:p>
    <w:p>
      <w:pPr>
        <w:pStyle w:val="ListParagraph"/>
        <w:numPr>
          <w:ilvl w:val="0"/>
          <w:numId w:val="2"/>
        </w:numPr>
        <w:spacing w:after="80" w:line="276"/>
      </w:pPr>
      <w:r>
        <w:rPr>
          <w:rFonts w:ascii="Arial" w:cs="Arial" w:eastAsia="Arial" w:hAnsi="Arial"/>
          <w:sz w:val="20"/>
          <w:szCs w:val="20"/>
        </w:rPr>
        <w:t xml:space="preserve">H2: Was bedeutet eine Schenkung für spätere Ergänzungsleistungen?</w:t>
      </w:r>
    </w:p>
    <w:p>
      <w:pPr>
        <w:pStyle w:val="ListParagraph"/>
        <w:numPr>
          <w:ilvl w:val="0"/>
          <w:numId w:val="2"/>
        </w:numPr>
        <w:spacing w:after="80" w:line="276"/>
      </w:pPr>
      <w:r>
        <w:rPr>
          <w:rFonts w:ascii="Arial" w:cs="Arial" w:eastAsia="Arial" w:hAnsi="Arial"/>
          <w:sz w:val="20"/>
          <w:szCs w:val="20"/>
        </w:rPr>
        <w:t xml:space="preserve">H2: Was kostet welche Variante im Rechenbeispiel?</w:t>
      </w:r>
    </w:p>
    <w:p>
      <w:pPr>
        <w:pStyle w:val="ListParagraph"/>
        <w:numPr>
          <w:ilvl w:val="0"/>
          <w:numId w:val="2"/>
        </w:numPr>
        <w:spacing w:after="80" w:line="276"/>
      </w:pPr>
      <w:r>
        <w:rPr>
          <w:rFonts w:ascii="Arial" w:cs="Arial" w:eastAsia="Arial" w:hAnsi="Arial"/>
          <w:sz w:val="20"/>
          <w:szCs w:val="20"/>
        </w:rPr>
        <w:t xml:space="preserve">H2: Welche Variante passt zu welcher Situation?</w:t>
      </w:r>
    </w:p>
    <w:p>
      <w:pPr>
        <w:pStyle w:val="ListParagraph"/>
        <w:numPr>
          <w:ilvl w:val="0"/>
          <w:numId w:val="2"/>
        </w:numPr>
        <w:spacing w:after="80" w:line="276"/>
      </w:pPr>
      <w:r>
        <w:rPr>
          <w:rFonts w:ascii="Arial" w:cs="Arial" w:eastAsia="Arial" w:hAnsi="Arial"/>
          <w:sz w:val="20"/>
          <w:szCs w:val="20"/>
        </w:rPr>
        <w:t xml:space="preserve">H2: Häufige Fragen</w:t>
      </w:r>
    </w:p>
    <w:p>
      <w:pPr>
        <w:pStyle w:val="ListParagraph"/>
        <w:numPr>
          <w:ilvl w:val="0"/>
          <w:numId w:val="2"/>
        </w:numPr>
        <w:spacing w:after="80" w:line="276"/>
      </w:pPr>
      <w:r>
        <w:rPr>
          <w:rFonts w:ascii="Arial" w:cs="Arial" w:eastAsia="Arial" w:hAnsi="Arial"/>
          <w:sz w:val="20"/>
          <w:szCs w:val="20"/>
        </w:rPr>
        <w:t xml:space="preserve">H2: Wie unterstützen wir Sie bei der Übergabe?</w:t>
      </w:r>
    </w:p>
    <w:p>
      <w:pPr>
        <w:pStyle w:val="ListParagraph"/>
        <w:numPr>
          <w:ilvl w:val="0"/>
          <w:numId w:val="2"/>
        </w:numPr>
        <w:spacing w:after="80" w:line="276"/>
      </w:pPr>
      <w:r>
        <w:rPr>
          <w:rFonts w:ascii="Arial" w:cs="Arial" w:eastAsia="Arial" w:hAnsi="Arial"/>
          <w:sz w:val="20"/>
          <w:szCs w:val="20"/>
        </w:rPr>
        <w:t xml:space="preserve">H2: Über den Autor</w:t>
      </w:r>
    </w:p>
    <w:p>
      <w:pPr>
        <w:pStyle w:val="ListParagraph"/>
        <w:numPr>
          <w:ilvl w:val="0"/>
          <w:numId w:val="2"/>
        </w:numPr>
        <w:spacing w:after="80" w:line="276"/>
      </w:pPr>
      <w:r>
        <w:rPr>
          <w:rFonts w:ascii="Arial" w:cs="Arial" w:eastAsia="Arial" w:hAnsi="Arial"/>
          <w:sz w:val="20"/>
          <w:szCs w:val="20"/>
        </w:rPr>
        <w:t xml:space="preserve">H2: Quellen</w:t>
      </w:r>
    </w:p>
    <w:p>
      <w:pPr>
        <w:spacing w:after="120" w:before="80" w:line="276"/>
      </w:pPr>
      <w:r>
        <w:rPr>
          <w:rFonts w:ascii="Arial" w:cs="Arial" w:eastAsia="Arial" w:hAnsi="Arial"/>
          <w:sz w:val="20"/>
          <w:szCs w:val="20"/>
        </w:rPr>
        <w:t xml:space="preserve">Two blocks are new compared to a plain article. (1) A quote paragraph after the paragraph that ends «… lässt sich nicht planen.»: render it as a blockquote (or a styled paragraph), text exactly as in Chapter 2, no change of wording, no extra quotation marks. (2) An H2 «Über den Autor» before «Quellen», with one paragraph and the link «Über uns» to https://www.zofingen-treuhand.ch/ueber-uns (200). Do not add an author photo or an author archive page.</w:t>
      </w:r>
    </w:p>
    <w:p>
      <w:pPr>
        <w:spacing w:after="120" w:before="80" w:line="276"/>
      </w:pPr>
      <w:r>
        <w:rPr>
          <w:rFonts w:ascii="Arial" w:cs="Arial" w:eastAsia="Arial" w:hAnsi="Arial"/>
          <w:sz w:val="20"/>
          <w:szCs w:val="20"/>
        </w:rPr>
        <w:t xml:space="preserve">The five questions under «Häufige Fragen» are H3. Keep the text of questions and answers exactly as in Chapter 2. Do not add FAQ structured data (Google no longer shows FAQ rich results, and the project rule is: no FAQPage).</w:t>
      </w:r>
    </w:p>
    <w:p>
      <w:pPr>
        <w:pStyle w:val="Heading2"/>
        <w:keepNext/>
        <w:spacing w:after="120" w:before="280"/>
      </w:pPr>
      <w:r>
        <w:rPr>
          <w:rFonts w:ascii="Arial" w:cs="Arial" w:eastAsia="Arial" w:hAnsi="Arial"/>
          <w:b/>
          <w:bCs/>
          <w:color w:val="1F3A5F"/>
          <w:sz w:val="26"/>
          <w:szCs w:val="26"/>
        </w:rPr>
        <w:t xml:space="preserve">3.5 Internal links</w:t>
      </w:r>
    </w:p>
    <w:p>
      <w:pPr>
        <w:spacing w:after="120" w:before="0" w:line="276"/>
      </w:pPr>
      <w:r>
        <w:rPr>
          <w:rFonts w:ascii="Arial" w:cs="Arial" w:eastAsia="Arial" w:hAnsi="Arial"/>
          <w:b/>
          <w:bCs/>
          <w:sz w:val="20"/>
          <w:szCs w:val="20"/>
        </w:rPr>
        <w:t xml:space="preserve">Outbound links in the article (already in the text, check that they render and 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426"/>
        <w:gridCol w:w="1600"/>
      </w:tblGrid>
      <w:tr>
        <w:trPr>
          <w:cantSplit/>
          <w:tblHeader/>
        </w:trPr>
        <w:tc>
          <w:tcPr>
            <w:tcW w:type="dxa" w:w="30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Anchor text</w:t>
            </w:r>
          </w:p>
        </w:tc>
        <w:tc>
          <w:tcPr>
            <w:tcW w:type="dxa" w:w="4426"/>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Target</w:t>
            </w:r>
          </w:p>
        </w:tc>
        <w:tc>
          <w:tcPr>
            <w:tcW w:type="dxa" w:w="16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Status</w:t>
            </w:r>
          </w:p>
        </w:tc>
      </w:tr>
      <w:tr>
        <w:trPr>
          <w:cantSplit/>
        </w:trPr>
        <w:tc>
          <w:tcPr>
            <w:tcW w:type="dxa" w:w="3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Grundstückgewinnsteuer im Kanton Aargau berechnen</w:t>
            </w:r>
          </w:p>
        </w:tc>
        <w:tc>
          <w:tcPr>
            <w:tcW w:type="dxa" w:w="44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https://www.zofingen-treuhand.ch/posts/rjzqhh/grundstuckgewinnsteuer-aargau-schweiz-berechnen-einfach-erklart</w:t>
            </w:r>
          </w:p>
        </w:tc>
        <w:tc>
          <w:tcPr>
            <w:tcW w:type="dxa" w:w="1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200 (29.10.2026), but see correction below</w:t>
            </w:r>
          </w:p>
        </w:tc>
      </w:tr>
      <w:tr>
        <w:trPr>
          <w:cantSplit/>
        </w:trPr>
        <w:tc>
          <w:tcPr>
            <w:tcW w:type="dxa" w:w="3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Grundstückgewinnsteuern</w:t>
            </w:r>
          </w:p>
        </w:tc>
        <w:tc>
          <w:tcPr>
            <w:tcW w:type="dxa" w:w="44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https://www.zofingen-treuhand.ch/grundstueckgewinnsteuern</w:t>
            </w:r>
          </w:p>
        </w:tc>
        <w:tc>
          <w:tcPr>
            <w:tcW w:type="dxa" w:w="1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200</w:t>
            </w:r>
          </w:p>
        </w:tc>
      </w:tr>
      <w:tr>
        <w:trPr>
          <w:cantSplit/>
        </w:trPr>
        <w:tc>
          <w:tcPr>
            <w:tcW w:type="dxa" w:w="3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Steuerberater für Privatpersonen</w:t>
            </w:r>
          </w:p>
        </w:tc>
        <w:tc>
          <w:tcPr>
            <w:tcW w:type="dxa" w:w="44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https://www.zofingen-treuhand.ch/steuern-fuer-privatpersonen</w:t>
            </w:r>
          </w:p>
        </w:tc>
        <w:tc>
          <w:tcPr>
            <w:tcW w:type="dxa" w:w="1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200</w:t>
            </w:r>
          </w:p>
        </w:tc>
      </w:tr>
      <w:tr>
        <w:trPr>
          <w:cantSplit/>
        </w:trPr>
        <w:tc>
          <w:tcPr>
            <w:tcW w:type="dxa" w:w="3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Kontaktseite</w:t>
            </w:r>
          </w:p>
        </w:tc>
        <w:tc>
          <w:tcPr>
            <w:tcW w:type="dxa" w:w="44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https://www.zofingen-treuhand.ch/kontakt</w:t>
            </w:r>
          </w:p>
        </w:tc>
        <w:tc>
          <w:tcPr>
            <w:tcW w:type="dxa" w:w="1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200</w:t>
            </w:r>
          </w:p>
        </w:tc>
      </w:tr>
      <w:tr>
        <w:trPr>
          <w:cantSplit/>
        </w:trPr>
        <w:tc>
          <w:tcPr>
            <w:tcW w:type="dxa" w:w="3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Über uns</w:t>
            </w:r>
          </w:p>
        </w:tc>
        <w:tc>
          <w:tcPr>
            <w:tcW w:type="dxa" w:w="44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https://www.zofingen-treuhand.ch/ueber-uns</w:t>
            </w:r>
          </w:p>
        </w:tc>
        <w:tc>
          <w:tcPr>
            <w:tcW w:type="dxa" w:w="1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200 (curl, 29.10.2026)</w:t>
            </w:r>
          </w:p>
        </w:tc>
      </w:tr>
      <w:tr>
        <w:trPr>
          <w:cantSplit/>
        </w:trPr>
        <w:tc>
          <w:tcPr>
            <w:tcW w:type="dxa" w:w="3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062 745 70 30</w:t>
            </w:r>
          </w:p>
        </w:tc>
        <w:tc>
          <w:tcPr>
            <w:tcW w:type="dxa" w:w="44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tel:+41627457030</w:t>
            </w:r>
          </w:p>
        </w:tc>
        <w:tc>
          <w:tcPr>
            <w:tcW w:type="dxa" w:w="1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Phone link, as on the contact page</w:t>
            </w:r>
          </w:p>
        </w:tc>
      </w:tr>
    </w:tbl>
    <w:p>
      <w:pPr>
        <w:spacing w:after="120" w:before="120" w:line="276"/>
      </w:pPr>
      <w:r>
        <w:rPr>
          <w:rFonts w:ascii="Arial" w:cs="Arial" w:eastAsia="Arial" w:hAnsi="Arial"/>
          <w:b/>
          <w:bCs/>
          <w:sz w:val="20"/>
          <w:szCs w:val="20"/>
        </w:rPr>
        <w:t xml:space="preserve">Inbound links to add on existing pages (after the client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326"/>
      </w:tblGrid>
      <w:tr>
        <w:trPr>
          <w:cantSplit/>
          <w:tblHeader/>
        </w:trPr>
        <w:tc>
          <w:tcPr>
            <w:tcW w:type="dxa" w:w="27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Page</w:t>
            </w:r>
          </w:p>
        </w:tc>
        <w:tc>
          <w:tcPr>
            <w:tcW w:type="dxa" w:w="30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Where</w:t>
            </w:r>
          </w:p>
        </w:tc>
        <w:tc>
          <w:tcPr>
            <w:tcW w:type="dxa" w:w="3326"/>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Text to insert (German)</w:t>
            </w:r>
          </w:p>
        </w:tc>
      </w:tr>
      <w:tr>
        <w:trPr>
          <w:cantSplit/>
        </w:trPr>
        <w:tc>
          <w:tcPr>
            <w:tcW w:type="dxa" w:w="27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https://www.zofingen-treuhand.ch/grundstueckgewinnsteuern</w:t>
            </w:r>
          </w:p>
        </w:tc>
        <w:tc>
          <w:tcPr>
            <w:tcW w:type="dxa" w:w="3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In the paragraph that ends «… beraten und vertreten Sie gegenüber den Steuerbehörden.»</w:t>
            </w:r>
          </w:p>
        </w:tc>
        <w:tc>
          <w:tcPr>
            <w:tcW w:type="dxa" w:w="33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Link the existing words «Wohnrechten und Nutzniessungen» to the new post. No other text change.</w:t>
            </w:r>
          </w:p>
        </w:tc>
      </w:tr>
      <w:tr>
        <w:trPr>
          <w:cantSplit/>
        </w:trPr>
        <w:tc>
          <w:tcPr>
            <w:tcW w:type="dxa" w:w="27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https://www.zofingen-treuhand.ch/posts/rjzqhh/grundstuckgewinnsteuer-aargau-schweiz-berechnen-einfach-erklart</w:t>
            </w:r>
          </w:p>
        </w:tc>
        <w:tc>
          <w:tcPr>
            <w:tcW w:type="dxa" w:w="3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After the sentence «In diesen Fällen erfolgt ein Steueraufschub, … des Vorbesitzers.»</w:t>
            </w:r>
          </w:p>
        </w:tc>
        <w:tc>
          <w:tcPr>
            <w:tcW w:type="dxa" w:w="33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Wie das bei der Übergabe an die Kinder mit Wohnrecht oder Nutzniessung aussieht, lesen Sie im Beitrag </w:t>
            </w:r>
            <w:hyperlink w:history="1" r:id="rIdczp_rz0icbfus2ci51drw">
              <w:r>
                <w:rPr>
                  <w:rFonts w:ascii="Arial" w:cs="Arial" w:eastAsia="Arial" w:hAnsi="Arial"/>
                  <w:b w:val="false"/>
                  <w:bCs w:val="false"/>
                  <w:color w:val="1A5FB4"/>
                  <w:sz w:val="18"/>
                  <w:szCs w:val="18"/>
                  <w:u w:val="single"/>
                </w:rPr>
                <w:t xml:space="preserve">[ Wohnrecht oder Nutzniessung bei der Übergabe der Liegenschaft an die Kinder</w:t>
              </w:r>
            </w:hyperlink>
            <w:r>
              <w:rPr>
                <w:rFonts w:ascii="Arial" w:cs="Arial" w:eastAsia="Arial" w:hAnsi="Arial"/>
                <w:b w:val="false"/>
                <w:bCs w:val="false"/>
                <w:sz w:val="18"/>
                <w:szCs w:val="18"/>
              </w:rPr>
              <w:t xml:space="preserve">.</w:t>
            </w:r>
          </w:p>
        </w:tc>
      </w:tr>
    </w:tbl>
    <w:p>
      <w:pPr>
        <w:pBdr>
          <w:left w:val="single" w:color="C98A00" w:sz="18" w:space="8"/>
        </w:pBdr>
        <w:shd w:fill="FFF4D6" w:color="auto" w:val="clear"/>
        <w:spacing w:after="140" w:before="60" w:line="276"/>
        <w:ind w:left="200"/>
      </w:pPr>
      <w:r>
        <w:rPr>
          <w:rFonts w:ascii="Arial" w:cs="Arial" w:eastAsia="Arial" w:hAnsi="Arial"/>
          <w:sz w:val="20"/>
          <w:szCs w:val="20"/>
        </w:rPr>
        <w:t xml:space="preserve">Correction on the Grundstückgewinnsteuer post, only after approval by Philippe Bally: the list of exceptions says «Bei Rechtsgeschäften unter Verwandten in gerader Linie (z. B. Verkauf durch Eltern an Kinder)» with a tax deferral. This is outdated since 1 July 2023. Replace this one list item with: «Verkauf unter Verwandten in gerader Linie (z. B. von Eltern an Kinder). Der Kanton Aargau gewährt dafür seit dem 1. Juli 2023 keinen Steueraufschub mehr.» and make sure the following sentence «In diesen Fällen erfolgt ein Steueraufschub …» no longer covers that item. If the correction is not approved, do not add the link from the new article to this post and tell Silvia. Do not change the slug of that post.</w:t>
      </w:r>
    </w:p>
    <w:p>
      <w:pPr>
        <w:pStyle w:val="Heading2"/>
        <w:keepNext/>
        <w:spacing w:after="120" w:before="280"/>
      </w:pPr>
      <w:r>
        <w:rPr>
          <w:rFonts w:ascii="Arial" w:cs="Arial" w:eastAsia="Arial" w:hAnsi="Arial"/>
          <w:b/>
          <w:bCs/>
          <w:color w:val="1F3A5F"/>
          <w:sz w:val="26"/>
          <w:szCs w:val="26"/>
        </w:rPr>
        <w:t xml:space="preserve">3.6 External links (checked 29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4000"/>
        <w:gridCol w:w="1426"/>
      </w:tblGrid>
      <w:tr>
        <w:trPr>
          <w:cantSplit/>
          <w:tblHeader/>
        </w:trPr>
        <w:tc>
          <w:tcPr>
            <w:tcW w:type="dxa" w:w="36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Link</w:t>
            </w:r>
          </w:p>
        </w:tc>
        <w:tc>
          <w:tcPr>
            <w:tcW w:type="dxa" w:w="4000"/>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Statement it supports</w:t>
            </w:r>
          </w:p>
        </w:tc>
        <w:tc>
          <w:tcPr>
            <w:tcW w:type="dxa" w:w="1426"/>
            <w:tcBorders>
              <w:top w:val="single" w:color="D0D7E2" w:sz="4"/>
              <w:left w:val="single" w:color="D0D7E2" w:sz="4"/>
              <w:bottom w:val="single" w:color="D0D7E2" w:sz="4"/>
              <w:right w:val="single" w:color="D0D7E2" w:sz="4"/>
            </w:tcBorders>
            <w:shd w:fill="1F3A5F" w:color="auto" w:val="clear"/>
            <w:tcMar>
              <w:top w:type="dxa" w:w="70"/>
              <w:left w:type="dxa" w:w="110"/>
              <w:bottom w:type="dxa" w:w="70"/>
              <w:right w:type="dxa" w:w="110"/>
            </w:tcMar>
            <w:vAlign w:val="top"/>
          </w:tcPr>
          <w:p>
            <w:pPr>
              <w:spacing w:after="40" w:line="260"/>
            </w:pPr>
            <w:r>
              <w:rPr>
                <w:rFonts w:ascii="Arial" w:cs="Arial" w:eastAsia="Arial" w:hAnsi="Arial"/>
                <w:b/>
                <w:bCs/>
                <w:color w:val="FFFFFF"/>
                <w:sz w:val="18"/>
                <w:szCs w:val="18"/>
              </w:rPr>
              <w:t xml:space="preserve">Status</w:t>
            </w:r>
          </w:p>
        </w:tc>
      </w:tr>
      <w:tr>
        <w:trPr>
          <w:cantSplit/>
        </w:trPr>
        <w:tc>
          <w:tcPr>
            <w:tcW w:type="dxa" w:w="3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https://www.admin.ch/de/newnsb/yGTqBPowRqyVh0zPokW-q</w:t>
            </w:r>
          </w:p>
        </w:tc>
        <w:tc>
          <w:tcPr>
            <w:tcW w:type="dxa" w:w="4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Eigenmietwert abolished on 1 Jan 2029; maintenance deduction and interest deduction change (Bundesrat press release, 1 April 2026).</w:t>
            </w:r>
          </w:p>
        </w:tc>
        <w:tc>
          <w:tcPr>
            <w:tcW w:type="dxa" w:w="14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200 (fetched without browser identifier; 403 with a browser user agent)</w:t>
            </w:r>
          </w:p>
        </w:tc>
      </w:tr>
      <w:tr>
        <w:trPr>
          <w:cantSplit/>
        </w:trPr>
        <w:tc>
          <w:tcPr>
            <w:tcW w:type="dxa" w:w="3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https://www.ag.ch/media/kanton-aargau/dfr/dokumente/steuern/natuerliche-personen/merkblaetter-zu-steuern-natuerliche-personen/grundst-ckgewinnsteuer2023-neu.pdf</w:t>
            </w:r>
          </w:p>
        </w:tc>
        <w:tc>
          <w:tcPr>
            <w:tcW w:type="dxa" w:w="4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Steueraufschub catalogue § 97 Abs. 1 StG; no deferral for sales between relatives in direct line; flat-rate costs and tax rate examples (Merkblatt, changes 1 July 2023).</w:t>
            </w:r>
          </w:p>
        </w:tc>
        <w:tc>
          <w:tcPr>
            <w:tcW w:type="dxa" w:w="14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200, PDF</w:t>
            </w:r>
          </w:p>
        </w:tc>
      </w:tr>
      <w:tr>
        <w:trPr>
          <w:cantSplit/>
        </w:trPr>
        <w:tc>
          <w:tcPr>
            <w:tcW w:type="dxa" w:w="3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https://www.fedlex.admin.ch/eli/cc/24/233_245_233/de</w:t>
            </w:r>
          </w:p>
        </w:tc>
        <w:tc>
          <w:tcPr>
            <w:tcW w:type="dxa" w:w="4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Art. 745 ff., 764, 776 ff. ZGB (Nutzniessung, Wohnrecht).</w:t>
            </w:r>
          </w:p>
        </w:tc>
        <w:tc>
          <w:tcPr>
            <w:tcW w:type="dxa" w:w="14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200 (official legal text, loads in the browser)</w:t>
            </w:r>
          </w:p>
        </w:tc>
      </w:tr>
      <w:tr>
        <w:trPr>
          <w:cantSplit/>
        </w:trPr>
        <w:tc>
          <w:tcPr>
            <w:tcW w:type="dxa" w:w="3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https://www.fedlex.admin.ch/eli/cc/2007/804/de</w:t>
            </w:r>
          </w:p>
        </w:tc>
        <w:tc>
          <w:tcPr>
            <w:tcW w:type="dxa" w:w="4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Art. 11 Abs. 1 lit. g ELG (Vermögensverzicht).</w:t>
            </w:r>
          </w:p>
        </w:tc>
        <w:tc>
          <w:tcPr>
            <w:tcW w:type="dxa" w:w="14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200 (official legal text, loads in the browser)</w:t>
            </w:r>
          </w:p>
        </w:tc>
      </w:tr>
      <w:tr>
        <w:trPr>
          <w:cantSplit/>
        </w:trPr>
        <w:tc>
          <w:tcPr>
            <w:tcW w:type="dxa" w:w="36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sz w:val="18"/>
                <w:szCs w:val="18"/>
              </w:rPr>
              <w:t xml:space="preserve">https://servat.unibe.ch/dfr/bger/2018/180523_9C_31-2018.html</w:t>
            </w:r>
          </w:p>
        </w:tc>
        <w:tc>
          <w:tcPr>
            <w:tcW w:type="dxa" w:w="4000"/>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Art. 17a ELV: reduction of the waived assets by CHF 10'000 per year, first on 1 January of the second year (BGer 9C_31/2018, 23 May 2018).</w:t>
            </w:r>
          </w:p>
        </w:tc>
        <w:tc>
          <w:tcPr>
            <w:tcW w:type="dxa" w:w="1426"/>
            <w:tcBorders>
              <w:top w:val="single" w:color="D0D7E2" w:sz="4"/>
              <w:left w:val="single" w:color="D0D7E2" w:sz="4"/>
              <w:bottom w:val="single" w:color="D0D7E2" w:sz="4"/>
              <w:right w:val="single" w:color="D0D7E2" w:sz="4"/>
            </w:tcBorders>
            <w:tcMar>
              <w:top w:type="dxa" w:w="70"/>
              <w:left w:type="dxa" w:w="110"/>
              <w:bottom w:type="dxa" w:w="70"/>
              <w:right w:type="dxa" w:w="110"/>
            </w:tcMar>
            <w:vAlign w:val="top"/>
          </w:tcPr>
          <w:p>
            <w:pPr>
              <w:spacing w:after="40" w:line="260"/>
            </w:pPr>
            <w:r>
              <w:rPr>
                <w:rFonts w:ascii="Arial" w:cs="Arial" w:eastAsia="Arial" w:hAnsi="Arial"/>
                <w:b w:val="false"/>
                <w:bCs w:val="false"/>
                <w:sz w:val="18"/>
                <w:szCs w:val="18"/>
              </w:rPr>
              <w:t xml:space="preserve">200</w:t>
            </w:r>
          </w:p>
        </w:tc>
      </w:tr>
    </w:tbl>
    <w:p>
      <w:pPr>
        <w:spacing w:after="120" w:before="80" w:line="276"/>
      </w:pPr>
      <w:r>
        <w:rPr>
          <w:rFonts w:ascii="Arial" w:cs="Arial" w:eastAsia="Arial" w:hAnsi="Arial"/>
          <w:sz w:val="20"/>
          <w:szCs w:val="20"/>
        </w:rPr>
        <w:t xml:space="preserve">No links to competitors, providers or portals. Open the external links in a new tab, with rel="noopener".</w:t>
      </w:r>
    </w:p>
    <w:p>
      <w:pPr>
        <w:pStyle w:val="Heading2"/>
        <w:keepNext/>
        <w:spacing w:after="120" w:before="280"/>
      </w:pPr>
      <w:r>
        <w:rPr>
          <w:rFonts w:ascii="Arial" w:cs="Arial" w:eastAsia="Arial" w:hAnsi="Arial"/>
          <w:b/>
          <w:bCs/>
          <w:color w:val="1F3A5F"/>
          <w:sz w:val="26"/>
          <w:szCs w:val="26"/>
        </w:rPr>
        <w:t xml:space="preserve">3.7 Images</w:t>
      </w:r>
    </w:p>
    <w:p>
      <w:pPr>
        <w:spacing w:after="120" w:before="0" w:line="276"/>
      </w:pPr>
      <w:r>
        <w:rPr>
          <w:rFonts w:ascii="Arial" w:cs="Arial" w:eastAsia="Arial" w:hAnsi="Arial"/>
          <w:sz w:val="20"/>
          <w:szCs w:val="20"/>
        </w:rPr>
        <w:t xml:space="preserve">No image is required. The platform generates the Open Graph image. If Philippe Bally supplies a photo, use a descriptive file name (for example wohnrecht-nutzniessung-liegenschaft-kinder.webp) and a German alt text that describes what is visible. Do not use stock photos of people.</w:t>
      </w:r>
    </w:p>
    <w:p>
      <w:pPr>
        <w:pStyle w:val="Heading2"/>
        <w:keepNext/>
        <w:spacing w:after="120" w:before="280"/>
      </w:pPr>
      <w:r>
        <w:rPr>
          <w:rFonts w:ascii="Arial" w:cs="Arial" w:eastAsia="Arial" w:hAnsi="Arial"/>
          <w:b/>
          <w:bCs/>
          <w:color w:val="1F3A5F"/>
          <w:sz w:val="26"/>
          <w:szCs w:val="26"/>
        </w:rPr>
        <w:t xml:space="preserve">3.8 JSON-LD (copy and paste)</w:t>
      </w:r>
    </w:p>
    <w:p>
      <w:pPr>
        <w:spacing w:after="120" w:before="0" w:line="276"/>
      </w:pPr>
      <w:r>
        <w:rPr>
          <w:rFonts w:ascii="Arial" w:cs="Arial" w:eastAsia="Arial" w:hAnsi="Arial"/>
          <w:sz w:val="20"/>
          <w:szCs w:val="20"/>
        </w:rPr>
        <w:t xml:space="preserve">Replace the platform’s standalone Article block of this post with the first block. Do not add a second Article. Add the second block as a separate script of type application/ld+json. The blocks reference the existing Organization and WebSite from the sitewide graph. Only two values must be filled after the post exists: POST_URL (the absolute address of the post, with the assigned ID) and PUBLISH_DATE (ISO 8601, for example 2026-11-02T09:00:00.000Z). If the platform cannot output custom JSON-LD per post, leave the platform’s Article as it is, add only the BreadcrumbList and report it.</w:t>
      </w:r>
    </w:p>
    <w:p>
      <w:pPr>
        <w:keepNext/>
        <w:spacing w:after="120" w:before="0" w:line="276"/>
      </w:pPr>
      <w:r>
        <w:rPr>
          <w:rFonts w:ascii="Arial" w:cs="Arial" w:eastAsia="Arial" w:hAnsi="Arial"/>
          <w:b/>
          <w:bCs/>
          <w:sz w:val="20"/>
          <w:szCs w:val="20"/>
        </w:rPr>
        <w:t xml:space="preserve">Article: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7E2" w:sz="4"/>
              <w:left w:val="single" w:color="D0D7E2" w:sz="4"/>
              <w:bottom w:val="single" w:color="D0D7E2" w:sz="4"/>
              <w:right w:val="single" w:color="D0D7E2" w:sz="4"/>
            </w:tcBorders>
            <w:shd w:fill="F4F6F9" w:color="auto" w:val="clear"/>
            <w:tcMar>
              <w:top w:type="dxa" w:w="100"/>
              <w:left w:type="dxa" w:w="140"/>
              <w:bottom w:type="dxa" w:w="100"/>
              <w:right w:type="dxa" w:w="140"/>
            </w:tcMar>
          </w:tcPr>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"@context": "https://schema.org",</w:t>
            </w:r>
          </w:p>
          <w:p>
            <w:pPr>
              <w:spacing w:after="0" w:line="240"/>
            </w:pPr>
            <w:r>
              <w:rPr>
                <w:rFonts w:ascii="Courier New" w:cs="Courier New" w:eastAsia="Courier New" w:hAnsi="Courier New"/>
                <w:sz w:val="16"/>
                <w:szCs w:val="16"/>
              </w:rPr>
              <w:t xml:space="preserve">  "@type": "Article",</w:t>
            </w:r>
          </w:p>
          <w:p>
            <w:pPr>
              <w:spacing w:after="0" w:line="240"/>
            </w:pPr>
            <w:r>
              <w:rPr>
                <w:rFonts w:ascii="Courier New" w:cs="Courier New" w:eastAsia="Courier New" w:hAnsi="Courier New"/>
                <w:sz w:val="16"/>
                <w:szCs w:val="16"/>
              </w:rPr>
              <w:t xml:space="preserve">  "headline": "Wohnrecht oder Nutzniessung bei der Übergabe der Liegenschaft an die Kinder",</w:t>
            </w:r>
          </w:p>
          <w:p>
            <w:pPr>
              <w:spacing w:after="0" w:line="240"/>
            </w:pPr>
            <w:r>
              <w:rPr>
                <w:rFonts w:ascii="Courier New" w:cs="Courier New" w:eastAsia="Courier New" w:hAnsi="Courier New"/>
                <w:sz w:val="16"/>
                <w:szCs w:val="16"/>
              </w:rPr>
              <w:t xml:space="preserve">  "description": "Wohnrecht oder Nutzniessung bei der Übergabe an die Kinder. Kosten, Steuern im Kanton Aargau, Grundstückgewinnsteuer und Folgen für Ergänzungsleistungen.",</w:t>
            </w:r>
          </w:p>
          <w:p>
            <w:pPr>
              <w:spacing w:after="0" w:line="240"/>
            </w:pPr>
            <w:r>
              <w:rPr>
                <w:rFonts w:ascii="Courier New" w:cs="Courier New" w:eastAsia="Courier New" w:hAnsi="Courier New"/>
                <w:sz w:val="16"/>
                <w:szCs w:val="16"/>
              </w:rPr>
              <w:t xml:space="preserve">  "datePublished": "PUBLISH_DATE",</w:t>
            </w:r>
          </w:p>
          <w:p>
            <w:pPr>
              <w:spacing w:after="0" w:line="240"/>
            </w:pPr>
            <w:r>
              <w:rPr>
                <w:rFonts w:ascii="Courier New" w:cs="Courier New" w:eastAsia="Courier New" w:hAnsi="Courier New"/>
                <w:sz w:val="16"/>
                <w:szCs w:val="16"/>
              </w:rPr>
              <w:t xml:space="preserve">  "dateModified": "PUBLISH_DATE",</w:t>
            </w:r>
          </w:p>
          <w:p>
            <w:pPr>
              <w:spacing w:after="0" w:line="240"/>
            </w:pPr>
            <w:r>
              <w:rPr>
                <w:rFonts w:ascii="Courier New" w:cs="Courier New" w:eastAsia="Courier New" w:hAnsi="Courier New"/>
                <w:sz w:val="16"/>
                <w:szCs w:val="16"/>
              </w:rPr>
              <w:t xml:space="preserve">  "inLanguage": "de",</w:t>
            </w:r>
          </w:p>
          <w:p>
            <w:pPr>
              <w:spacing w:after="0" w:line="240"/>
            </w:pPr>
            <w:r>
              <w:rPr>
                <w:rFonts w:ascii="Courier New" w:cs="Courier New" w:eastAsia="Courier New" w:hAnsi="Courier New"/>
                <w:sz w:val="16"/>
                <w:szCs w:val="16"/>
              </w:rPr>
              <w:t xml:space="preserve">  "url": "POST_URL",</w:t>
            </w:r>
          </w:p>
          <w:p>
            <w:pPr>
              <w:spacing w:after="0" w:line="240"/>
            </w:pPr>
            <w:r>
              <w:rPr>
                <w:rFonts w:ascii="Courier New" w:cs="Courier New" w:eastAsia="Courier New" w:hAnsi="Courier New"/>
                <w:sz w:val="16"/>
                <w:szCs w:val="16"/>
              </w:rPr>
              <w:t xml:space="preserve">  "mainEntityOfPage": {</w:t>
            </w:r>
          </w:p>
          <w:p>
            <w:pPr>
              <w:spacing w:after="0" w:line="240"/>
            </w:pPr>
            <w:r>
              <w:rPr>
                <w:rFonts w:ascii="Courier New" w:cs="Courier New" w:eastAsia="Courier New" w:hAnsi="Courier New"/>
                <w:sz w:val="16"/>
                <w:szCs w:val="16"/>
              </w:rPr>
              <w:t xml:space="preserve">    "@type": "WebPage",</w:t>
            </w:r>
          </w:p>
          <w:p>
            <w:pPr>
              <w:spacing w:after="0" w:line="240"/>
            </w:pPr>
            <w:r>
              <w:rPr>
                <w:rFonts w:ascii="Courier New" w:cs="Courier New" w:eastAsia="Courier New" w:hAnsi="Courier New"/>
                <w:sz w:val="16"/>
                <w:szCs w:val="16"/>
              </w:rPr>
              <w:t xml:space="preserve">    "@id": "POST_URL"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"author": {</w:t>
            </w:r>
          </w:p>
          <w:p>
            <w:pPr>
              <w:spacing w:after="0" w:line="240"/>
            </w:pPr>
            <w:r>
              <w:rPr>
                <w:rFonts w:ascii="Courier New" w:cs="Courier New" w:eastAsia="Courier New" w:hAnsi="Courier New"/>
                <w:sz w:val="16"/>
                <w:szCs w:val="16"/>
              </w:rPr>
              <w:t xml:space="preserve">    "@type": "Person",</w:t>
            </w:r>
          </w:p>
          <w:p>
            <w:pPr>
              <w:spacing w:after="0" w:line="240"/>
            </w:pPr>
            <w:r>
              <w:rPr>
                <w:rFonts w:ascii="Courier New" w:cs="Courier New" w:eastAsia="Courier New" w:hAnsi="Courier New"/>
                <w:sz w:val="16"/>
                <w:szCs w:val="16"/>
              </w:rPr>
              <w:t xml:space="preserve">    "name": "Philippe Bally",</w:t>
            </w:r>
          </w:p>
          <w:p>
            <w:pPr>
              <w:spacing w:after="0" w:line="240"/>
            </w:pPr>
            <w:r>
              <w:rPr>
                <w:rFonts w:ascii="Courier New" w:cs="Courier New" w:eastAsia="Courier New" w:hAnsi="Courier New"/>
                <w:sz w:val="16"/>
                <w:szCs w:val="16"/>
              </w:rPr>
              <w:t xml:space="preserve">    "jobTitle": "Dipl. Treuhänder und Steuerexperte",</w:t>
            </w:r>
          </w:p>
          <w:p>
            <w:pPr>
              <w:spacing w:after="0" w:line="240"/>
            </w:pPr>
            <w:r>
              <w:rPr>
                <w:rFonts w:ascii="Courier New" w:cs="Courier New" w:eastAsia="Courier New" w:hAnsi="Courier New"/>
                <w:sz w:val="16"/>
                <w:szCs w:val="16"/>
              </w:rPr>
              <w:t xml:space="preserve">    "url": "https://www.zofingen-treuhand.ch/ueber-uns",</w:t>
            </w:r>
          </w:p>
          <w:p>
            <w:pPr>
              <w:spacing w:after="0" w:line="240"/>
            </w:pPr>
            <w:r>
              <w:rPr>
                <w:rFonts w:ascii="Courier New" w:cs="Courier New" w:eastAsia="Courier New" w:hAnsi="Courier New"/>
                <w:sz w:val="16"/>
                <w:szCs w:val="16"/>
              </w:rPr>
              <w:t xml:space="preserve">    "worksFor": {</w:t>
            </w:r>
          </w:p>
          <w:p>
            <w:pPr>
              <w:spacing w:after="0" w:line="240"/>
            </w:pPr>
            <w:r>
              <w:rPr>
                <w:rFonts w:ascii="Courier New" w:cs="Courier New" w:eastAsia="Courier New" w:hAnsi="Courier New"/>
                <w:sz w:val="16"/>
                <w:szCs w:val="16"/>
              </w:rPr>
              <w:t xml:space="preserve">      "@id": "https://www.zofingen-treuhand.ch/#organization"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"publisher": {</w:t>
            </w:r>
          </w:p>
          <w:p>
            <w:pPr>
              <w:spacing w:after="0" w:line="240"/>
            </w:pPr>
            <w:r>
              <w:rPr>
                <w:rFonts w:ascii="Courier New" w:cs="Courier New" w:eastAsia="Courier New" w:hAnsi="Courier New"/>
                <w:sz w:val="16"/>
                <w:szCs w:val="16"/>
              </w:rPr>
              <w:t xml:space="preserve">    "@id": "https://www.zofingen-treuhand.ch/#organization"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"isPartOf": {</w:t>
            </w:r>
          </w:p>
          <w:p>
            <w:pPr>
              <w:spacing w:after="0" w:line="240"/>
            </w:pPr>
            <w:r>
              <w:rPr>
                <w:rFonts w:ascii="Courier New" w:cs="Courier New" w:eastAsia="Courier New" w:hAnsi="Courier New"/>
                <w:sz w:val="16"/>
                <w:szCs w:val="16"/>
              </w:rPr>
              <w:t xml:space="preserve">    "@id": "https://www.zofingen-treuhand.ch/#website"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tc>
      </w:tr>
    </w:tbl>
    <w:p>
      <w:pPr>
        <w:spacing w:after="80"/>
      </w:pPr>
    </w:p>
    <w:p>
      <w:pPr>
        <w:keepNext/>
        <w:spacing w:after="120" w:before="0" w:line="276"/>
      </w:pPr>
      <w:r>
        <w:rPr>
          <w:rFonts w:ascii="Arial" w:cs="Arial" w:eastAsia="Arial" w:hAnsi="Arial"/>
          <w:b/>
          <w:bCs/>
          <w:sz w:val="20"/>
          <w:szCs w:val="20"/>
        </w:rPr>
        <w:t xml:space="preserve">BreadcrumbList: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7E2" w:sz="4"/>
              <w:left w:val="single" w:color="D0D7E2" w:sz="4"/>
              <w:bottom w:val="single" w:color="D0D7E2" w:sz="4"/>
              <w:right w:val="single" w:color="D0D7E2" w:sz="4"/>
            </w:tcBorders>
            <w:shd w:fill="F4F6F9" w:color="auto" w:val="clear"/>
            <w:tcMar>
              <w:top w:type="dxa" w:w="100"/>
              <w:left w:type="dxa" w:w="140"/>
              <w:bottom w:type="dxa" w:w="100"/>
              <w:right w:type="dxa" w:w="140"/>
            </w:tcMar>
          </w:tcPr>
          <w:p>
            <w:pPr>
              <w:spacing w:after="0" w:line="240"/>
            </w:pPr>
            <w:r>
              <w:rPr>
                <w:rFonts w:ascii="Courier New" w:cs="Courier New" w:eastAsia="Courier New" w:hAnsi="Courier New"/>
                <w:sz w:val="16"/>
                <w:szCs w:val="16"/>
              </w:rPr>
              <w:t xml:space="preserve">{</w:t>
            </w:r>
          </w:p>
          <w:p>
            <w:pPr>
              <w:spacing w:after="0" w:line="240"/>
            </w:pPr>
            <w:r>
              <w:rPr>
                <w:rFonts w:ascii="Courier New" w:cs="Courier New" w:eastAsia="Courier New" w:hAnsi="Courier New"/>
                <w:sz w:val="16"/>
                <w:szCs w:val="16"/>
              </w:rPr>
              <w:t xml:space="preserve">  "@context": "https://schema.org",</w:t>
            </w:r>
          </w:p>
          <w:p>
            <w:pPr>
              <w:spacing w:after="0" w:line="240"/>
            </w:pPr>
            <w:r>
              <w:rPr>
                <w:rFonts w:ascii="Courier New" w:cs="Courier New" w:eastAsia="Courier New" w:hAnsi="Courier New"/>
                <w:sz w:val="16"/>
                <w:szCs w:val="16"/>
              </w:rPr>
              <w:t xml:space="preserve">  "@type": "BreadcrumbList",</w:t>
            </w:r>
          </w:p>
          <w:p>
            <w:pPr>
              <w:spacing w:after="0" w:line="240"/>
            </w:pPr>
            <w:r>
              <w:rPr>
                <w:rFonts w:ascii="Courier New" w:cs="Courier New" w:eastAsia="Courier New" w:hAnsi="Courier New"/>
                <w:sz w:val="16"/>
                <w:szCs w:val="16"/>
              </w:rPr>
              <w:t xml:space="preserve">  "itemListElement":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"@type": "ListItem",</w:t>
            </w:r>
          </w:p>
          <w:p>
            <w:pPr>
              <w:spacing w:after="0" w:line="240"/>
            </w:pPr>
            <w:r>
              <w:rPr>
                <w:rFonts w:ascii="Courier New" w:cs="Courier New" w:eastAsia="Courier New" w:hAnsi="Courier New"/>
                <w:sz w:val="16"/>
                <w:szCs w:val="16"/>
              </w:rPr>
              <w:t xml:space="preserve">      "position": 1,</w:t>
            </w:r>
          </w:p>
          <w:p>
            <w:pPr>
              <w:spacing w:after="0" w:line="240"/>
            </w:pPr>
            <w:r>
              <w:rPr>
                <w:rFonts w:ascii="Courier New" w:cs="Courier New" w:eastAsia="Courier New" w:hAnsi="Courier New"/>
                <w:sz w:val="16"/>
                <w:szCs w:val="16"/>
              </w:rPr>
              <w:t xml:space="preserve">      "name": "Startseite",</w:t>
            </w:r>
          </w:p>
          <w:p>
            <w:pPr>
              <w:spacing w:after="0" w:line="240"/>
            </w:pPr>
            <w:r>
              <w:rPr>
                <w:rFonts w:ascii="Courier New" w:cs="Courier New" w:eastAsia="Courier New" w:hAnsi="Courier New"/>
                <w:sz w:val="16"/>
                <w:szCs w:val="16"/>
              </w:rPr>
              <w:t xml:space="preserve">      "item": "https://www.zofingen-treuhand.ch/"</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"@type": "ListItem",</w:t>
            </w:r>
          </w:p>
          <w:p>
            <w:pPr>
              <w:spacing w:after="0" w:line="240"/>
            </w:pPr>
            <w:r>
              <w:rPr>
                <w:rFonts w:ascii="Courier New" w:cs="Courier New" w:eastAsia="Courier New" w:hAnsi="Courier New"/>
                <w:sz w:val="16"/>
                <w:szCs w:val="16"/>
              </w:rPr>
              <w:t xml:space="preserve">      "position": 2,</w:t>
            </w:r>
          </w:p>
          <w:p>
            <w:pPr>
              <w:spacing w:after="0" w:line="240"/>
            </w:pPr>
            <w:r>
              <w:rPr>
                <w:rFonts w:ascii="Courier New" w:cs="Courier New" w:eastAsia="Courier New" w:hAnsi="Courier New"/>
                <w:sz w:val="16"/>
                <w:szCs w:val="16"/>
              </w:rPr>
              <w:t xml:space="preserve">      "name": "Fachartikel",</w:t>
            </w:r>
          </w:p>
          <w:p>
            <w:pPr>
              <w:spacing w:after="0" w:line="240"/>
            </w:pPr>
            <w:r>
              <w:rPr>
                <w:rFonts w:ascii="Courier New" w:cs="Courier New" w:eastAsia="Courier New" w:hAnsi="Courier New"/>
                <w:sz w:val="16"/>
                <w:szCs w:val="16"/>
              </w:rPr>
              <w:t xml:space="preserve">      "item": "https://www.zofingen-treuhand.ch/artikel"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"@type": "ListItem",</w:t>
            </w:r>
          </w:p>
          <w:p>
            <w:pPr>
              <w:spacing w:after="0" w:line="240"/>
            </w:pPr>
            <w:r>
              <w:rPr>
                <w:rFonts w:ascii="Courier New" w:cs="Courier New" w:eastAsia="Courier New" w:hAnsi="Courier New"/>
                <w:sz w:val="16"/>
                <w:szCs w:val="16"/>
              </w:rPr>
              <w:t xml:space="preserve">      "position": 3,</w:t>
            </w:r>
          </w:p>
          <w:p>
            <w:pPr>
              <w:spacing w:after="0" w:line="240"/>
            </w:pPr>
            <w:r>
              <w:rPr>
                <w:rFonts w:ascii="Courier New" w:cs="Courier New" w:eastAsia="Courier New" w:hAnsi="Courier New"/>
                <w:sz w:val="16"/>
                <w:szCs w:val="16"/>
              </w:rPr>
              <w:t xml:space="preserve">      "name": "Wohnrecht oder Nutzniessung bei der Übergabe der Liegenschaft an die Kinder",</w:t>
            </w:r>
          </w:p>
          <w:p>
            <w:pPr>
              <w:spacing w:after="0" w:line="240"/>
            </w:pPr>
            <w:r>
              <w:rPr>
                <w:rFonts w:ascii="Courier New" w:cs="Courier New" w:eastAsia="Courier New" w:hAnsi="Courier New"/>
                <w:sz w:val="16"/>
                <w:szCs w:val="16"/>
              </w:rPr>
              <w:t xml:space="preserve">      "item": "POST_URL"</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w:t>
            </w:r>
          </w:p>
        </w:tc>
      </w:tr>
    </w:tbl>
    <w:p>
      <w:pPr>
        <w:spacing w:after="80"/>
      </w:pPr>
    </w:p>
    <w:p>
      <w:pPr>
        <w:pStyle w:val="Heading2"/>
        <w:keepNext/>
        <w:spacing w:after="120" w:before="280"/>
      </w:pPr>
      <w:r>
        <w:rPr>
          <w:rFonts w:ascii="Arial" w:cs="Arial" w:eastAsia="Arial" w:hAnsi="Arial"/>
          <w:b/>
          <w:bCs/>
          <w:color w:val="1F3A5F"/>
          <w:sz w:val="26"/>
          <w:szCs w:val="26"/>
        </w:rPr>
        <w:t xml:space="preserve">3.9 Definition of done</w:t>
      </w:r>
    </w:p>
    <w:p>
      <w:pPr>
        <w:pStyle w:val="ListParagraph"/>
        <w:numPr>
          <w:ilvl w:val="0"/>
          <w:numId w:val="2"/>
        </w:numPr>
        <w:spacing w:after="80" w:line="276"/>
      </w:pPr>
      <w:r>
        <w:rPr>
          <w:rFonts w:ascii="Arial" w:cs="Arial" w:eastAsia="Arial" w:hAnsi="Arial"/>
          <w:sz w:val="20"/>
          <w:szCs w:val="20"/>
        </w:rPr>
        <w:t xml:space="preserve">The post returns 200 at its final address, without redirect, and the slug matches the expected slug.</w:t>
      </w:r>
    </w:p>
    <w:p>
      <w:pPr>
        <w:pStyle w:val="ListParagraph"/>
        <w:numPr>
          <w:ilvl w:val="0"/>
          <w:numId w:val="2"/>
        </w:numPr>
        <w:spacing w:after="80" w:line="276"/>
      </w:pPr>
      <w:r>
        <w:rPr>
          <w:rFonts w:ascii="Arial" w:cs="Arial" w:eastAsia="Arial" w:hAnsi="Arial"/>
          <w:sz w:val="20"/>
          <w:szCs w:val="20"/>
        </w:rPr>
        <w:t xml:space="preserve">Exactly one H1, the heading hierarchy matches 3.4, the text matches Chapter 2 character by character.</w:t>
      </w:r>
    </w:p>
    <w:p>
      <w:pPr>
        <w:pStyle w:val="ListParagraph"/>
        <w:numPr>
          <w:ilvl w:val="0"/>
          <w:numId w:val="2"/>
        </w:numPr>
        <w:spacing w:after="80" w:line="276"/>
      </w:pPr>
      <w:r>
        <w:rPr>
          <w:rFonts w:ascii="Arial" w:cs="Arial" w:eastAsia="Arial" w:hAnsi="Arial"/>
          <w:sz w:val="20"/>
          <w:szCs w:val="20"/>
        </w:rPr>
        <w:t xml:space="preserve">Title field and meta description match 3.3. Canonical is self-referencing and absolute.</w:t>
      </w:r>
    </w:p>
    <w:p>
      <w:pPr>
        <w:pStyle w:val="ListParagraph"/>
        <w:numPr>
          <w:ilvl w:val="0"/>
          <w:numId w:val="2"/>
        </w:numPr>
        <w:spacing w:after="80" w:line="276"/>
      </w:pPr>
      <w:r>
        <w:rPr>
          <w:rFonts w:ascii="Arial" w:cs="Arial" w:eastAsia="Arial" w:hAnsi="Arial"/>
          <w:sz w:val="20"/>
          <w:szCs w:val="20"/>
        </w:rPr>
        <w:t xml:space="preserve">View source shows one Article block (the new one) and one BreadcrumbList, no second Article, no FAQPage.</w:t>
      </w:r>
    </w:p>
    <w:p>
      <w:pPr>
        <w:pStyle w:val="ListParagraph"/>
        <w:numPr>
          <w:ilvl w:val="0"/>
          <w:numId w:val="2"/>
        </w:numPr>
        <w:spacing w:after="80" w:line="276"/>
      </w:pPr>
      <w:r>
        <w:rPr>
          <w:rFonts w:ascii="Arial" w:cs="Arial" w:eastAsia="Arial" w:hAnsi="Arial"/>
          <w:sz w:val="20"/>
          <w:szCs w:val="20"/>
        </w:rPr>
        <w:t xml:space="preserve">Rich Results Test shows no errors for the post address. Report warnings in the task.</w:t>
      </w:r>
    </w:p>
    <w:p>
      <w:pPr>
        <w:pStyle w:val="ListParagraph"/>
        <w:numPr>
          <w:ilvl w:val="0"/>
          <w:numId w:val="2"/>
        </w:numPr>
        <w:spacing w:after="80" w:line="276"/>
      </w:pPr>
      <w:r>
        <w:rPr>
          <w:rFonts w:ascii="Arial" w:cs="Arial" w:eastAsia="Arial" w:hAnsi="Arial"/>
          <w:sz w:val="20"/>
          <w:szCs w:val="20"/>
        </w:rPr>
        <w:t xml:space="preserve">The new address is in sitemap-posts.xml with a current lastmod and is not blocked by robots.txt.</w:t>
      </w:r>
    </w:p>
    <w:p>
      <w:pPr>
        <w:pStyle w:val="ListParagraph"/>
        <w:numPr>
          <w:ilvl w:val="0"/>
          <w:numId w:val="2"/>
        </w:numPr>
        <w:spacing w:after="80" w:line="276"/>
      </w:pPr>
      <w:r>
        <w:rPr>
          <w:rFonts w:ascii="Arial" w:cs="Arial" w:eastAsia="Arial" w:hAnsi="Arial"/>
          <w:sz w:val="20"/>
          <w:szCs w:val="20"/>
        </w:rPr>
        <w:t xml:space="preserve">The quote renders as a blockquote with the exact wording of Chapter 2. The section «Über den Autor» is present and links to /ueber-uns.</w:t>
      </w:r>
    </w:p>
    <w:p>
      <w:pPr>
        <w:pStyle w:val="ListParagraph"/>
        <w:numPr>
          <w:ilvl w:val="0"/>
          <w:numId w:val="2"/>
        </w:numPr>
        <w:spacing w:after="80" w:line="276"/>
      </w:pPr>
      <w:r>
        <w:rPr>
          <w:rFonts w:ascii="Arial" w:cs="Arial" w:eastAsia="Arial" w:hAnsi="Arial"/>
          <w:sz w:val="20"/>
          <w:szCs w:val="20"/>
        </w:rPr>
        <w:t xml:space="preserve">In the JSON-LD the author is a Person (Philippe Bally, jobTitle, url) and matches the visible author section.</w:t>
      </w:r>
    </w:p>
    <w:p>
      <w:pPr>
        <w:pStyle w:val="ListParagraph"/>
        <w:numPr>
          <w:ilvl w:val="0"/>
          <w:numId w:val="2"/>
        </w:numPr>
        <w:spacing w:after="80" w:line="276"/>
      </w:pPr>
      <w:r>
        <w:rPr>
          <w:rFonts w:ascii="Arial" w:cs="Arial" w:eastAsia="Arial" w:hAnsi="Arial"/>
          <w:sz w:val="20"/>
          <w:szCs w:val="20"/>
        </w:rPr>
        <w:t xml:space="preserve">Internal links in 3.5 render and return 200. The two inbound links are in place. The Grundstückgewinnsteuer correction is done only if approved.</w:t>
      </w:r>
    </w:p>
    <w:p>
      <w:pPr>
        <w:pStyle w:val="ListParagraph"/>
        <w:numPr>
          <w:ilvl w:val="0"/>
          <w:numId w:val="2"/>
        </w:numPr>
        <w:spacing w:after="80" w:line="276"/>
      </w:pPr>
      <w:r>
        <w:rPr>
          <w:rFonts w:ascii="Arial" w:cs="Arial" w:eastAsia="Arial" w:hAnsi="Arial"/>
          <w:sz w:val="20"/>
          <w:szCs w:val="20"/>
        </w:rPr>
        <w:t xml:space="preserve">External links in 3.6 open in a new tab.</w:t>
      </w:r>
    </w:p>
    <w:p>
      <w:pPr>
        <w:pStyle w:val="ListParagraph"/>
        <w:numPr>
          <w:ilvl w:val="0"/>
          <w:numId w:val="2"/>
        </w:numPr>
        <w:spacing w:after="80" w:line="276"/>
      </w:pPr>
      <w:r>
        <w:rPr>
          <w:rFonts w:ascii="Arial" w:cs="Arial" w:eastAsia="Arial" w:hAnsi="Arial"/>
          <w:sz w:val="20"/>
          <w:szCs w:val="20"/>
        </w:rPr>
        <w:t xml:space="preserve">In the Search Console (property https://www.zofingen-treuhand.ch/) inspect the new address and request indexing, only after curl shows 200 and no redirect.</w:t>
      </w:r>
    </w:p>
    <w:p>
      <w:pPr>
        <w:pStyle w:val="ListParagraph"/>
        <w:numPr>
          <w:ilvl w:val="0"/>
          <w:numId w:val="2"/>
        </w:numPr>
        <w:spacing w:after="80" w:line="276"/>
      </w:pPr>
      <w:r>
        <w:rPr>
          <w:rFonts w:ascii="Arial" w:cs="Arial" w:eastAsia="Arial" w:hAnsi="Arial"/>
          <w:sz w:val="20"/>
          <w:szCs w:val="20"/>
        </w:rPr>
        <w:t xml:space="preserve">Report the final address, the curl status and the Rich Results Test result to Silvia in the task. Do not mark the task as done before that.</w:t>
      </w:r>
    </w:p>
    <w:p>
      <w:pPr>
        <w:pStyle w:val="Heading2"/>
        <w:keepNext/>
        <w:spacing w:after="120" w:before="280"/>
      </w:pPr>
      <w:r>
        <w:rPr>
          <w:rFonts w:ascii="Arial" w:cs="Arial" w:eastAsia="Arial" w:hAnsi="Arial"/>
          <w:b/>
          <w:bCs/>
          <w:color w:val="1F3A5F"/>
          <w:sz w:val="26"/>
          <w:szCs w:val="26"/>
        </w:rPr>
        <w:t xml:space="preserve">3.10 Open questions</w:t>
      </w:r>
    </w:p>
    <w:p>
      <w:pPr>
        <w:pStyle w:val="ListParagraph"/>
        <w:numPr>
          <w:ilvl w:val="0"/>
          <w:numId w:val="2"/>
        </w:numPr>
        <w:spacing w:after="80" w:line="276"/>
      </w:pPr>
      <w:r>
        <w:rPr>
          <w:rFonts w:ascii="Arial" w:cs="Arial" w:eastAsia="Arial" w:hAnsi="Arial"/>
          <w:sz w:val="20"/>
          <w:szCs w:val="20"/>
        </w:rPr>
        <w:t xml:space="preserve">Can the platform output custom JSON-LD per post? If not, which fields can we edit?</w:t>
      </w:r>
    </w:p>
    <w:p>
      <w:pPr>
        <w:pStyle w:val="ListParagraph"/>
        <w:numPr>
          <w:ilvl w:val="0"/>
          <w:numId w:val="2"/>
        </w:numPr>
        <w:spacing w:after="80" w:line="276"/>
      </w:pPr>
      <w:r>
        <w:rPr>
          <w:rFonts w:ascii="Arial" w:cs="Arial" w:eastAsia="Arial" w:hAnsi="Arial"/>
          <w:sz w:val="20"/>
          <w:szCs w:val="20"/>
        </w:rPr>
        <w:t xml:space="preserve">Is the brand suffix in the title tag configurable?</w:t>
      </w:r>
    </w:p>
    <w:p>
      <w:pPr>
        <w:pStyle w:val="Heading2"/>
        <w:keepNext/>
        <w:spacing w:after="120" w:before="280"/>
      </w:pPr>
      <w:r>
        <w:rPr>
          <w:rFonts w:ascii="Arial" w:cs="Arial" w:eastAsia="Arial" w:hAnsi="Arial"/>
          <w:b/>
          <w:bCs/>
          <w:color w:val="1F3A5F"/>
          <w:sz w:val="26"/>
          <w:szCs w:val="26"/>
        </w:rPr>
        <w:t xml:space="preserve">3.11 Later, not part of this order</w:t>
      </w:r>
    </w:p>
    <w:p>
      <w:pPr>
        <w:pStyle w:val="ListParagraph"/>
        <w:numPr>
          <w:ilvl w:val="0"/>
          <w:numId w:val="2"/>
        </w:numPr>
        <w:spacing w:after="80" w:line="276"/>
      </w:pPr>
      <w:r>
        <w:rPr>
          <w:rFonts w:ascii="Arial" w:cs="Arial" w:eastAsia="Arial" w:hAnsi="Arial"/>
          <w:sz w:val="20"/>
          <w:szCs w:val="20"/>
        </w:rPr>
        <w:t xml:space="preserve">Fix the Article schema on all other posts (absolute logo address, full description) and add BreadcrumbList sitewide.</w:t>
      </w:r>
    </w:p>
    <w:p>
      <w:pPr>
        <w:pStyle w:val="ListParagraph"/>
        <w:numPr>
          <w:ilvl w:val="0"/>
          <w:numId w:val="2"/>
        </w:numPr>
        <w:spacing w:after="80" w:line="276"/>
      </w:pPr>
      <w:r>
        <w:rPr>
          <w:rFonts w:ascii="Arial" w:cs="Arial" w:eastAsia="Arial" w:hAnsi="Arial"/>
          <w:sz w:val="20"/>
          <w:szCs w:val="20"/>
        </w:rPr>
        <w:t xml:space="preserve">Shorten the title tag including the brand suffix to 60 characters or less sitewide.</w:t>
      </w:r>
    </w:p>
    <w:p>
      <w:pPr>
        <w:pStyle w:val="ListParagraph"/>
        <w:numPr>
          <w:ilvl w:val="0"/>
          <w:numId w:val="2"/>
        </w:numPr>
        <w:spacing w:after="80" w:line="276"/>
      </w:pPr>
      <w:r>
        <w:rPr>
          <w:rFonts w:ascii="Arial" w:cs="Arial" w:eastAsia="Arial" w:hAnsi="Arial"/>
          <w:sz w:val="20"/>
          <w:szCs w:val="20"/>
        </w:rPr>
        <w:t xml:space="preserve">Link the Grundstückgewinnsteuer calculator once it is live.</w:t>
      </w:r>
    </w:p>
    <w:p>
      <w:pPr>
        <w:pStyle w:val="Heading2"/>
        <w:keepNext/>
        <w:spacing w:after="120" w:before="280"/>
      </w:pPr>
      <w:r>
        <w:rPr>
          <w:rFonts w:ascii="Arial" w:cs="Arial" w:eastAsia="Arial" w:hAnsi="Arial"/>
          <w:b/>
          <w:bCs/>
          <w:color w:val="1F3A5F"/>
          <w:sz w:val="26"/>
          <w:szCs w:val="26"/>
        </w:rPr>
        <w:t xml:space="preserve">3.12 Teams message</w:t>
      </w:r>
    </w:p>
    <w:p>
      <w:pPr>
        <w:shd w:fill="F4F6F9" w:color="auto" w:val="clear"/>
        <w:spacing w:after="120" w:before="60" w:line="276"/>
      </w:pPr>
      <w:r>
        <w:rPr>
          <w:rFonts w:ascii="Arial" w:cs="Arial" w:eastAsia="Arial" w:hAnsi="Arial"/>
          <w:sz w:val="20"/>
          <w:szCs w:val="20"/>
        </w:rPr>
        <w:t xml:space="preserve">Hi Alberto, please see the attached document for the new Zofingen Treuhand article «Wohnrecht oder Nutzniessung». Chapter 3 has everything you need. Please start only after Silvia has confirmed the client approval. German text stays German. Please report the final address, the curl status and the Rich Results Test result in the task. Thanks!</w:t>
      </w:r>
    </w:p>
    <w:p>
      <w:pPr>
        <w:shd w:fill="F4F6F9" w:color="auto" w:val="clear"/>
        <w:spacing w:after="120" w:before="0" w:line="276"/>
      </w:pPr>
      <w:r>
        <w:rPr>
          <w:rFonts w:ascii="Arial" w:cs="Arial" w:eastAsia="Arial" w:hAnsi="Arial"/>
          <w:sz w:val="20"/>
          <w:szCs w:val="20"/>
        </w:rPr>
        <w:t xml:space="preserve">@Silvia Mondragon: please save the document in the client folder and create the task for Alberto.</w:t>
      </w:r>
    </w:p>
    <w:p>
      <w:pPr>
        <w:pStyle w:val="Heading1"/>
        <w:pageBreakBefore/>
        <w:spacing w:after="200" w:before="0"/>
      </w:pPr>
      <w:r>
        <w:rPr>
          <w:rFonts w:ascii="Arial" w:cs="Arial" w:eastAsia="Arial" w:hAnsi="Arial"/>
          <w:b/>
          <w:bCs/>
          <w:color w:val="1F3A5F"/>
          <w:sz w:val="32"/>
          <w:szCs w:val="32"/>
        </w:rPr>
        <w:t xml:space="preserve">4. LinkedIn-Beitrag mit erstem Kommentar (Deutsch, Entwurf)</w:t>
      </w:r>
    </w:p>
    <w:p>
      <w:pPr>
        <w:spacing w:after="120" w:before="0" w:line="276"/>
      </w:pPr>
      <w:r>
        <w:rPr>
          <w:rFonts w:ascii="Arial" w:cs="Arial" w:eastAsia="Arial" w:hAnsi="Arial"/>
          <w:sz w:val="20"/>
          <w:szCs w:val="20"/>
        </w:rPr>
        <w:t xml:space="preserve">Status: Entwurf, nicht im Mandat vereinbart. Veröffentlichung nur nach Entscheid von Balaram und Freigabe von Philippe Bally, und erst, wenn der Artikel live ist (curl 200). Länge 1055 von 1'500 Zeichen, kein Link im Beitrag. Das Voice Profile von Philippe Bally fehlt: Er soll den Text lesen und in seine Worte bringen.</w:t>
      </w:r>
    </w:p>
    <w:p>
      <w:pPr>
        <w:keepNext/>
        <w:spacing w:after="120" w:before="80" w:line="276"/>
      </w:pPr>
      <w:r>
        <w:rPr>
          <w:rFonts w:ascii="Arial" w:cs="Arial" w:eastAsia="Arial" w:hAnsi="Arial"/>
          <w:b/>
          <w:bCs/>
          <w:sz w:val="20"/>
          <w:szCs w:val="20"/>
        </w:rPr>
        <w:t xml:space="preserve">Beitrag</w:t>
      </w:r>
    </w:p>
    <w:p>
      <w:pPr>
        <w:shd w:fill="F4F6F9" w:color="auto" w:val="clear"/>
        <w:spacing w:after="60" w:before="0" w:line="276"/>
      </w:pPr>
      <w:r>
        <w:rPr>
          <w:rFonts w:ascii="Arial" w:cs="Arial" w:eastAsia="Arial" w:hAnsi="Arial"/>
          <w:sz w:val="20"/>
          <w:szCs w:val="20"/>
        </w:rPr>
        <w:t xml:space="preserve">Seit dem 1. Juli 2023 gewährt der Kanton Aargau beim Verkauf an die Kinder keinen Steueraufschub mehr.</w:t>
      </w:r>
    </w:p>
    <w:p>
      <w:pPr>
        <w:shd w:fill="F4F6F9" w:color="auto" w:val="clear"/>
        <w:spacing w:after="60" w:before="0" w:line="276"/>
      </w:pPr>
      <w:r>
        <w:rPr>
          <w:rFonts w:ascii="Arial" w:cs="Arial" w:eastAsia="Arial" w:hAnsi="Arial"/>
          <w:sz w:val="20"/>
          <w:szCs w:val="20"/>
        </w:rPr>
        <w:t xml:space="preserve">Wer sein Haus übergibt und selbst darin wohnen bleiben möchte, wählt zwischen Wohnrecht und Nutzniessung. Beim Wohnrecht tragen die Kinder die Hypothekarzinsen. Bei der Nutzniessung tragen die Eltern die Kosten und behalten die Mieteinnahmen.</w:t>
      </w:r>
    </w:p>
    <w:p>
      <w:pPr>
        <w:shd w:fill="F4F6F9" w:color="auto" w:val="clear"/>
        <w:spacing w:after="60" w:before="0" w:line="276"/>
      </w:pPr>
      <w:r>
        <w:rPr>
          <w:rFonts w:ascii="Arial" w:cs="Arial" w:eastAsia="Arial" w:hAnsi="Arial"/>
          <w:sz w:val="20"/>
          <w:szCs w:val="20"/>
        </w:rPr>
        <w:t xml:space="preserve">Eine gemischte Schenkung schiebt die Grundstückgewinnsteuer auf. In unserem Rechenbeispiel mit einem Haus im Wert von CHF 900'000 geht es um CHF 15'750 Steuern.</w:t>
      </w:r>
    </w:p>
    <w:p>
      <w:pPr>
        <w:shd w:fill="F4F6F9" w:color="auto" w:val="clear"/>
        <w:spacing w:after="60" w:before="0" w:line="276"/>
      </w:pPr>
      <w:r>
        <w:rPr>
          <w:rFonts w:ascii="Arial" w:cs="Arial" w:eastAsia="Arial" w:hAnsi="Arial"/>
          <w:sz w:val="20"/>
          <w:szCs w:val="20"/>
        </w:rPr>
        <w:t xml:space="preserve">Der Haken liegt bei den Ergänzungsleistungen. Wer einen Teil des Hauses verschenkt, verzichtet auf Vermögen. Ziehen die Eltern später ins Pflegeheim, rechnet die Behörde diesen Verzicht weiter an. Der angerechnete Betrag sinkt nur um CHF 10'000 pro Jahr.</w:t>
      </w:r>
    </w:p>
    <w:p>
      <w:pPr>
        <w:shd w:fill="F4F6F9" w:color="auto" w:val="clear"/>
        <w:spacing w:after="60" w:before="0" w:line="276"/>
      </w:pPr>
      <w:r>
        <w:rPr>
          <w:rFonts w:ascii="Arial" w:cs="Arial" w:eastAsia="Arial" w:hAnsi="Arial"/>
          <w:sz w:val="20"/>
          <w:szCs w:val="20"/>
        </w:rPr>
        <w:t xml:space="preserve">Wer Steuern spart, kann also später weniger Ergänzungsleistungen erhalten. Welche Variante passt, hängt von der Gesundheit und dem Vermögen der Eltern ab.</w:t>
      </w:r>
    </w:p>
    <w:p>
      <w:pPr>
        <w:shd w:fill="F4F6F9" w:color="auto" w:val="clear"/>
        <w:spacing w:after="60" w:before="0" w:line="276"/>
      </w:pPr>
      <w:r>
        <w:rPr>
          <w:rFonts w:ascii="Arial" w:cs="Arial" w:eastAsia="Arial" w:hAnsi="Arial"/>
          <w:sz w:val="20"/>
          <w:szCs w:val="20"/>
        </w:rPr>
        <w:t xml:space="preserve">Würden Sie CHF 15'750 Steuern sparen, wenn dafür später Ergänzungsleistungen gekürzt werden könnten?</w:t>
      </w:r>
    </w:p>
    <w:p>
      <w:pPr>
        <w:shd w:fill="F4F6F9" w:color="auto" w:val="clear"/>
        <w:spacing w:after="60" w:before="0" w:line="276"/>
      </w:pPr>
      <w:r>
        <w:rPr>
          <w:rFonts w:ascii="Arial" w:cs="Arial" w:eastAsia="Arial" w:hAnsi="Arial"/>
          <w:sz w:val="20"/>
          <w:szCs w:val="20"/>
        </w:rPr>
        <w:t xml:space="preserve">#Nachfolge #Steuern #Immobilien</w:t>
      </w:r>
    </w:p>
    <w:p>
      <w:pPr>
        <w:spacing w:after="80"/>
      </w:pPr>
    </w:p>
    <w:p>
      <w:pPr>
        <w:keepNext/>
        <w:spacing w:after="120" w:before="0" w:line="276"/>
      </w:pPr>
      <w:r>
        <w:rPr>
          <w:rFonts w:ascii="Arial" w:cs="Arial" w:eastAsia="Arial" w:hAnsi="Arial"/>
          <w:b/>
          <w:bCs/>
          <w:sz w:val="20"/>
          <w:szCs w:val="20"/>
        </w:rPr>
        <w:t xml:space="preserve">Erster Kommentar</w:t>
      </w:r>
    </w:p>
    <w:p>
      <w:pPr>
        <w:shd w:fill="F4F6F9" w:color="auto" w:val="clear"/>
        <w:spacing w:after="60" w:before="0" w:line="276"/>
      </w:pPr>
      <w:r>
        <w:rPr>
          <w:rFonts w:ascii="Arial" w:cs="Arial" w:eastAsia="Arial" w:hAnsi="Arial"/>
          <w:sz w:val="20"/>
          <w:szCs w:val="20"/>
        </w:rPr>
        <w:t xml:space="preserve">Der ganze Fachartikel mit der Tabelle zu Kosten und Steuern und dem Rechenbeispiel steht auf unserer Website.</w:t>
      </w:r>
    </w:p>
    <w:p>
      <w:pPr>
        <w:spacing w:after="120" w:before="0" w:line="276"/>
      </w:pPr>
      <w:r>
        <w:rPr>
          <w:rFonts w:ascii="Arial" w:cs="Arial" w:eastAsia="Arial" w:hAnsi="Arial"/>
          <w:color w:val="5B6573"/>
          <w:sz w:val="20"/>
          <w:szCs w:val="20"/>
        </w:rPr>
        <w:t xml:space="preserve">Darunter die Adresse des Artikels als Link, sobald die Plattform sie vergeben hat.</w:t>
      </w:r>
    </w:p>
    <w:p>
      <w:pPr>
        <w:pStyle w:val="Heading1"/>
        <w:pageBreakBefore/>
        <w:spacing w:after="200" w:before="0"/>
      </w:pPr>
      <w:r>
        <w:rPr>
          <w:rFonts w:ascii="Arial" w:cs="Arial" w:eastAsia="Arial" w:hAnsi="Arial"/>
          <w:b/>
          <w:bCs/>
          <w:color w:val="1F3A5F"/>
          <w:sz w:val="32"/>
          <w:szCs w:val="32"/>
        </w:rPr>
        <w:t xml:space="preserve">5. Google-Unternehmensprofil (Deutsch)</w:t>
      </w:r>
    </w:p>
    <w:p>
      <w:pPr>
        <w:spacing w:after="120" w:before="0" w:line="276"/>
      </w:pPr>
      <w:r>
        <w:rPr>
          <w:rFonts w:ascii="Arial" w:cs="Arial" w:eastAsia="Arial" w:hAnsi="Arial"/>
          <w:sz w:val="20"/>
          <w:szCs w:val="20"/>
        </w:rPr>
        <w:t xml:space="preserve">Beitragstyp: Neuigkeit. Button: «Mehr dazu», Ziel ist die Adresse des Artikels. Veröffentlichen, sobald der Artikel live ist (curl 200). Länge 707 von 1'500 Zeichen. Keine Telefonnummer im Text, kein Bild nötig.</w:t>
      </w:r>
    </w:p>
    <w:p>
      <w:pPr>
        <w:shd w:fill="F4F6F9" w:color="auto" w:val="clear"/>
        <w:spacing w:after="60" w:before="0" w:line="276"/>
      </w:pPr>
      <w:r>
        <w:rPr>
          <w:rFonts w:ascii="Arial" w:cs="Arial" w:eastAsia="Arial" w:hAnsi="Arial"/>
          <w:sz w:val="20"/>
          <w:szCs w:val="20"/>
        </w:rPr>
        <w:t xml:space="preserve">Haus an die Kinder übergeben und selbst wohnen bleiben. Wohnrecht oder Nutzniessung?</w:t>
      </w:r>
    </w:p>
    <w:p>
      <w:pPr>
        <w:shd w:fill="F4F6F9" w:color="auto" w:val="clear"/>
        <w:spacing w:after="60" w:before="0" w:line="276"/>
      </w:pPr>
      <w:r>
        <w:rPr>
          <w:rFonts w:ascii="Arial" w:cs="Arial" w:eastAsia="Arial" w:hAnsi="Arial"/>
          <w:sz w:val="20"/>
          <w:szCs w:val="20"/>
        </w:rPr>
        <w:t xml:space="preserve">Beim Wohnrecht tragen die Kinder die Hypothekarzinsen, und das Recht endet in der Regel mit dem dauernden Auszug der Eltern. Bei der Nutzniessung behalten die Eltern das volle Nutzungsrecht samt Mieteinnahmen, tragen dafür aber die Kosten.</w:t>
      </w:r>
    </w:p>
    <w:p>
      <w:pPr>
        <w:shd w:fill="F4F6F9" w:color="auto" w:val="clear"/>
        <w:spacing w:after="60" w:before="0" w:line="276"/>
      </w:pPr>
      <w:r>
        <w:rPr>
          <w:rFonts w:ascii="Arial" w:cs="Arial" w:eastAsia="Arial" w:hAnsi="Arial"/>
          <w:sz w:val="20"/>
          <w:szCs w:val="20"/>
        </w:rPr>
        <w:t xml:space="preserve">Im Kanton Aargau kommt die Grundstückgewinnsteuer dazu. Seit dem 1. Juli 2023 gibt es beim Verkauf an die Kinder keinen Steueraufschub mehr. Eine gemischte Schenkung schiebt die Steuer auf, kann aber spätere Ergänzungsleistungen mindern.</w:t>
      </w:r>
    </w:p>
    <w:p>
      <w:pPr>
        <w:shd w:fill="F4F6F9" w:color="auto" w:val="clear"/>
        <w:spacing w:after="60" w:before="0" w:line="276"/>
      </w:pPr>
      <w:r>
        <w:rPr>
          <w:rFonts w:ascii="Arial" w:cs="Arial" w:eastAsia="Arial" w:hAnsi="Arial"/>
          <w:sz w:val="20"/>
          <w:szCs w:val="20"/>
        </w:rPr>
        <w:t xml:space="preserve">Im Beitrag erklären wir den Unterschied und rechnen ein Beispiel durch. Für Ihre Situation berechnen wir die Varianten gern mit Ihren Zahlen.</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3"/>
        <w:sz w:val="16"/>
        <w:szCs w:val="16"/>
      </w:rPr>
      <w:t xml:space="preserve">Bexolutions Marketing und Vertrieb AG | Stand 29. Oktober 2026 | Seite </w:t>
    </w:r>
    <w:r>
      <w:rPr>
        <w:rFonts w:ascii="Arial" w:cs="Arial" w:eastAsia="Arial" w:hAnsi="Arial"/>
        <w:color w:val="5B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573"/>
        <w:sz w:val="16"/>
        <w:szCs w:val="16"/>
      </w:rPr>
      <w:t xml:space="preserve">Zofingen Treuhand AG | Fachartikel Wohnrecht oder Nutzniessung | Entwurf 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0y21fzc7sjcgu41cpjv5g" Type="http://schemas.openxmlformats.org/officeDocument/2006/relationships/hyperlink" Target="https://www.zofingen-treuhand.ch/posts/rjzqhh/grundstuckgewinnsteuer-aargau-schweiz-berechnen-einfach-erklart" TargetMode="External"/><Relationship Id="rId3" Type="http://schemas.openxmlformats.org/officeDocument/2006/relationships/footnotes" Target="footnotes.xml"/><Relationship Id="rIdbdzev6-8bjiosah_k-ntc" Type="http://schemas.openxmlformats.org/officeDocument/2006/relationships/hyperlink" Target="https://www.fedlex.admin.ch/eli/cc/24/233_245_233/de" TargetMode="External"/><Relationship Id="rId21" Type="http://schemas.openxmlformats.org/officeDocument/2006/relationships/fontTable" Target="fontTable.xml"/><Relationship Id="rId7" Type="http://schemas.openxmlformats.org/officeDocument/2006/relationships/header" Target="header1.xml"/><Relationship Id="rIdzxytjcfkbwkkvhwdfh_33" Type="http://schemas.openxmlformats.org/officeDocument/2006/relationships/hyperlink" Target="https://www.zofingen-treuhand.ch/grundstueckgewinnsteuern" TargetMode="External"/><Relationship Id="rIduacldwefhnpipfobjwyhc" Type="http://schemas.openxmlformats.org/officeDocument/2006/relationships/hyperlink" Target="https://servat.unibe.ch/dfr/bger/2018/180523_9C_31-2018.html" TargetMode="External"/><Relationship Id="rId2" Type="http://schemas.openxmlformats.org/officeDocument/2006/relationships/numbering" Target="numbering.xml"/><Relationship Id="rIdyp9lblmzvsvcrec3y-e8o" Type="http://schemas.openxmlformats.org/officeDocument/2006/relationships/hyperlink" Target="https://www.zofingen-treuhand.ch/steuern-fuer-privatpersonen" TargetMode="External"/><Relationship Id="rId1" Type="http://schemas.openxmlformats.org/officeDocument/2006/relationships/styles" Target="styles.xml"/><Relationship Id="rId6" Type="http://schemas.openxmlformats.org/officeDocument/2006/relationships/comments" Target="comments.xml"/><Relationship Id="rId6xl-u5k-ddnra7ncdooq8" Type="http://schemas.openxmlformats.org/officeDocument/2006/relationships/hyperlink" Target="https://www.ag.ch/media/kanton-aargau/dfr/dokumente/steuern/natuerliche-personen/merkblaetter-zu-steuern-natuerliche-personen/grundst-ckgewinnsteuer2023-neu.pdf" TargetMode="External"/><Relationship Id="rId8aviinc0bhwlry8c-e2we" Type="http://schemas.openxmlformats.org/officeDocument/2006/relationships/hyperlink" Target="https://www.fedlex.admin.ch/eli/cc/2007/804/de" TargetMode="External"/><Relationship Id="rId24" Type="http://schemas.openxmlformats.org/officeDocument/2006/relationships/customXml" Target="../customXml/item3.xml"/><Relationship Id="rId5" Type="http://schemas.openxmlformats.org/officeDocument/2006/relationships/settings" Target="settings.xml"/><Relationship Id="rId1dx1vbhyj02d8shwayu6d" Type="http://schemas.openxmlformats.org/officeDocument/2006/relationships/hyperlink" Target="https://www.admin.ch/de/newnsb/yGTqBPowRqyVh0zPokW-q" TargetMode="External"/><Relationship Id="rIdczp_rz0icbfus2ci51drw" Type="http://schemas.openxmlformats.org/officeDocument/2006/relationships/hyperlink" Target="address of the new post" TargetMode="External"/><Relationship Id="rId23" Type="http://schemas.openxmlformats.org/officeDocument/2006/relationships/customXml" Target="../customXml/item2.xml"/><Relationship Id="rIduzcpqy0iqxof_vbmbbbpm" Type="http://schemas.openxmlformats.org/officeDocument/2006/relationships/hyperlink" Target="https://www.zofingen-treuhand.ch/kontakt" TargetMode="External"/><Relationship Id="rId5szuwdwv5cxglstqr7uhp" Type="http://schemas.openxmlformats.org/officeDocument/2006/relationships/hyperlink" Target="tel:+41627457030" TargetMode="External"/><Relationship Id="rIdxxj2pqxbg65tadvfiqzww" Type="http://schemas.openxmlformats.org/officeDocument/2006/relationships/hyperlink" Target="https://www.zofingen-treuhand.ch/ueber-uns" TargetMode="External"/><Relationship Id="rId4" Type="http://schemas.openxmlformats.org/officeDocument/2006/relationships/endnotes" Target="endnotes.xml"/><Relationship Id="rId22"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5B2D8E15990EC4BA30380C034455D26" ma:contentTypeVersion="12" ma:contentTypeDescription="Ein neues Dokument erstellen." ma:contentTypeScope="" ma:versionID="1319af122e8108c0782146c9464aabde">
  <xsd:schema xmlns:xsd="http://www.w3.org/2001/XMLSchema" xmlns:xs="http://www.w3.org/2001/XMLSchema" xmlns:p="http://schemas.microsoft.com/office/2006/metadata/properties" xmlns:ns2="4f2b173b-b1fc-47ae-814b-b677f5132026" xmlns:ns3="89259a79-bc36-476e-97ca-722f3ed24bb0" targetNamespace="http://schemas.microsoft.com/office/2006/metadata/properties" ma:root="true" ma:fieldsID="f03a4a0673f8b9924ff40f5cfafd837a" ns2:_="" ns3:_="">
    <xsd:import namespace="4f2b173b-b1fc-47ae-814b-b677f5132026"/>
    <xsd:import namespace="89259a79-bc36-476e-97ca-722f3ed24b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2b173b-b1fc-47ae-814b-b677f51320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abdb1dbf-f8cf-47cc-9d34-c2a4dcede88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259a79-bc36-476e-97ca-722f3ed24bb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cb4db3c-0214-4dfc-baf8-11103822dca2}" ma:internalName="TaxCatchAll" ma:showField="CatchAllData" ma:web="89259a79-bc36-476e-97ca-722f3ed24b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f2b173b-b1fc-47ae-814b-b677f5132026">
      <Terms xmlns="http://schemas.microsoft.com/office/infopath/2007/PartnerControls"/>
    </lcf76f155ced4ddcb4097134ff3c332f>
    <TaxCatchAll xmlns="89259a79-bc36-476e-97ca-722f3ed24bb0" xsi:nil="true"/>
  </documentManagement>
</p:properties>
</file>

<file path=customXml/itemProps1.xml><?xml version="1.0" encoding="utf-8"?>
<ds:datastoreItem xmlns:ds="http://schemas.openxmlformats.org/officeDocument/2006/customXml" ds:itemID="{6F911738-48BF-44E4-A1B5-4687D3E606C6}"/>
</file>

<file path=customXml/itemProps2.xml><?xml version="1.0" encoding="utf-8"?>
<ds:datastoreItem xmlns:ds="http://schemas.openxmlformats.org/officeDocument/2006/customXml" ds:itemID="{5FD19F84-074C-408F-B2E7-10DECD12F806}"/>
</file>

<file path=customXml/itemProps3.xml><?xml version="1.0" encoding="utf-8"?>
<ds:datastoreItem xmlns:ds="http://schemas.openxmlformats.org/officeDocument/2006/customXml" ds:itemID="{31E17F89-C495-48B0-A311-A46C9AF331D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Zofingen-Treuhand_Fachartikel_Wohnrecht-oder-Nutzniessung_Entwurf-0.3</dc:title>
  <dc:creator>Bexolutions</dc:creator>
  <cp:lastModifiedBy>Un-named</cp:lastModifiedBy>
  <cp:revision>1</cp:revision>
  <dcterms:created xsi:type="dcterms:W3CDTF">2026-10-29T16:25:20Z</dcterms:created>
  <dcterms:modified xsi:type="dcterms:W3CDTF">2026-10-29T16:25:20Z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0x01010015B2D8E15990EC4BA30380C034455D26</vt:lpwstr>
  </property>
</Properties>
</file>