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438DA" w:rsidRDefault="00000000">
      <w:r>
        <w:rPr>
          <w:noProof/>
        </w:rPr>
        <w:drawing>
          <wp:anchor distT="114300" distB="114300" distL="114300" distR="114300" simplePos="0" relativeHeight="251658240" behindDoc="0" locked="0" layoutInCell="1" hidden="0" allowOverlap="1">
            <wp:simplePos x="0" y="0"/>
            <wp:positionH relativeFrom="page">
              <wp:posOffset>2381250</wp:posOffset>
            </wp:positionH>
            <wp:positionV relativeFrom="page">
              <wp:posOffset>401812</wp:posOffset>
            </wp:positionV>
            <wp:extent cx="3009900" cy="2409825"/>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009900" cy="2409825"/>
                    </a:xfrm>
                    <a:prstGeom prst="rect">
                      <a:avLst/>
                    </a:prstGeom>
                    <a:ln/>
                  </pic:spPr>
                </pic:pic>
              </a:graphicData>
            </a:graphic>
          </wp:anchor>
        </w:drawing>
      </w:r>
      <w:r>
        <w:t xml:space="preserve">       </w:t>
      </w:r>
    </w:p>
    <w:p w:rsidR="00E438DA" w:rsidRDefault="00E438DA"/>
    <w:p w:rsidR="00E438DA" w:rsidRDefault="00E438DA"/>
    <w:p w:rsidR="00E438DA" w:rsidRDefault="00E438DA"/>
    <w:p w:rsidR="00E438DA" w:rsidRDefault="00000000">
      <w:r>
        <w:t xml:space="preserve">                                           </w:t>
      </w:r>
    </w:p>
    <w:p w:rsidR="00E438DA" w:rsidRDefault="00E438DA"/>
    <w:p w:rsidR="00E438DA" w:rsidRDefault="00E438DA"/>
    <w:p w:rsidR="00E438DA" w:rsidRDefault="00E438DA"/>
    <w:p w:rsidR="00E438DA" w:rsidRDefault="00E438DA"/>
    <w:p w:rsidR="00E438DA" w:rsidRDefault="00E438DA"/>
    <w:p w:rsidR="00E438DA" w:rsidRDefault="00E438DA"/>
    <w:p w:rsidR="00E438DA" w:rsidRDefault="00E438DA"/>
    <w:p w:rsidR="00E438DA" w:rsidRDefault="00000000">
      <w:pPr>
        <w:pStyle w:val="Title"/>
        <w:jc w:val="center"/>
        <w:rPr>
          <w:rFonts w:ascii="Georgia" w:eastAsia="Georgia" w:hAnsi="Georgia" w:cs="Georgia"/>
          <w:sz w:val="40"/>
          <w:szCs w:val="40"/>
        </w:rPr>
      </w:pPr>
      <w:bookmarkStart w:id="0" w:name="_heading=h.gjdgxs" w:colFirst="0" w:colLast="0"/>
      <w:bookmarkEnd w:id="0"/>
      <w:r>
        <w:rPr>
          <w:rFonts w:ascii="Georgia" w:eastAsia="Georgia" w:hAnsi="Georgia" w:cs="Georgia"/>
          <w:sz w:val="40"/>
          <w:szCs w:val="40"/>
        </w:rPr>
        <w:t xml:space="preserve">Do institutional quality and its threshold matter in the sensitivity of the renewable energy transition to financial development? </w:t>
      </w:r>
    </w:p>
    <w:p w:rsidR="00E438DA" w:rsidRDefault="00000000">
      <w:pPr>
        <w:pStyle w:val="Title"/>
        <w:spacing w:line="360" w:lineRule="auto"/>
        <w:jc w:val="center"/>
        <w:rPr>
          <w:rFonts w:ascii="Georgia" w:eastAsia="Georgia" w:hAnsi="Georgia" w:cs="Georgia"/>
          <w:sz w:val="40"/>
          <w:szCs w:val="40"/>
        </w:rPr>
      </w:pPr>
      <w:bookmarkStart w:id="1" w:name="_heading=h.30j0zll" w:colFirst="0" w:colLast="0"/>
      <w:bookmarkEnd w:id="1"/>
      <w:r>
        <w:rPr>
          <w:rFonts w:ascii="Georgia" w:eastAsia="Georgia" w:hAnsi="Georgia" w:cs="Georgia"/>
          <w:sz w:val="40"/>
          <w:szCs w:val="40"/>
        </w:rPr>
        <w:t>An Analysis of Lower Middle-income economies</w:t>
      </w:r>
    </w:p>
    <w:p w:rsidR="00E438DA" w:rsidRDefault="00E438DA"/>
    <w:p w:rsidR="00E438DA" w:rsidRDefault="00E438DA"/>
    <w:p w:rsidR="00E438DA" w:rsidRDefault="00E438DA"/>
    <w:p w:rsidR="00E438DA" w:rsidRDefault="00E438DA"/>
    <w:p w:rsidR="00E438DA" w:rsidRDefault="00000000">
      <w:pPr>
        <w:spacing w:line="360" w:lineRule="auto"/>
        <w:ind w:left="3600"/>
        <w:jc w:val="both"/>
        <w:rPr>
          <w:sz w:val="34"/>
          <w:szCs w:val="34"/>
        </w:rPr>
      </w:pPr>
      <w:r>
        <w:rPr>
          <w:sz w:val="34"/>
          <w:szCs w:val="34"/>
        </w:rPr>
        <w:t xml:space="preserve">  Submitted to</w:t>
      </w:r>
    </w:p>
    <w:p w:rsidR="00E438DA" w:rsidRDefault="00000000">
      <w:pPr>
        <w:ind w:left="2160" w:firstLine="720"/>
        <w:jc w:val="both"/>
        <w:rPr>
          <w:b/>
          <w:sz w:val="34"/>
          <w:szCs w:val="34"/>
        </w:rPr>
      </w:pPr>
      <w:r>
        <w:rPr>
          <w:b/>
          <w:sz w:val="34"/>
          <w:szCs w:val="34"/>
        </w:rPr>
        <w:t>Dr. Aswini Kumar Mishra</w:t>
      </w:r>
    </w:p>
    <w:p w:rsidR="00E438DA" w:rsidRDefault="00E438DA">
      <w:pPr>
        <w:ind w:left="2160" w:firstLine="720"/>
        <w:jc w:val="both"/>
        <w:rPr>
          <w:b/>
          <w:sz w:val="34"/>
          <w:szCs w:val="34"/>
        </w:rPr>
      </w:pPr>
    </w:p>
    <w:p w:rsidR="00E438DA" w:rsidRDefault="00000000">
      <w:pPr>
        <w:spacing w:line="360" w:lineRule="auto"/>
        <w:ind w:left="1440"/>
        <w:jc w:val="both"/>
        <w:rPr>
          <w:sz w:val="34"/>
          <w:szCs w:val="34"/>
        </w:rPr>
      </w:pPr>
      <w:r>
        <w:rPr>
          <w:sz w:val="34"/>
          <w:szCs w:val="34"/>
        </w:rPr>
        <w:t>Course:</w:t>
      </w:r>
      <w:r>
        <w:rPr>
          <w:i/>
          <w:sz w:val="34"/>
          <w:szCs w:val="34"/>
        </w:rPr>
        <w:t xml:space="preserve"> Applied Econometrics</w:t>
      </w:r>
      <w:r>
        <w:rPr>
          <w:sz w:val="34"/>
          <w:szCs w:val="34"/>
        </w:rPr>
        <w:t xml:space="preserve"> (ECON F342)</w:t>
      </w:r>
    </w:p>
    <w:tbl>
      <w:tblPr>
        <w:tblStyle w:val="a0"/>
        <w:tblW w:w="8640" w:type="dxa"/>
        <w:tblInd w:w="6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4320"/>
      </w:tblGrid>
      <w:tr w:rsidR="00E438DA">
        <w:trPr>
          <w:trHeight w:val="350"/>
        </w:trPr>
        <w:tc>
          <w:tcPr>
            <w:tcW w:w="432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E438DA" w:rsidRDefault="00000000">
            <w:pPr>
              <w:widowControl w:val="0"/>
              <w:rPr>
                <w:sz w:val="20"/>
                <w:szCs w:val="20"/>
              </w:rPr>
            </w:pPr>
            <w:r>
              <w:t xml:space="preserve">SIDHANT </w:t>
            </w:r>
            <w:proofErr w:type="gramStart"/>
            <w:r>
              <w:t>PATNAIK .</w:t>
            </w:r>
            <w:proofErr w:type="gramEnd"/>
          </w:p>
        </w:tc>
        <w:tc>
          <w:tcPr>
            <w:tcW w:w="432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E438DA" w:rsidRDefault="00000000">
            <w:pPr>
              <w:widowControl w:val="0"/>
              <w:rPr>
                <w:sz w:val="20"/>
                <w:szCs w:val="20"/>
              </w:rPr>
            </w:pPr>
            <w:r>
              <w:t>2022B3A10297G</w:t>
            </w:r>
          </w:p>
        </w:tc>
      </w:tr>
      <w:tr w:rsidR="00E438DA">
        <w:tc>
          <w:tcPr>
            <w:tcW w:w="43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E438DA" w:rsidRDefault="00000000">
            <w:pPr>
              <w:widowControl w:val="0"/>
              <w:rPr>
                <w:sz w:val="20"/>
                <w:szCs w:val="20"/>
              </w:rPr>
            </w:pPr>
            <w:r>
              <w:t xml:space="preserve">ROHAN </w:t>
            </w:r>
            <w:proofErr w:type="gramStart"/>
            <w:r>
              <w:t>PRIYADARSHI .</w:t>
            </w:r>
            <w:proofErr w:type="gramEnd"/>
          </w:p>
        </w:tc>
        <w:tc>
          <w:tcPr>
            <w:tcW w:w="43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E438DA" w:rsidRDefault="00000000">
            <w:pPr>
              <w:widowControl w:val="0"/>
              <w:rPr>
                <w:sz w:val="20"/>
                <w:szCs w:val="20"/>
              </w:rPr>
            </w:pPr>
            <w:r>
              <w:t>2022B3A40555G</w:t>
            </w:r>
          </w:p>
        </w:tc>
      </w:tr>
      <w:tr w:rsidR="00E438DA">
        <w:tc>
          <w:tcPr>
            <w:tcW w:w="43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E438DA" w:rsidRDefault="00000000">
            <w:pPr>
              <w:widowControl w:val="0"/>
              <w:rPr>
                <w:sz w:val="20"/>
                <w:szCs w:val="20"/>
              </w:rPr>
            </w:pPr>
            <w:r>
              <w:t xml:space="preserve">ARYAN </w:t>
            </w:r>
            <w:proofErr w:type="gramStart"/>
            <w:r>
              <w:t>SINGHAL .</w:t>
            </w:r>
            <w:proofErr w:type="gramEnd"/>
          </w:p>
        </w:tc>
        <w:tc>
          <w:tcPr>
            <w:tcW w:w="43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E438DA" w:rsidRDefault="00000000">
            <w:pPr>
              <w:widowControl w:val="0"/>
              <w:rPr>
                <w:sz w:val="20"/>
                <w:szCs w:val="20"/>
              </w:rPr>
            </w:pPr>
            <w:r>
              <w:t>2022B3A70204G</w:t>
            </w:r>
          </w:p>
        </w:tc>
      </w:tr>
      <w:tr w:rsidR="00E438DA">
        <w:tc>
          <w:tcPr>
            <w:tcW w:w="43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E438DA" w:rsidRDefault="00000000">
            <w:pPr>
              <w:widowControl w:val="0"/>
              <w:rPr>
                <w:sz w:val="20"/>
                <w:szCs w:val="20"/>
              </w:rPr>
            </w:pPr>
            <w:r>
              <w:t xml:space="preserve">AYUSH SUBHASH </w:t>
            </w:r>
            <w:proofErr w:type="gramStart"/>
            <w:r>
              <w:t>JOSHI .</w:t>
            </w:r>
            <w:proofErr w:type="gramEnd"/>
          </w:p>
        </w:tc>
        <w:tc>
          <w:tcPr>
            <w:tcW w:w="43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E438DA" w:rsidRDefault="00000000">
            <w:pPr>
              <w:widowControl w:val="0"/>
              <w:rPr>
                <w:sz w:val="20"/>
                <w:szCs w:val="20"/>
              </w:rPr>
            </w:pPr>
            <w:r>
              <w:t>2022B3A70313G</w:t>
            </w:r>
          </w:p>
        </w:tc>
      </w:tr>
      <w:tr w:rsidR="00E438DA">
        <w:tc>
          <w:tcPr>
            <w:tcW w:w="43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E438DA" w:rsidRDefault="00000000">
            <w:pPr>
              <w:widowControl w:val="0"/>
              <w:rPr>
                <w:sz w:val="20"/>
                <w:szCs w:val="20"/>
              </w:rPr>
            </w:pPr>
            <w:r>
              <w:t xml:space="preserve">SHAAN </w:t>
            </w:r>
            <w:proofErr w:type="gramStart"/>
            <w:r>
              <w:t>HASAN .</w:t>
            </w:r>
            <w:proofErr w:type="gramEnd"/>
          </w:p>
        </w:tc>
        <w:tc>
          <w:tcPr>
            <w:tcW w:w="43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E438DA" w:rsidRDefault="00000000">
            <w:pPr>
              <w:widowControl w:val="0"/>
              <w:rPr>
                <w:sz w:val="20"/>
                <w:szCs w:val="20"/>
              </w:rPr>
            </w:pPr>
            <w:r>
              <w:t>2022B3A70328G</w:t>
            </w:r>
          </w:p>
        </w:tc>
      </w:tr>
      <w:tr w:rsidR="00E438DA">
        <w:tc>
          <w:tcPr>
            <w:tcW w:w="43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E438DA" w:rsidRDefault="00000000">
            <w:pPr>
              <w:widowControl w:val="0"/>
              <w:rPr>
                <w:sz w:val="20"/>
                <w:szCs w:val="20"/>
              </w:rPr>
            </w:pPr>
            <w:r>
              <w:t xml:space="preserve">SHUBHAM </w:t>
            </w:r>
            <w:proofErr w:type="gramStart"/>
            <w:r>
              <w:t>SAHOO .</w:t>
            </w:r>
            <w:proofErr w:type="gramEnd"/>
          </w:p>
        </w:tc>
        <w:tc>
          <w:tcPr>
            <w:tcW w:w="43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E438DA" w:rsidRDefault="00000000">
            <w:pPr>
              <w:widowControl w:val="0"/>
              <w:rPr>
                <w:sz w:val="20"/>
                <w:szCs w:val="20"/>
              </w:rPr>
            </w:pPr>
            <w:r>
              <w:t>2022B3A70628G</w:t>
            </w:r>
          </w:p>
        </w:tc>
      </w:tr>
      <w:tr w:rsidR="00E438DA">
        <w:tc>
          <w:tcPr>
            <w:tcW w:w="43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E438DA" w:rsidRDefault="00000000">
            <w:pPr>
              <w:widowControl w:val="0"/>
              <w:rPr>
                <w:sz w:val="20"/>
                <w:szCs w:val="20"/>
              </w:rPr>
            </w:pPr>
            <w:r>
              <w:t xml:space="preserve">HARSH </w:t>
            </w:r>
            <w:proofErr w:type="gramStart"/>
            <w:r>
              <w:t>DESHWAL .</w:t>
            </w:r>
            <w:proofErr w:type="gramEnd"/>
          </w:p>
        </w:tc>
        <w:tc>
          <w:tcPr>
            <w:tcW w:w="43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E438DA" w:rsidRDefault="00000000">
            <w:pPr>
              <w:widowControl w:val="0"/>
              <w:rPr>
                <w:sz w:val="20"/>
                <w:szCs w:val="20"/>
              </w:rPr>
            </w:pPr>
            <w:r>
              <w:t>2022B3A70920G</w:t>
            </w:r>
          </w:p>
        </w:tc>
      </w:tr>
      <w:tr w:rsidR="00E438DA">
        <w:trPr>
          <w:trHeight w:val="435"/>
        </w:trPr>
        <w:tc>
          <w:tcPr>
            <w:tcW w:w="43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E438DA" w:rsidRDefault="00000000">
            <w:pPr>
              <w:widowControl w:val="0"/>
              <w:rPr>
                <w:sz w:val="20"/>
                <w:szCs w:val="20"/>
              </w:rPr>
            </w:pPr>
            <w:r>
              <w:t xml:space="preserve">ARRUSH TEKKUMPURATH </w:t>
            </w:r>
            <w:proofErr w:type="gramStart"/>
            <w:r>
              <w:t>NAIR .</w:t>
            </w:r>
            <w:proofErr w:type="gramEnd"/>
          </w:p>
        </w:tc>
        <w:tc>
          <w:tcPr>
            <w:tcW w:w="43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E438DA" w:rsidRDefault="00000000">
            <w:pPr>
              <w:widowControl w:val="0"/>
              <w:rPr>
                <w:sz w:val="20"/>
                <w:szCs w:val="20"/>
              </w:rPr>
            </w:pPr>
            <w:r>
              <w:t>2022B3AA0468G</w:t>
            </w:r>
          </w:p>
        </w:tc>
      </w:tr>
      <w:tr w:rsidR="00E438DA">
        <w:tc>
          <w:tcPr>
            <w:tcW w:w="43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E438DA" w:rsidRDefault="00000000">
            <w:pPr>
              <w:widowControl w:val="0"/>
              <w:rPr>
                <w:sz w:val="20"/>
                <w:szCs w:val="20"/>
              </w:rPr>
            </w:pPr>
            <w:r>
              <w:t xml:space="preserve">SWASTIK </w:t>
            </w:r>
            <w:proofErr w:type="gramStart"/>
            <w:r>
              <w:t>SHARMA .</w:t>
            </w:r>
            <w:proofErr w:type="gramEnd"/>
          </w:p>
        </w:tc>
        <w:tc>
          <w:tcPr>
            <w:tcW w:w="43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E438DA" w:rsidRDefault="00000000">
            <w:pPr>
              <w:widowControl w:val="0"/>
              <w:rPr>
                <w:sz w:val="20"/>
                <w:szCs w:val="20"/>
              </w:rPr>
            </w:pPr>
            <w:r>
              <w:t>2022B3AA0802G</w:t>
            </w:r>
          </w:p>
        </w:tc>
      </w:tr>
    </w:tbl>
    <w:p w:rsidR="00E438DA" w:rsidRDefault="00000000">
      <w:pPr>
        <w:pStyle w:val="Heading1"/>
        <w:jc w:val="both"/>
        <w:rPr>
          <w:rFonts w:ascii="Georgia" w:eastAsia="Georgia" w:hAnsi="Georgia" w:cs="Georgia"/>
        </w:rPr>
      </w:pPr>
      <w:bookmarkStart w:id="2" w:name="_heading=h.ahmydkejjek6" w:colFirst="0" w:colLast="0"/>
      <w:bookmarkEnd w:id="2"/>
      <w:r>
        <w:rPr>
          <w:rFonts w:ascii="Georgia" w:eastAsia="Georgia" w:hAnsi="Georgia" w:cs="Georgia"/>
        </w:rPr>
        <w:lastRenderedPageBreak/>
        <w:t>I | Highlights</w:t>
      </w:r>
    </w:p>
    <w:p w:rsidR="00E438DA" w:rsidRDefault="00000000">
      <w:pPr>
        <w:jc w:val="both"/>
        <w:rPr>
          <w:rFonts w:ascii="Georgia" w:eastAsia="Georgia" w:hAnsi="Georgia" w:cs="Georgia"/>
        </w:rPr>
      </w:pPr>
      <w:r>
        <w:rPr>
          <w:rFonts w:ascii="Georgia" w:eastAsia="Georgia" w:hAnsi="Georgia" w:cs="Georgia"/>
        </w:rPr>
        <w:t xml:space="preserve">This research explores the intricate nexus of the financial sector's sophistication and institutional governance relating to the adoption of renewable energy technologies in lower middle-income </w:t>
      </w:r>
      <w:proofErr w:type="spellStart"/>
      <w:proofErr w:type="gramStart"/>
      <w:r>
        <w:rPr>
          <w:rFonts w:ascii="Georgia" w:eastAsia="Georgia" w:hAnsi="Georgia" w:cs="Georgia"/>
        </w:rPr>
        <w:t>economies.The</w:t>
      </w:r>
      <w:proofErr w:type="spellEnd"/>
      <w:proofErr w:type="gramEnd"/>
      <w:r>
        <w:rPr>
          <w:rFonts w:ascii="Georgia" w:eastAsia="Georgia" w:hAnsi="Georgia" w:cs="Georgia"/>
        </w:rPr>
        <w:t xml:space="preserve"> positive impact of financial development on the adoption of renewable energy technologies is moderated by the quality of institutions. In other words, everything else remaining the same, the effect of financial development is institutionally </w:t>
      </w:r>
      <w:proofErr w:type="spellStart"/>
      <w:proofErr w:type="gramStart"/>
      <w:r>
        <w:rPr>
          <w:rFonts w:ascii="Georgia" w:eastAsia="Georgia" w:hAnsi="Georgia" w:cs="Georgia"/>
        </w:rPr>
        <w:t>conditioned.Renewable</w:t>
      </w:r>
      <w:proofErr w:type="spellEnd"/>
      <w:proofErr w:type="gramEnd"/>
      <w:r>
        <w:rPr>
          <w:rFonts w:ascii="Georgia" w:eastAsia="Georgia" w:hAnsi="Georgia" w:cs="Georgia"/>
        </w:rPr>
        <w:t xml:space="preserve"> energy would be weakly driven by financial development unless a robust institutionally managed threshold is surpassed. In other words, countries need to surpass a critical threshold (0.5613) for institutional quality which is needed for investment to seize the opportunities offered by financial </w:t>
      </w:r>
      <w:proofErr w:type="spellStart"/>
      <w:r>
        <w:rPr>
          <w:rFonts w:ascii="Georgia" w:eastAsia="Georgia" w:hAnsi="Georgia" w:cs="Georgia"/>
        </w:rPr>
        <w:t>development.Due</w:t>
      </w:r>
      <w:proofErr w:type="spellEnd"/>
      <w:r>
        <w:rPr>
          <w:rFonts w:ascii="Georgia" w:eastAsia="Georgia" w:hAnsi="Georgia" w:cs="Georgia"/>
        </w:rPr>
        <w:t xml:space="preserve"> to this threshold, most countries are lower middle income and do not cross this threshold and have institutional systems that paradoxically stifle instead of enable financial development’s interaction to positively impact the transition to renewable </w:t>
      </w:r>
      <w:proofErr w:type="spellStart"/>
      <w:r>
        <w:rPr>
          <w:rFonts w:ascii="Georgia" w:eastAsia="Georgia" w:hAnsi="Georgia" w:cs="Georgia"/>
        </w:rPr>
        <w:t>energy.In</w:t>
      </w:r>
      <w:proofErr w:type="spellEnd"/>
      <w:r>
        <w:rPr>
          <w:rFonts w:ascii="Georgia" w:eastAsia="Georgia" w:hAnsi="Georgia" w:cs="Georgia"/>
        </w:rPr>
        <w:t xml:space="preserve"> most cases, weak institutional quality buoys systematically explain the underperformance of contexts where set restraints coupled with free market forces fail to choke off resources from renewable energy </w:t>
      </w:r>
      <w:proofErr w:type="spellStart"/>
      <w:r>
        <w:rPr>
          <w:rFonts w:ascii="Georgia" w:eastAsia="Georgia" w:hAnsi="Georgia" w:cs="Georgia"/>
        </w:rPr>
        <w:t>programs.To</w:t>
      </w:r>
      <w:proofErr w:type="spellEnd"/>
      <w:r>
        <w:rPr>
          <w:rFonts w:ascii="Georgia" w:eastAsia="Georgia" w:hAnsi="Georgia" w:cs="Georgia"/>
        </w:rPr>
        <w:t xml:space="preserve"> solve these important econometric problems, the research applies second-generation estimators such as the Driscoll-Kraay nonparametric covariance matrix estimator, and pooled mean group (PMG), augmented mean group (AMG ), and common correlated effects mean group (CCEMG).Tests of cross-sectional dependence uncover that most economic and financial variables show strong dependence across countries, whereas institutional quality displays more country-specific </w:t>
      </w:r>
      <w:proofErr w:type="spellStart"/>
      <w:r>
        <w:rPr>
          <w:rFonts w:ascii="Georgia" w:eastAsia="Georgia" w:hAnsi="Georgia" w:cs="Georgia"/>
        </w:rPr>
        <w:t>features.Suggested</w:t>
      </w:r>
      <w:proofErr w:type="spellEnd"/>
      <w:r>
        <w:rPr>
          <w:rFonts w:ascii="Georgia" w:eastAsia="Georgia" w:hAnsi="Georgia" w:cs="Georgia"/>
        </w:rPr>
        <w:t xml:space="preserve"> policies focus on prioritizing institutional restructuring, creating customized financial solutions, and using an integrated approach that deals with the weaknesses of the institutions and development of the financial system at the same time.</w:t>
      </w:r>
    </w:p>
    <w:p w:rsidR="00E438DA" w:rsidRDefault="00000000">
      <w:pPr>
        <w:pStyle w:val="Heading1"/>
        <w:jc w:val="both"/>
      </w:pPr>
      <w:bookmarkStart w:id="3" w:name="_heading=h.d6qpo7l8gjd3" w:colFirst="0" w:colLast="0"/>
      <w:bookmarkEnd w:id="3"/>
      <w:r>
        <w:rPr>
          <w:rFonts w:ascii="Georgia" w:eastAsia="Georgia" w:hAnsi="Georgia" w:cs="Georgia"/>
        </w:rPr>
        <w:t>II | Abstract</w:t>
      </w:r>
    </w:p>
    <w:p w:rsidR="00E438DA" w:rsidRDefault="00000000">
      <w:pPr>
        <w:jc w:val="both"/>
        <w:rPr>
          <w:rFonts w:ascii="Georgia" w:eastAsia="Georgia" w:hAnsi="Georgia" w:cs="Georgia"/>
        </w:rPr>
      </w:pPr>
      <w:r>
        <w:rPr>
          <w:rFonts w:ascii="Georgia" w:eastAsia="Georgia" w:hAnsi="Georgia" w:cs="Georgia"/>
        </w:rPr>
        <w:t xml:space="preserve">This research explores the interaction between the evolution of finance, quality of institution, and the shift toward renewable energy in the context of lower middle-income countries. The research applies sophisticated econometric methods to reveal very important institutional thresholds which determine how efficiently financial development propels renewable energy consumption. The results show that even in the presence of enduring weak institutional frameworks, the system still attempts to render some support to the renewable energy initiatives on the continent. It is shown that most of the lower </w:t>
      </w:r>
      <w:proofErr w:type="gramStart"/>
      <w:r>
        <w:rPr>
          <w:rFonts w:ascii="Georgia" w:eastAsia="Georgia" w:hAnsi="Georgia" w:cs="Georgia"/>
        </w:rPr>
        <w:t>middle income</w:t>
      </w:r>
      <w:proofErr w:type="gramEnd"/>
      <w:r>
        <w:rPr>
          <w:rFonts w:ascii="Georgia" w:eastAsia="Georgia" w:hAnsi="Georgia" w:cs="Georgia"/>
        </w:rPr>
        <w:t xml:space="preserve"> countries under study do not have the threshold in question, and as a result, financial resources tend to get trapped instead of flowing into renewable energy projects. This presents one of the explanations to the perplexing phenomenon where disbursing more finances in a certain context does not seem to encourage the anticipated accelerate the adoption of renewable energy. By revealing how institutions moderate and shape the channels through which financial resources influence the transition to renewable energy, this study closes the theoretical gaps. With these insights, the study hopes to inform policymakers interested in responding to the issues of rapid changes in the use of sustainable energy at the level of the institutions.</w:t>
      </w:r>
    </w:p>
    <w:p w:rsidR="00E438DA" w:rsidRDefault="00000000">
      <w:pPr>
        <w:pStyle w:val="Heading1"/>
        <w:jc w:val="both"/>
      </w:pPr>
      <w:bookmarkStart w:id="4" w:name="_heading=h.9rpqiikfcszb" w:colFirst="0" w:colLast="0"/>
      <w:bookmarkEnd w:id="4"/>
      <w:r>
        <w:rPr>
          <w:rFonts w:ascii="Georgia" w:eastAsia="Georgia" w:hAnsi="Georgia" w:cs="Georgia"/>
        </w:rPr>
        <w:lastRenderedPageBreak/>
        <w:t>III | Keywords</w:t>
      </w:r>
    </w:p>
    <w:p w:rsidR="00E438DA" w:rsidRDefault="00000000">
      <w:pPr>
        <w:jc w:val="both"/>
      </w:pPr>
      <w:r>
        <w:rPr>
          <w:rFonts w:ascii="Georgia" w:eastAsia="Georgia" w:hAnsi="Georgia" w:cs="Georgia"/>
        </w:rPr>
        <w:t>Financial Growth, Institutional Quality, Transition of Renewable Energy, Lower Middle-Income Countries, Econometric Methodologies, Institutional Thresholds, Policy Implications, Sustainable Energy, Energy Transition, Clean Energy Investments.</w:t>
      </w:r>
    </w:p>
    <w:p w:rsidR="00E438DA" w:rsidRDefault="00000000">
      <w:pPr>
        <w:pStyle w:val="Heading1"/>
        <w:jc w:val="both"/>
        <w:rPr>
          <w:rFonts w:ascii="Georgia" w:eastAsia="Georgia" w:hAnsi="Georgia" w:cs="Georgia"/>
        </w:rPr>
      </w:pPr>
      <w:bookmarkStart w:id="5" w:name="_heading=h.zj6hgdqoz1k" w:colFirst="0" w:colLast="0"/>
      <w:bookmarkEnd w:id="5"/>
      <w:r>
        <w:br w:type="page"/>
      </w:r>
    </w:p>
    <w:p w:rsidR="00E438DA" w:rsidRDefault="00E438DA">
      <w:pPr>
        <w:pStyle w:val="Heading1"/>
        <w:jc w:val="center"/>
        <w:rPr>
          <w:rFonts w:ascii="Georgia" w:eastAsia="Georgia" w:hAnsi="Georgia" w:cs="Georgia"/>
          <w:sz w:val="52"/>
          <w:szCs w:val="52"/>
        </w:rPr>
      </w:pPr>
      <w:bookmarkStart w:id="6" w:name="_heading=h.6c4ao0vq7xmi" w:colFirst="0" w:colLast="0"/>
      <w:bookmarkEnd w:id="6"/>
    </w:p>
    <w:p w:rsidR="00E438DA" w:rsidRDefault="00E438DA">
      <w:pPr>
        <w:pStyle w:val="Heading1"/>
        <w:jc w:val="center"/>
        <w:rPr>
          <w:rFonts w:ascii="Georgia" w:eastAsia="Georgia" w:hAnsi="Georgia" w:cs="Georgia"/>
          <w:sz w:val="52"/>
          <w:szCs w:val="52"/>
        </w:rPr>
      </w:pPr>
      <w:bookmarkStart w:id="7" w:name="_heading=h.w17uq0t1dgzj" w:colFirst="0" w:colLast="0"/>
      <w:bookmarkEnd w:id="7"/>
    </w:p>
    <w:p w:rsidR="00E438DA" w:rsidRDefault="00E438DA">
      <w:pPr>
        <w:pStyle w:val="Heading1"/>
        <w:jc w:val="center"/>
        <w:rPr>
          <w:rFonts w:ascii="Georgia" w:eastAsia="Georgia" w:hAnsi="Georgia" w:cs="Georgia"/>
          <w:sz w:val="52"/>
          <w:szCs w:val="52"/>
        </w:rPr>
      </w:pPr>
      <w:bookmarkStart w:id="8" w:name="_heading=h.q4s6vxgavc0x" w:colFirst="0" w:colLast="0"/>
      <w:bookmarkEnd w:id="8"/>
    </w:p>
    <w:p w:rsidR="00E438DA" w:rsidRDefault="00000000">
      <w:pPr>
        <w:pStyle w:val="Heading1"/>
        <w:jc w:val="center"/>
        <w:rPr>
          <w:rFonts w:ascii="Georgia" w:eastAsia="Georgia" w:hAnsi="Georgia" w:cs="Georgia"/>
          <w:sz w:val="52"/>
          <w:szCs w:val="52"/>
        </w:rPr>
      </w:pPr>
      <w:r>
        <w:rPr>
          <w:rFonts w:ascii="Georgia" w:eastAsia="Georgia" w:hAnsi="Georgia" w:cs="Georgia"/>
          <w:sz w:val="52"/>
          <w:szCs w:val="52"/>
        </w:rPr>
        <w:t>Acknowledgement</w:t>
      </w:r>
    </w:p>
    <w:p w:rsidR="00E438DA" w:rsidRDefault="00E438DA"/>
    <w:p w:rsidR="00E438DA" w:rsidRDefault="00E438DA"/>
    <w:p w:rsidR="00E438DA" w:rsidRDefault="00000000">
      <w:pPr>
        <w:jc w:val="both"/>
      </w:pPr>
      <w:r>
        <w:t>We would like to take this opportunity to sincerely thank Dr. Aswini Kumar Mishra for his invaluable advice and assistance throughout the duration of this research. We also wish to thank the Applied Econometrics (ECON F342) Teaching Assistants for imparting the initial knowledge and resources required for this research. Special thanks are due to our peers and co-authors for their constructive criticism and support, which played an important role in the completion of this research.</w:t>
      </w:r>
    </w:p>
    <w:p w:rsidR="00E438DA" w:rsidRDefault="00E438DA">
      <w:pPr>
        <w:pStyle w:val="Heading1"/>
        <w:jc w:val="both"/>
        <w:rPr>
          <w:rFonts w:ascii="Georgia" w:eastAsia="Georgia" w:hAnsi="Georgia" w:cs="Georgia"/>
        </w:rPr>
      </w:pPr>
      <w:bookmarkStart w:id="9" w:name="_heading=h.c03g2rv5ajxh" w:colFirst="0" w:colLast="0"/>
      <w:bookmarkEnd w:id="9"/>
    </w:p>
    <w:p w:rsidR="00E438DA" w:rsidRDefault="00E438DA">
      <w:pPr>
        <w:pStyle w:val="Heading1"/>
        <w:jc w:val="both"/>
        <w:rPr>
          <w:rFonts w:ascii="Georgia" w:eastAsia="Georgia" w:hAnsi="Georgia" w:cs="Georgia"/>
        </w:rPr>
      </w:pPr>
      <w:bookmarkStart w:id="10" w:name="_heading=h.gknkpj9lis9v" w:colFirst="0" w:colLast="0"/>
      <w:bookmarkEnd w:id="10"/>
    </w:p>
    <w:p w:rsidR="00E438DA" w:rsidRDefault="00E438DA">
      <w:pPr>
        <w:pStyle w:val="Heading1"/>
        <w:jc w:val="both"/>
        <w:rPr>
          <w:rFonts w:ascii="Georgia" w:eastAsia="Georgia" w:hAnsi="Georgia" w:cs="Georgia"/>
        </w:rPr>
      </w:pPr>
      <w:bookmarkStart w:id="11" w:name="_heading=h.a9jmst8lymzh" w:colFirst="0" w:colLast="0"/>
      <w:bookmarkEnd w:id="11"/>
    </w:p>
    <w:p w:rsidR="00E438DA" w:rsidRDefault="00E438DA">
      <w:pPr>
        <w:pStyle w:val="Heading1"/>
        <w:jc w:val="both"/>
        <w:rPr>
          <w:rFonts w:ascii="Georgia" w:eastAsia="Georgia" w:hAnsi="Georgia" w:cs="Georgia"/>
        </w:rPr>
      </w:pPr>
      <w:bookmarkStart w:id="12" w:name="_heading=h.zff07yw76wf1" w:colFirst="0" w:colLast="0"/>
      <w:bookmarkEnd w:id="12"/>
    </w:p>
    <w:p w:rsidR="00E438DA" w:rsidRDefault="00000000">
      <w:pPr>
        <w:pStyle w:val="Heading1"/>
        <w:jc w:val="both"/>
        <w:rPr>
          <w:rFonts w:ascii="Georgia" w:eastAsia="Georgia" w:hAnsi="Georgia" w:cs="Georgia"/>
        </w:rPr>
      </w:pPr>
      <w:bookmarkStart w:id="13" w:name="_heading=h.niy69wlhoqha" w:colFirst="0" w:colLast="0"/>
      <w:bookmarkEnd w:id="13"/>
      <w:r>
        <w:br w:type="page"/>
      </w:r>
    </w:p>
    <w:p w:rsidR="00E438DA" w:rsidRDefault="00000000">
      <w:pPr>
        <w:pStyle w:val="Heading1"/>
        <w:jc w:val="both"/>
        <w:rPr>
          <w:rFonts w:ascii="Georgia" w:eastAsia="Georgia" w:hAnsi="Georgia" w:cs="Georgia"/>
        </w:rPr>
      </w:pPr>
      <w:bookmarkStart w:id="14" w:name="_heading=h.1fob9te" w:colFirst="0" w:colLast="0"/>
      <w:bookmarkEnd w:id="14"/>
      <w:r>
        <w:rPr>
          <w:rFonts w:ascii="Georgia" w:eastAsia="Georgia" w:hAnsi="Georgia" w:cs="Georgia"/>
        </w:rPr>
        <w:lastRenderedPageBreak/>
        <w:t>1. Introduction</w:t>
      </w:r>
    </w:p>
    <w:p w:rsidR="00E438DA" w:rsidRDefault="00E438DA">
      <w:pPr>
        <w:jc w:val="both"/>
        <w:rPr>
          <w:rFonts w:ascii="Georgia" w:eastAsia="Georgia" w:hAnsi="Georgia" w:cs="Georgia"/>
        </w:rPr>
      </w:pPr>
    </w:p>
    <w:p w:rsidR="00E438DA" w:rsidRDefault="00000000">
      <w:pPr>
        <w:jc w:val="both"/>
        <w:rPr>
          <w:rFonts w:ascii="Georgia" w:eastAsia="Georgia" w:hAnsi="Georgia" w:cs="Georgia"/>
        </w:rPr>
      </w:pPr>
      <w:r>
        <w:rPr>
          <w:rFonts w:ascii="Georgia" w:eastAsia="Georgia" w:hAnsi="Georgia" w:cs="Georgia"/>
        </w:rPr>
        <w:t>Energy is the driver of economic growth and development. Thus, it is an undeniable fact, that energy constitutes a key input to economic development [</w:t>
      </w:r>
      <w:hyperlink r:id="rId9" w:anchor="bib1">
        <w:r w:rsidR="00E438DA">
          <w:rPr>
            <w:rFonts w:ascii="Georgia" w:eastAsia="Georgia" w:hAnsi="Georgia" w:cs="Georgia"/>
            <w:color w:val="1155CC"/>
            <w:u w:val="single"/>
          </w:rPr>
          <w:t>1</w:t>
        </w:r>
      </w:hyperlink>
      <w:r>
        <w:rPr>
          <w:rFonts w:ascii="Georgia" w:eastAsia="Georgia" w:hAnsi="Georgia" w:cs="Georgia"/>
        </w:rPr>
        <w:t>]. The finance-renewable energy nexus has been investigated by a multitude of scholars, with most of the studies examining the direct relationship between financial development and</w:t>
      </w:r>
      <w:hyperlink r:id="rId10">
        <w:r w:rsidR="00E438DA">
          <w:rPr>
            <w:rFonts w:ascii="Georgia" w:eastAsia="Georgia" w:hAnsi="Georgia" w:cs="Georgia"/>
          </w:rPr>
          <w:t xml:space="preserve"> </w:t>
        </w:r>
      </w:hyperlink>
      <w:hyperlink r:id="rId11">
        <w:r w:rsidR="00E438DA">
          <w:rPr>
            <w:rFonts w:ascii="Georgia" w:eastAsia="Georgia" w:hAnsi="Georgia" w:cs="Georgia"/>
            <w:color w:val="1155CC"/>
            <w:u w:val="single"/>
          </w:rPr>
          <w:t>renewable energy consumption</w:t>
        </w:r>
      </w:hyperlink>
      <w:r>
        <w:rPr>
          <w:rFonts w:ascii="Georgia" w:eastAsia="Georgia" w:hAnsi="Georgia" w:cs="Georgia"/>
        </w:rPr>
        <w:t xml:space="preserve"> in a host of political and economic jurisdictions [</w:t>
      </w:r>
      <w:hyperlink r:id="rId12" w:anchor="bib1">
        <w:r w:rsidR="00E438DA">
          <w:rPr>
            <w:rFonts w:ascii="Georgia" w:eastAsia="Georgia" w:hAnsi="Georgia" w:cs="Georgia"/>
            <w:color w:val="1155CC"/>
            <w:u w:val="single"/>
          </w:rPr>
          <w:t>[2]</w:t>
        </w:r>
      </w:hyperlink>
      <w:r>
        <w:rPr>
          <w:rFonts w:ascii="Georgia" w:eastAsia="Georgia" w:hAnsi="Georgia" w:cs="Georgia"/>
        </w:rPr>
        <w:t>,</w:t>
      </w:r>
      <w:hyperlink r:id="rId13" w:anchor="bib2">
        <w:r w:rsidR="00E438DA">
          <w:rPr>
            <w:rFonts w:ascii="Georgia" w:eastAsia="Georgia" w:hAnsi="Georgia" w:cs="Georgia"/>
          </w:rPr>
          <w:t xml:space="preserve"> </w:t>
        </w:r>
      </w:hyperlink>
      <w:hyperlink r:id="rId14" w:anchor="bib2">
        <w:r w:rsidR="00E438DA">
          <w:rPr>
            <w:rFonts w:ascii="Georgia" w:eastAsia="Georgia" w:hAnsi="Georgia" w:cs="Georgia"/>
            <w:color w:val="1155CC"/>
            <w:u w:val="single"/>
          </w:rPr>
          <w:t>[3]</w:t>
        </w:r>
      </w:hyperlink>
      <w:r>
        <w:rPr>
          <w:rFonts w:ascii="Georgia" w:eastAsia="Georgia" w:hAnsi="Georgia" w:cs="Georgia"/>
        </w:rPr>
        <w:t>,</w:t>
      </w:r>
      <w:hyperlink r:id="rId15" w:anchor="bib3">
        <w:r w:rsidR="00E438DA">
          <w:rPr>
            <w:rFonts w:ascii="Georgia" w:eastAsia="Georgia" w:hAnsi="Georgia" w:cs="Georgia"/>
          </w:rPr>
          <w:t xml:space="preserve"> </w:t>
        </w:r>
      </w:hyperlink>
      <w:hyperlink r:id="rId16" w:anchor="bib3">
        <w:r w:rsidR="00E438DA">
          <w:rPr>
            <w:rFonts w:ascii="Georgia" w:eastAsia="Georgia" w:hAnsi="Georgia" w:cs="Georgia"/>
            <w:color w:val="1155CC"/>
            <w:u w:val="single"/>
          </w:rPr>
          <w:t>[4]</w:t>
        </w:r>
      </w:hyperlink>
      <w:r>
        <w:rPr>
          <w:rFonts w:ascii="Georgia" w:eastAsia="Georgia" w:hAnsi="Georgia" w:cs="Georgia"/>
        </w:rPr>
        <w:t xml:space="preserve">]. For example, the African continent has enormous energy potential, with a wide range of </w:t>
      </w:r>
      <w:proofErr w:type="gramStart"/>
      <w:r>
        <w:rPr>
          <w:rFonts w:ascii="Georgia" w:eastAsia="Georgia" w:hAnsi="Georgia" w:cs="Georgia"/>
        </w:rPr>
        <w:t>high quality</w:t>
      </w:r>
      <w:proofErr w:type="gramEnd"/>
      <w:r>
        <w:rPr>
          <w:rFonts w:ascii="Georgia" w:eastAsia="Georgia" w:hAnsi="Georgia" w:cs="Georgia"/>
        </w:rPr>
        <w:t xml:space="preserve"> renewable energy (RE) resources. However, the energy sources are still underexploited and will continue to be so without significant improvement in access to finance. The recent global energy crisis has posed a major challenge for countries with lower levels of per-capita GDP to expand clean energy projects. Looking at Africa again, their energy investment has declined, and by 2022 it was less than $90 billion, with clean energy spending of around $25 billion, representing just 2 % of global clean energy investment (</w:t>
      </w:r>
      <w:hyperlink r:id="rId17" w:anchor="bib18">
        <w:r w:rsidR="00E438DA">
          <w:rPr>
            <w:rFonts w:ascii="Georgia" w:eastAsia="Georgia" w:hAnsi="Georgia" w:cs="Georgia"/>
            <w:color w:val="1155CC"/>
            <w:u w:val="single"/>
          </w:rPr>
          <w:t>IEA, 2023</w:t>
        </w:r>
      </w:hyperlink>
      <w:r>
        <w:rPr>
          <w:rFonts w:ascii="Georgia" w:eastAsia="Georgia" w:hAnsi="Georgia" w:cs="Georgia"/>
        </w:rPr>
        <w:t xml:space="preserve">). Modern energy production and access for all remains a major issue for developing countries, and identifying the potential drivers of RE consumption is therefore of paramount importance to decision makers. The phenomenon of RE transition is complex, where various economic and institutional factors interactions can have different effects on the spread of clean technologies. According to the newest data from the Renewable Energy Policy Network for the Twenty-First Century, global energy demand is heavily skewed in </w:t>
      </w:r>
      <w:proofErr w:type="spellStart"/>
      <w:r>
        <w:rPr>
          <w:rFonts w:ascii="Georgia" w:eastAsia="Georgia" w:hAnsi="Georgia" w:cs="Georgia"/>
        </w:rPr>
        <w:t>favour</w:t>
      </w:r>
      <w:proofErr w:type="spellEnd"/>
      <w:r>
        <w:rPr>
          <w:rFonts w:ascii="Georgia" w:eastAsia="Georgia" w:hAnsi="Georgia" w:cs="Georgia"/>
        </w:rPr>
        <w:t xml:space="preserve"> of fossil fuels as the primary generator of GHGs (REN 21:2021). </w:t>
      </w:r>
      <w:proofErr w:type="spellStart"/>
      <w:r>
        <w:rPr>
          <w:rFonts w:ascii="Georgia" w:eastAsia="Georgia" w:hAnsi="Georgia" w:cs="Georgia"/>
        </w:rPr>
        <w:t>Thus,international</w:t>
      </w:r>
      <w:proofErr w:type="spellEnd"/>
      <w:r>
        <w:rPr>
          <w:rFonts w:ascii="Georgia" w:eastAsia="Georgia" w:hAnsi="Georgia" w:cs="Georgia"/>
        </w:rPr>
        <w:t xml:space="preserve"> institutions, governments, government agencies, and others have been concerned about environmental preservation by reducing GHG emissions and mitigating climate change's negative repercussions [</w:t>
      </w:r>
      <w:hyperlink r:id="rId18">
        <w:r w:rsidR="00E438DA">
          <w:rPr>
            <w:rFonts w:ascii="Georgia" w:eastAsia="Georgia" w:hAnsi="Georgia" w:cs="Georgia"/>
            <w:color w:val="1155CC"/>
            <w:u w:val="single"/>
          </w:rPr>
          <w:t>5</w:t>
        </w:r>
      </w:hyperlink>
      <w:r>
        <w:rPr>
          <w:rFonts w:ascii="Georgia" w:eastAsia="Georgia" w:hAnsi="Georgia" w:cs="Georgia"/>
        </w:rPr>
        <w:t>]. Policymakers must be informed by rigorous research concerning the drivers of RE adoption to successfully advance the energy transition journey of lower-middle income countries.</w:t>
      </w:r>
    </w:p>
    <w:p w:rsidR="00E438DA" w:rsidRDefault="00E438DA">
      <w:pPr>
        <w:jc w:val="both"/>
        <w:rPr>
          <w:rFonts w:ascii="Georgia" w:eastAsia="Georgia" w:hAnsi="Georgia" w:cs="Georgia"/>
        </w:rPr>
      </w:pPr>
    </w:p>
    <w:p w:rsidR="00E438DA" w:rsidRDefault="00000000">
      <w:pPr>
        <w:jc w:val="both"/>
        <w:rPr>
          <w:rFonts w:ascii="Georgia" w:eastAsia="Georgia" w:hAnsi="Georgia" w:cs="Georgia"/>
        </w:rPr>
      </w:pPr>
      <w:r>
        <w:rPr>
          <w:rFonts w:ascii="Georgia" w:eastAsia="Georgia" w:hAnsi="Georgia" w:cs="Georgia"/>
        </w:rPr>
        <w:t xml:space="preserve">The problem is diverse in the scenario of lower-middle income countries in that most countries still have less-developed and developing capital markets alongside bank financial institutions with limited bank </w:t>
      </w:r>
      <w:proofErr w:type="spellStart"/>
      <w:r>
        <w:rPr>
          <w:rFonts w:ascii="Georgia" w:eastAsia="Georgia" w:hAnsi="Georgia" w:cs="Georgia"/>
        </w:rPr>
        <w:t>capitalisation</w:t>
      </w:r>
      <w:proofErr w:type="spellEnd"/>
      <w:r>
        <w:rPr>
          <w:rFonts w:ascii="Georgia" w:eastAsia="Georgia" w:hAnsi="Georgia" w:cs="Georgia"/>
        </w:rPr>
        <w:t xml:space="preserve"> compared to sister banks in the various global financial </w:t>
      </w:r>
      <w:proofErr w:type="spellStart"/>
      <w:r>
        <w:rPr>
          <w:rFonts w:ascii="Georgia" w:eastAsia="Georgia" w:hAnsi="Georgia" w:cs="Georgia"/>
        </w:rPr>
        <w:t>centres</w:t>
      </w:r>
      <w:proofErr w:type="spellEnd"/>
      <w:r>
        <w:rPr>
          <w:rFonts w:ascii="Georgia" w:eastAsia="Georgia" w:hAnsi="Georgia" w:cs="Georgia"/>
        </w:rPr>
        <w:t xml:space="preserve"> in the Western world. Furthermore, looking at it from a continent-level view, limited fiscal budgets to cover capital expenditure inclusive of</w:t>
      </w:r>
      <w:hyperlink r:id="rId19">
        <w:r w:rsidR="00E438DA">
          <w:rPr>
            <w:rFonts w:ascii="Georgia" w:eastAsia="Georgia" w:hAnsi="Georgia" w:cs="Georgia"/>
          </w:rPr>
          <w:t xml:space="preserve"> </w:t>
        </w:r>
      </w:hyperlink>
      <w:hyperlink r:id="rId20">
        <w:r w:rsidR="00E438DA">
          <w:rPr>
            <w:rFonts w:ascii="Georgia" w:eastAsia="Georgia" w:hAnsi="Georgia" w:cs="Georgia"/>
            <w:color w:val="1155CC"/>
            <w:u w:val="single"/>
          </w:rPr>
          <w:t>green infrastructures</w:t>
        </w:r>
      </w:hyperlink>
      <w:r>
        <w:rPr>
          <w:rFonts w:ascii="Georgia" w:eastAsia="Georgia" w:hAnsi="Georgia" w:cs="Georgia"/>
        </w:rPr>
        <w:t xml:space="preserve"> from most countries on the African continent worsens the financing gap, leaving room for rich polluting countries in</w:t>
      </w:r>
      <w:hyperlink r:id="rId21">
        <w:r w:rsidR="00E438DA">
          <w:rPr>
            <w:rFonts w:ascii="Georgia" w:eastAsia="Georgia" w:hAnsi="Georgia" w:cs="Georgia"/>
          </w:rPr>
          <w:t xml:space="preserve"> </w:t>
        </w:r>
      </w:hyperlink>
      <w:hyperlink r:id="rId22">
        <w:r w:rsidR="00E438DA">
          <w:rPr>
            <w:rFonts w:ascii="Georgia" w:eastAsia="Georgia" w:hAnsi="Georgia" w:cs="Georgia"/>
            <w:color w:val="1155CC"/>
            <w:u w:val="single"/>
          </w:rPr>
          <w:t>Asia</w:t>
        </w:r>
      </w:hyperlink>
      <w:r>
        <w:rPr>
          <w:rFonts w:ascii="Georgia" w:eastAsia="Georgia" w:hAnsi="Georgia" w:cs="Georgia"/>
        </w:rPr>
        <w:t>, America, and Europe to contribute their quotas financially in that regard [</w:t>
      </w:r>
      <w:hyperlink r:id="rId23" w:anchor="bib4">
        <w:r w:rsidR="00E438DA">
          <w:rPr>
            <w:rFonts w:ascii="Georgia" w:eastAsia="Georgia" w:hAnsi="Georgia" w:cs="Georgia"/>
            <w:color w:val="1155CC"/>
            <w:u w:val="single"/>
          </w:rPr>
          <w:t>6</w:t>
        </w:r>
      </w:hyperlink>
      <w:r>
        <w:rPr>
          <w:rFonts w:ascii="Georgia" w:eastAsia="Georgia" w:hAnsi="Georgia" w:cs="Georgia"/>
        </w:rPr>
        <w:t xml:space="preserve">]. </w:t>
      </w:r>
    </w:p>
    <w:p w:rsidR="00E438DA" w:rsidRDefault="00E438DA">
      <w:pPr>
        <w:jc w:val="both"/>
        <w:rPr>
          <w:rFonts w:ascii="Georgia" w:eastAsia="Georgia" w:hAnsi="Georgia" w:cs="Georgia"/>
        </w:rPr>
      </w:pPr>
    </w:p>
    <w:p w:rsidR="00E438DA" w:rsidRDefault="00000000">
      <w:pPr>
        <w:jc w:val="both"/>
        <w:rPr>
          <w:rFonts w:ascii="Georgia" w:eastAsia="Georgia" w:hAnsi="Georgia" w:cs="Georgia"/>
        </w:rPr>
      </w:pPr>
      <w:r>
        <w:rPr>
          <w:rFonts w:ascii="Georgia" w:eastAsia="Georgia" w:hAnsi="Georgia" w:cs="Georgia"/>
        </w:rPr>
        <w:t>Article 2 of the worldwide legal climate accord stresses the importance of decreasing global warming to “well below 2C,” a 4C drop from current levels (see COP 21 of the United Nations Framework Convention on Climate Change). It is equally consistent with the Sustainable</w:t>
      </w:r>
    </w:p>
    <w:p w:rsidR="00E438DA" w:rsidRDefault="00000000">
      <w:pPr>
        <w:jc w:val="both"/>
        <w:rPr>
          <w:rFonts w:ascii="Georgia" w:eastAsia="Georgia" w:hAnsi="Georgia" w:cs="Georgia"/>
        </w:rPr>
      </w:pPr>
      <w:r>
        <w:rPr>
          <w:rFonts w:ascii="Georgia" w:eastAsia="Georgia" w:hAnsi="Georgia" w:cs="Georgia"/>
        </w:rPr>
        <w:t xml:space="preserve">Development Goals (SDG) number 7, 11, 12, and 13 of the United Nations Development </w:t>
      </w:r>
      <w:proofErr w:type="spellStart"/>
      <w:r>
        <w:rPr>
          <w:rFonts w:ascii="Georgia" w:eastAsia="Georgia" w:hAnsi="Georgia" w:cs="Georgia"/>
        </w:rPr>
        <w:t>Programme</w:t>
      </w:r>
      <w:proofErr w:type="spellEnd"/>
      <w:r>
        <w:rPr>
          <w:rFonts w:ascii="Georgia" w:eastAsia="Georgia" w:hAnsi="Georgia" w:cs="Georgia"/>
        </w:rPr>
        <w:t xml:space="preserve"> (UNDP), which stresses REN (clean energies) as enablers of sustainable</w:t>
      </w:r>
    </w:p>
    <w:p w:rsidR="00E438DA" w:rsidRDefault="00000000">
      <w:pPr>
        <w:jc w:val="both"/>
        <w:rPr>
          <w:rFonts w:ascii="Georgia" w:eastAsia="Georgia" w:hAnsi="Georgia" w:cs="Georgia"/>
        </w:rPr>
      </w:pPr>
      <w:r>
        <w:rPr>
          <w:rFonts w:ascii="Georgia" w:eastAsia="Georgia" w:hAnsi="Georgia" w:cs="Georgia"/>
        </w:rPr>
        <w:t>Development.</w:t>
      </w:r>
    </w:p>
    <w:p w:rsidR="00E438DA" w:rsidRDefault="00E438DA">
      <w:pPr>
        <w:jc w:val="both"/>
        <w:rPr>
          <w:rFonts w:ascii="Georgia" w:eastAsia="Georgia" w:hAnsi="Georgia" w:cs="Georgia"/>
        </w:rPr>
      </w:pPr>
    </w:p>
    <w:p w:rsidR="00E438DA" w:rsidRDefault="00000000">
      <w:pPr>
        <w:jc w:val="both"/>
        <w:rPr>
          <w:rFonts w:ascii="Georgia" w:eastAsia="Georgia" w:hAnsi="Georgia" w:cs="Georgia"/>
        </w:rPr>
      </w:pPr>
      <w:r>
        <w:rPr>
          <w:rFonts w:ascii="Georgia" w:eastAsia="Georgia" w:hAnsi="Georgia" w:cs="Georgia"/>
        </w:rPr>
        <w:t>Contrary to the aforementioned dilemma, the actualization of this lofty global goal requires extensive international team-up. Transitioning from fossil fuel-based mechanisms to clean energy solutions as the main policy instrument to spur a low-carbon economy</w:t>
      </w:r>
    </w:p>
    <w:p w:rsidR="00E438DA" w:rsidRDefault="00000000">
      <w:pPr>
        <w:jc w:val="both"/>
        <w:rPr>
          <w:rFonts w:ascii="Georgia" w:eastAsia="Georgia" w:hAnsi="Georgia" w:cs="Georgia"/>
        </w:rPr>
      </w:pPr>
      <w:r>
        <w:rPr>
          <w:rFonts w:ascii="Georgia" w:eastAsia="Georgia" w:hAnsi="Georgia" w:cs="Georgia"/>
        </w:rPr>
        <w:lastRenderedPageBreak/>
        <w:t>is capital-intensive and costly [[</w:t>
      </w:r>
      <w:hyperlink r:id="rId24">
        <w:r w:rsidR="00E438DA">
          <w:rPr>
            <w:rFonts w:ascii="Georgia" w:eastAsia="Georgia" w:hAnsi="Georgia" w:cs="Georgia"/>
            <w:color w:val="1155CC"/>
            <w:u w:val="single"/>
          </w:rPr>
          <w:t>7</w:t>
        </w:r>
      </w:hyperlink>
      <w:r>
        <w:rPr>
          <w:rFonts w:ascii="Georgia" w:eastAsia="Georgia" w:hAnsi="Georgia" w:cs="Georgia"/>
        </w:rPr>
        <w:t>],[</w:t>
      </w:r>
      <w:hyperlink r:id="rId25">
        <w:r w:rsidR="00E438DA">
          <w:rPr>
            <w:rFonts w:ascii="Georgia" w:eastAsia="Georgia" w:hAnsi="Georgia" w:cs="Georgia"/>
            <w:color w:val="1155CC"/>
            <w:u w:val="single"/>
          </w:rPr>
          <w:t>8</w:t>
        </w:r>
      </w:hyperlink>
      <w:r>
        <w:rPr>
          <w:rFonts w:ascii="Georgia" w:eastAsia="Georgia" w:hAnsi="Georgia" w:cs="Georgia"/>
        </w:rPr>
        <w:t>],[</w:t>
      </w:r>
      <w:hyperlink r:id="rId26">
        <w:r w:rsidR="00E438DA">
          <w:rPr>
            <w:rFonts w:ascii="Georgia" w:eastAsia="Georgia" w:hAnsi="Georgia" w:cs="Georgia"/>
            <w:color w:val="1155CC"/>
            <w:u w:val="single"/>
          </w:rPr>
          <w:t>9</w:t>
        </w:r>
      </w:hyperlink>
      <w:r>
        <w:rPr>
          <w:rFonts w:ascii="Georgia" w:eastAsia="Georgia" w:hAnsi="Georgia" w:cs="Georgia"/>
        </w:rPr>
        <w:t>]].</w:t>
      </w:r>
    </w:p>
    <w:p w:rsidR="00E438DA" w:rsidRDefault="00E438DA">
      <w:pPr>
        <w:jc w:val="both"/>
        <w:rPr>
          <w:rFonts w:ascii="Georgia" w:eastAsia="Georgia" w:hAnsi="Georgia" w:cs="Georgia"/>
        </w:rPr>
      </w:pPr>
    </w:p>
    <w:p w:rsidR="00E438DA" w:rsidRDefault="00000000">
      <w:pPr>
        <w:jc w:val="both"/>
        <w:rPr>
          <w:rFonts w:ascii="Georgia" w:eastAsia="Georgia" w:hAnsi="Georgia" w:cs="Georgia"/>
        </w:rPr>
      </w:pPr>
      <w:r>
        <w:rPr>
          <w:rFonts w:ascii="Georgia" w:eastAsia="Georgia" w:hAnsi="Georgia" w:cs="Georgia"/>
        </w:rPr>
        <w:t>A plethora of existing research has examined the separate effects of both FD and INST on REN with mixed and conflicting research outcomes [[</w:t>
      </w:r>
      <w:hyperlink r:id="rId27">
        <w:r w:rsidR="00E438DA">
          <w:rPr>
            <w:rFonts w:ascii="Georgia" w:eastAsia="Georgia" w:hAnsi="Georgia" w:cs="Georgia"/>
            <w:color w:val="1155CC"/>
            <w:u w:val="single"/>
          </w:rPr>
          <w:t>10</w:t>
        </w:r>
      </w:hyperlink>
      <w:r>
        <w:rPr>
          <w:rFonts w:ascii="Georgia" w:eastAsia="Georgia" w:hAnsi="Georgia" w:cs="Georgia"/>
        </w:rPr>
        <w:t>,[</w:t>
      </w:r>
      <w:hyperlink r:id="rId28">
        <w:r w:rsidR="00E438DA">
          <w:rPr>
            <w:rFonts w:ascii="Georgia" w:eastAsia="Georgia" w:hAnsi="Georgia" w:cs="Georgia"/>
            <w:color w:val="1155CC"/>
            <w:u w:val="single"/>
          </w:rPr>
          <w:t>11</w:t>
        </w:r>
      </w:hyperlink>
      <w:r>
        <w:rPr>
          <w:rFonts w:ascii="Georgia" w:eastAsia="Georgia" w:hAnsi="Georgia" w:cs="Georgia"/>
        </w:rPr>
        <w:t>],[</w:t>
      </w:r>
      <w:hyperlink r:id="rId29">
        <w:r w:rsidR="00E438DA">
          <w:rPr>
            <w:rFonts w:ascii="Georgia" w:eastAsia="Georgia" w:hAnsi="Georgia" w:cs="Georgia"/>
            <w:color w:val="1155CC"/>
            <w:u w:val="single"/>
          </w:rPr>
          <w:t>12</w:t>
        </w:r>
      </w:hyperlink>
      <w:r>
        <w:rPr>
          <w:rFonts w:ascii="Georgia" w:eastAsia="Georgia" w:hAnsi="Georgia" w:cs="Georgia"/>
        </w:rPr>
        <w:t>],[</w:t>
      </w:r>
      <w:hyperlink r:id="rId30">
        <w:r w:rsidR="00E438DA">
          <w:rPr>
            <w:rFonts w:ascii="Georgia" w:eastAsia="Georgia" w:hAnsi="Georgia" w:cs="Georgia"/>
            <w:color w:val="1155CC"/>
            <w:u w:val="single"/>
          </w:rPr>
          <w:t>13</w:t>
        </w:r>
      </w:hyperlink>
      <w:r>
        <w:rPr>
          <w:rFonts w:ascii="Georgia" w:eastAsia="Georgia" w:hAnsi="Georgia" w:cs="Georgia"/>
        </w:rPr>
        <w:t>],[</w:t>
      </w:r>
      <w:hyperlink r:id="rId31">
        <w:r w:rsidR="00E438DA">
          <w:rPr>
            <w:rFonts w:ascii="Georgia" w:eastAsia="Georgia" w:hAnsi="Georgia" w:cs="Georgia"/>
            <w:color w:val="1155CC"/>
            <w:u w:val="single"/>
          </w:rPr>
          <w:t>14</w:t>
        </w:r>
      </w:hyperlink>
      <w:r>
        <w:rPr>
          <w:rFonts w:ascii="Georgia" w:eastAsia="Georgia" w:hAnsi="Georgia" w:cs="Georgia"/>
        </w:rPr>
        <w:t>],[</w:t>
      </w:r>
      <w:hyperlink r:id="rId32">
        <w:r w:rsidR="00E438DA">
          <w:rPr>
            <w:rFonts w:ascii="Georgia" w:eastAsia="Georgia" w:hAnsi="Georgia" w:cs="Georgia"/>
            <w:color w:val="1155CC"/>
            <w:u w:val="single"/>
          </w:rPr>
          <w:t>15</w:t>
        </w:r>
      </w:hyperlink>
      <w:r>
        <w:rPr>
          <w:rFonts w:ascii="Georgia" w:eastAsia="Georgia" w:hAnsi="Georgia" w:cs="Georgia"/>
        </w:rPr>
        <w:t>],</w:t>
      </w:r>
      <w:hyperlink r:id="rId33">
        <w:r w:rsidR="00E438DA">
          <w:rPr>
            <w:rFonts w:ascii="Georgia" w:eastAsia="Georgia" w:hAnsi="Georgia" w:cs="Georgia"/>
            <w:color w:val="1155CC"/>
            <w:u w:val="single"/>
          </w:rPr>
          <w:t>[16]</w:t>
        </w:r>
      </w:hyperlink>
      <w:r>
        <w:rPr>
          <w:rFonts w:ascii="Georgia" w:eastAsia="Georgia" w:hAnsi="Georgia" w:cs="Georgia"/>
        </w:rPr>
        <w:t>,</w:t>
      </w:r>
      <w:hyperlink r:id="rId34">
        <w:r w:rsidR="00E438DA">
          <w:rPr>
            <w:rFonts w:ascii="Georgia" w:eastAsia="Georgia" w:hAnsi="Georgia" w:cs="Georgia"/>
            <w:color w:val="1155CC"/>
            <w:u w:val="single"/>
          </w:rPr>
          <w:t>[17]</w:t>
        </w:r>
      </w:hyperlink>
      <w:r>
        <w:rPr>
          <w:rFonts w:ascii="Georgia" w:eastAsia="Georgia" w:hAnsi="Georgia" w:cs="Georgia"/>
        </w:rPr>
        <w:t>,</w:t>
      </w:r>
      <w:hyperlink r:id="rId35">
        <w:r w:rsidR="00E438DA">
          <w:rPr>
            <w:rFonts w:ascii="Georgia" w:eastAsia="Georgia" w:hAnsi="Georgia" w:cs="Georgia"/>
            <w:color w:val="1155CC"/>
            <w:u w:val="single"/>
          </w:rPr>
          <w:t>[18]</w:t>
        </w:r>
      </w:hyperlink>
      <w:r>
        <w:rPr>
          <w:rFonts w:ascii="Georgia" w:eastAsia="Georgia" w:hAnsi="Georgia" w:cs="Georgia"/>
        </w:rPr>
        <w:t xml:space="preserve">]. Meanwhile, studies on the effects of the interactions between finance and institutions on renewable energy transition are scanty. A positive trend in this space is emerging with research </w:t>
      </w:r>
      <w:proofErr w:type="spellStart"/>
      <w:r>
        <w:rPr>
          <w:rFonts w:ascii="Georgia" w:eastAsia="Georgia" w:hAnsi="Georgia" w:cs="Georgia"/>
        </w:rPr>
        <w:t>focussing</w:t>
      </w:r>
      <w:proofErr w:type="spellEnd"/>
      <w:r>
        <w:rPr>
          <w:rFonts w:ascii="Georgia" w:eastAsia="Georgia" w:hAnsi="Georgia" w:cs="Georgia"/>
        </w:rPr>
        <w:t xml:space="preserve"> on multi-faceted relationships and network-effects between institutional quality, financial development, economic growth and energy transition [[</w:t>
      </w:r>
      <w:hyperlink r:id="rId36">
        <w:r w:rsidR="00E438DA">
          <w:rPr>
            <w:rFonts w:ascii="Georgia" w:eastAsia="Georgia" w:hAnsi="Georgia" w:cs="Georgia"/>
            <w:color w:val="1155CC"/>
            <w:u w:val="single"/>
          </w:rPr>
          <w:t>19</w:t>
        </w:r>
      </w:hyperlink>
      <w:r>
        <w:rPr>
          <w:rFonts w:ascii="Georgia" w:eastAsia="Georgia" w:hAnsi="Georgia" w:cs="Georgia"/>
        </w:rPr>
        <w:t>],[</w:t>
      </w:r>
      <w:hyperlink r:id="rId37">
        <w:r w:rsidR="00E438DA">
          <w:rPr>
            <w:rFonts w:ascii="Georgia" w:eastAsia="Georgia" w:hAnsi="Georgia" w:cs="Georgia"/>
            <w:color w:val="1155CC"/>
            <w:u w:val="single"/>
          </w:rPr>
          <w:t>20</w:t>
        </w:r>
      </w:hyperlink>
      <w:r>
        <w:rPr>
          <w:rFonts w:ascii="Georgia" w:eastAsia="Georgia" w:hAnsi="Georgia" w:cs="Georgia"/>
        </w:rPr>
        <w:t>]].</w:t>
      </w:r>
    </w:p>
    <w:p w:rsidR="00E438DA" w:rsidRDefault="00000000">
      <w:pPr>
        <w:spacing w:before="240" w:after="240"/>
        <w:jc w:val="both"/>
        <w:rPr>
          <w:rFonts w:ascii="Georgia" w:eastAsia="Georgia" w:hAnsi="Georgia" w:cs="Georgia"/>
        </w:rPr>
      </w:pPr>
      <w:r>
        <w:rPr>
          <w:rFonts w:ascii="Georgia" w:eastAsia="Georgia" w:hAnsi="Georgia" w:cs="Georgia"/>
        </w:rPr>
        <w:t>The research entailed in our core paper aims to conduct an investigation into the complex interplay between financial development (FD), institutional quality (INST), and renewable energy transition in lower middle-income countries. The study distinguishes itself through several innovative methodological approaches and crucial findings. At its core, the research employs advanced second-generation estimators, including the Driscoll-Kraay nonparametric covariance matrix estimator, pooled mean group (PMG), augmented mean group (AMG), and common correlated effects mean group (CCEMG). This sophisticated methodological framework addresses critical econometric challenges such as cross-sectional dependence and heterogeneity, which previous studies often overlooked.</w:t>
      </w:r>
    </w:p>
    <w:p w:rsidR="00E438DA" w:rsidRDefault="00000000">
      <w:pPr>
        <w:spacing w:before="240" w:after="240"/>
        <w:jc w:val="both"/>
        <w:rPr>
          <w:rFonts w:ascii="Georgia" w:eastAsia="Georgia" w:hAnsi="Georgia" w:cs="Georgia"/>
        </w:rPr>
      </w:pPr>
      <w:r>
        <w:rPr>
          <w:rFonts w:ascii="Georgia" w:eastAsia="Georgia" w:hAnsi="Georgia" w:cs="Georgia"/>
        </w:rPr>
        <w:t>A key innovation of the study lies in its exploration of institutional quality thresholds - a critical level that institutions must surpass to effectively drive financial development toward renewable energy investments. The findings reveal a concerning reality: Lower middle-income countries predominantly operate below this threshold, resulting in institutional frameworks that inadvertently undermine rather than support financial development's positive influence on renewable energy transition. The research demonstrates that while financial development independently shows positive effects on renewable energy adoption, weak institutional quality creates systemic vulnerabilities that allow for resource diversion away from renewable energy initiatives.</w:t>
      </w:r>
    </w:p>
    <w:p w:rsidR="00E438DA" w:rsidRDefault="00000000">
      <w:pPr>
        <w:spacing w:before="240" w:after="240"/>
        <w:jc w:val="both"/>
        <w:rPr>
          <w:rFonts w:ascii="Georgia" w:eastAsia="Georgia" w:hAnsi="Georgia" w:cs="Georgia"/>
        </w:rPr>
      </w:pPr>
      <w:r>
        <w:rPr>
          <w:rFonts w:ascii="Georgia" w:eastAsia="Georgia" w:hAnsi="Georgia" w:cs="Georgia"/>
        </w:rPr>
        <w:t>This theory bridges the inherent and unexplained lapses and gaps in the nexus to highlight how institutions moderate and influence the transmission of financial development to spur the switch to renewable energy. The merging of these theories reveals that a well-developed financial system without efficient institutions may not succeed in accelerating the renewable energy transition.</w:t>
      </w:r>
    </w:p>
    <w:p w:rsidR="00E438DA" w:rsidRDefault="00000000">
      <w:pPr>
        <w:spacing w:before="240" w:after="240"/>
        <w:jc w:val="both"/>
        <w:rPr>
          <w:rFonts w:ascii="Georgia" w:eastAsia="Georgia" w:hAnsi="Georgia" w:cs="Georgia"/>
        </w:rPr>
      </w:pPr>
      <w:r>
        <w:rPr>
          <w:rFonts w:ascii="Georgia" w:eastAsia="Georgia" w:hAnsi="Georgia" w:cs="Georgia"/>
        </w:rPr>
        <w:t>Complementing this depth of research with our allied research papers collected on this subject-matter, an extensive breadth of insights have been covered using the data (including renewable energy data) sourced from the World Bank’s World Development Indicators (WDI), World Governance indicator (WGI) and the Material Flows website(</w:t>
      </w:r>
      <w:hyperlink r:id="rId38">
        <w:r w:rsidR="00E438DA">
          <w:rPr>
            <w:rFonts w:ascii="Georgia" w:eastAsia="Georgia" w:hAnsi="Georgia" w:cs="Georgia"/>
            <w:color w:val="1155CC"/>
            <w:u w:val="single"/>
          </w:rPr>
          <w:t>http://www.materialflows.net/</w:t>
        </w:r>
      </w:hyperlink>
      <w:r>
        <w:rPr>
          <w:rFonts w:ascii="Georgia" w:eastAsia="Georgia" w:hAnsi="Georgia" w:cs="Georgia"/>
        </w:rPr>
        <w:t>).</w:t>
      </w:r>
    </w:p>
    <w:p w:rsidR="00E438DA" w:rsidRDefault="00000000">
      <w:pPr>
        <w:jc w:val="both"/>
        <w:rPr>
          <w:rFonts w:ascii="Georgia" w:eastAsia="Georgia" w:hAnsi="Georgia" w:cs="Georgia"/>
        </w:rPr>
      </w:pPr>
      <w:r>
        <w:rPr>
          <w:rFonts w:ascii="Georgia" w:eastAsia="Georgia" w:hAnsi="Georgia" w:cs="Georgia"/>
        </w:rPr>
        <w:t xml:space="preserve">Strong institutional architectures are enablers to prevent the financial systems' inherent flaws, which check opportunistic </w:t>
      </w:r>
      <w:proofErr w:type="spellStart"/>
      <w:r>
        <w:rPr>
          <w:rFonts w:ascii="Georgia" w:eastAsia="Georgia" w:hAnsi="Georgia" w:cs="Georgia"/>
        </w:rPr>
        <w:t>behaviour</w:t>
      </w:r>
      <w:proofErr w:type="spellEnd"/>
      <w:r>
        <w:rPr>
          <w:rFonts w:ascii="Georgia" w:eastAsia="Georgia" w:hAnsi="Georgia" w:cs="Georgia"/>
        </w:rPr>
        <w:t xml:space="preserve">, deceptive </w:t>
      </w:r>
      <w:proofErr w:type="spellStart"/>
      <w:r>
        <w:rPr>
          <w:rFonts w:ascii="Georgia" w:eastAsia="Georgia" w:hAnsi="Georgia" w:cs="Georgia"/>
        </w:rPr>
        <w:t>manoeuvres</w:t>
      </w:r>
      <w:proofErr w:type="spellEnd"/>
      <w:r>
        <w:rPr>
          <w:rFonts w:ascii="Georgia" w:eastAsia="Georgia" w:hAnsi="Georgia" w:cs="Georgia"/>
        </w:rPr>
        <w:t xml:space="preserve">, and rent-seeking activities. As a result, financial resources are effectively utilized to finance the shift to clean energies and renewable energy sources. Strong institutions are crucial for increasing financial sector efficiency and prioritizing resource allocation to clean energy production and consumption to decarbonize the economy. Effective institutions provide momentum and impulses for the financial sector to prune finance for dirty energy consumption and use it to </w:t>
      </w:r>
      <w:proofErr w:type="spellStart"/>
      <w:r>
        <w:rPr>
          <w:rFonts w:ascii="Georgia" w:eastAsia="Georgia" w:hAnsi="Georgia" w:cs="Georgia"/>
        </w:rPr>
        <w:t>favour</w:t>
      </w:r>
      <w:proofErr w:type="spellEnd"/>
      <w:r>
        <w:rPr>
          <w:rFonts w:ascii="Georgia" w:eastAsia="Georgia" w:hAnsi="Georgia" w:cs="Georgia"/>
        </w:rPr>
        <w:t xml:space="preserve"> renewable energy. An improved </w:t>
      </w:r>
      <w:r>
        <w:rPr>
          <w:rFonts w:ascii="Georgia" w:eastAsia="Georgia" w:hAnsi="Georgia" w:cs="Georgia"/>
        </w:rPr>
        <w:lastRenderedPageBreak/>
        <w:t>institution allows stakeholders and government agencies to provide the institutional support required to motivate the financial sector to commit more resources and loan schemes to finance high-powered infrastructures needed by renewable energy investors and consumers. Thus, efficient institutions supplement financial development to accelerate the transition to renewable energy.</w:t>
      </w:r>
    </w:p>
    <w:p w:rsidR="00E438DA" w:rsidRDefault="00E438DA">
      <w:pPr>
        <w:jc w:val="both"/>
        <w:rPr>
          <w:rFonts w:ascii="Georgia" w:eastAsia="Georgia" w:hAnsi="Georgia" w:cs="Georgia"/>
        </w:rPr>
      </w:pPr>
    </w:p>
    <w:p w:rsidR="00E438DA" w:rsidRDefault="00000000">
      <w:pPr>
        <w:pStyle w:val="Heading1"/>
        <w:jc w:val="both"/>
        <w:rPr>
          <w:rFonts w:ascii="Georgia" w:eastAsia="Georgia" w:hAnsi="Georgia" w:cs="Georgia"/>
        </w:rPr>
      </w:pPr>
      <w:bookmarkStart w:id="15" w:name="_heading=h.3znysh7" w:colFirst="0" w:colLast="0"/>
      <w:bookmarkEnd w:id="15"/>
      <w:r>
        <w:rPr>
          <w:rFonts w:ascii="Georgia" w:eastAsia="Georgia" w:hAnsi="Georgia" w:cs="Georgia"/>
        </w:rPr>
        <w:t>2. Literature Review</w:t>
      </w:r>
    </w:p>
    <w:p w:rsidR="00E438DA" w:rsidRDefault="00E438DA"/>
    <w:p w:rsidR="00E438DA" w:rsidRDefault="00000000">
      <w:pPr>
        <w:pStyle w:val="Heading4"/>
        <w:jc w:val="both"/>
        <w:rPr>
          <w:rFonts w:ascii="Georgia" w:eastAsia="Georgia" w:hAnsi="Georgia" w:cs="Georgia"/>
        </w:rPr>
      </w:pPr>
      <w:bookmarkStart w:id="16" w:name="_heading=h.2et92p0" w:colFirst="0" w:colLast="0"/>
      <w:bookmarkEnd w:id="16"/>
      <w:r>
        <w:rPr>
          <w:rFonts w:ascii="Georgia" w:eastAsia="Georgia" w:hAnsi="Georgia" w:cs="Georgia"/>
          <w:b/>
          <w:color w:val="000000"/>
        </w:rPr>
        <w:t>Financial Development as a Catalyst for Renewable Energy Transition</w:t>
      </w:r>
    </w:p>
    <w:p w:rsidR="00E438DA" w:rsidRDefault="00000000">
      <w:pPr>
        <w:spacing w:before="240" w:after="240"/>
        <w:jc w:val="both"/>
        <w:rPr>
          <w:rFonts w:ascii="Georgia" w:eastAsia="Georgia" w:hAnsi="Georgia" w:cs="Georgia"/>
        </w:rPr>
      </w:pPr>
      <w:r>
        <w:rPr>
          <w:rFonts w:ascii="Georgia" w:eastAsia="Georgia" w:hAnsi="Georgia" w:cs="Georgia"/>
        </w:rPr>
        <w:t xml:space="preserve">Financial development and institutions have fundamental roles in the adoption of renewable energy (REN). The relationship expands through three major channels according to Anton &amp; </w:t>
      </w:r>
      <w:proofErr w:type="spellStart"/>
      <w:r>
        <w:rPr>
          <w:rFonts w:ascii="Georgia" w:eastAsia="Georgia" w:hAnsi="Georgia" w:cs="Georgia"/>
        </w:rPr>
        <w:t>Nucu</w:t>
      </w:r>
      <w:proofErr w:type="spellEnd"/>
      <w:r>
        <w:rPr>
          <w:rFonts w:ascii="Georgia" w:eastAsia="Georgia" w:hAnsi="Georgia" w:cs="Georgia"/>
        </w:rPr>
        <w:t xml:space="preserve"> (2020), Majeed &amp; Hussain (2022), and </w:t>
      </w:r>
      <w:proofErr w:type="spellStart"/>
      <w:r>
        <w:rPr>
          <w:rFonts w:ascii="Georgia" w:eastAsia="Georgia" w:hAnsi="Georgia" w:cs="Georgia"/>
        </w:rPr>
        <w:t>Sadorsky</w:t>
      </w:r>
      <w:proofErr w:type="spellEnd"/>
      <w:r>
        <w:rPr>
          <w:rFonts w:ascii="Georgia" w:eastAsia="Georgia" w:hAnsi="Georgia" w:cs="Georgia"/>
        </w:rPr>
        <w:t xml:space="preserve"> (2011): direct effects (increasing the ability of the consumer to access financial resources), business effects (enabling renewable energy firms' access to funds), and wealth effects (enabling stock market development to obtain the needed funds).</w:t>
      </w:r>
    </w:p>
    <w:p w:rsidR="00E438DA" w:rsidRDefault="00000000">
      <w:pPr>
        <w:spacing w:before="240" w:after="240"/>
        <w:jc w:val="both"/>
        <w:rPr>
          <w:rFonts w:ascii="Georgia" w:eastAsia="Georgia" w:hAnsi="Georgia" w:cs="Georgia"/>
        </w:rPr>
      </w:pPr>
      <w:r>
        <w:rPr>
          <w:rFonts w:ascii="Georgia" w:eastAsia="Georgia" w:hAnsi="Georgia" w:cs="Georgia"/>
        </w:rPr>
        <w:t xml:space="preserve">Most of the empirical data confirm the role of financial development in the transition to renewable energy. </w:t>
      </w:r>
      <w:proofErr w:type="spellStart"/>
      <w:r>
        <w:rPr>
          <w:rFonts w:ascii="Georgia" w:eastAsia="Georgia" w:hAnsi="Georgia" w:cs="Georgia"/>
        </w:rPr>
        <w:t>Alsagr</w:t>
      </w:r>
      <w:proofErr w:type="spellEnd"/>
      <w:r>
        <w:rPr>
          <w:rFonts w:ascii="Georgia" w:eastAsia="Georgia" w:hAnsi="Georgia" w:cs="Georgia"/>
        </w:rPr>
        <w:t xml:space="preserve"> and van Hemmen (2021) employed two-step GMM estimates of the emerging economies (1996–2015) and confirmed that financial development enables renewable energy transition. This concurs with </w:t>
      </w:r>
      <w:proofErr w:type="spellStart"/>
      <w:r>
        <w:rPr>
          <w:rFonts w:ascii="Georgia" w:eastAsia="Georgia" w:hAnsi="Georgia" w:cs="Georgia"/>
        </w:rPr>
        <w:t>Sadorsky's</w:t>
      </w:r>
      <w:proofErr w:type="spellEnd"/>
      <w:r>
        <w:rPr>
          <w:rFonts w:ascii="Georgia" w:eastAsia="Georgia" w:hAnsi="Georgia" w:cs="Georgia"/>
        </w:rPr>
        <w:t xml:space="preserve"> (2010) evidence that financial development diminishes the costs of credit and finance-associated risks, enhancing the accountability of resource allocation. For the MENA region, Belaïd et al. (2021) proved that financial development enhances renewable energy generation in nine countries with the help of quantile regression in panels. According to the matrix of literature, 32 out of the 47 studies reviewed proved the supporting role of FD in the transition to renewable energy.</w:t>
      </w:r>
    </w:p>
    <w:p w:rsidR="00E438DA" w:rsidRDefault="00000000">
      <w:pPr>
        <w:spacing w:before="240" w:after="240"/>
        <w:jc w:val="both"/>
        <w:rPr>
          <w:rFonts w:ascii="Georgia" w:eastAsia="Georgia" w:hAnsi="Georgia" w:cs="Georgia"/>
        </w:rPr>
      </w:pPr>
      <w:r>
        <w:rPr>
          <w:rFonts w:ascii="Georgia" w:eastAsia="Georgia" w:hAnsi="Georgia" w:cs="Georgia"/>
        </w:rPr>
        <w:t>Financial market development impacts renewable energy technologies (RETs) by alleviating adverse selection and moral hazard issues and, consequently, lowering external costs of finance for the renewable industries. For equity markets, development spurs the deployment of renewable energy through various pathways. First, developed equity markets offer market prices of equilibrium that capture market data in the context of rational expectations (Grossman, 1976), lowering the asymmetry of information. Second, they mitigate liquidity and idiosyncratic risks. Levine (1997, 2005) points out that developed equity markets allow trade to take place and make investors at ease with long-run innovative projects, as well as offer tools of risk hedging and diversification. The IEA (2014) points out the ways in which investors have become better at coping with energy project-specific risks through financial tools.</w:t>
      </w:r>
    </w:p>
    <w:p w:rsidR="00E438DA" w:rsidRDefault="00000000">
      <w:pPr>
        <w:spacing w:before="240" w:after="240"/>
        <w:jc w:val="both"/>
        <w:rPr>
          <w:rFonts w:ascii="Georgia" w:eastAsia="Georgia" w:hAnsi="Georgia" w:cs="Georgia"/>
        </w:rPr>
      </w:pPr>
      <w:r>
        <w:rPr>
          <w:rFonts w:ascii="Georgia" w:eastAsia="Georgia" w:hAnsi="Georgia" w:cs="Georgia"/>
        </w:rPr>
        <w:t xml:space="preserve">For credit markets, development fosters renewable energy by allocating resources efficiently. As Greenwood and Jovanovic (1990) contend, banks </w:t>
      </w:r>
      <w:proofErr w:type="spellStart"/>
      <w:r>
        <w:rPr>
          <w:rFonts w:ascii="Georgia" w:eastAsia="Georgia" w:hAnsi="Georgia" w:cs="Georgia"/>
        </w:rPr>
        <w:t>specialise</w:t>
      </w:r>
      <w:proofErr w:type="spellEnd"/>
      <w:r>
        <w:rPr>
          <w:rFonts w:ascii="Georgia" w:eastAsia="Georgia" w:hAnsi="Georgia" w:cs="Georgia"/>
        </w:rPr>
        <w:t xml:space="preserve"> in choosing promising firms. Credit markets also efficiently monitor managers, with banks acting as "delegated monitors" (Diamond, 1984). </w:t>
      </w:r>
      <w:proofErr w:type="spellStart"/>
      <w:r>
        <w:rPr>
          <w:rFonts w:ascii="Georgia" w:eastAsia="Georgia" w:hAnsi="Georgia" w:cs="Georgia"/>
        </w:rPr>
        <w:t>Gerschenkron</w:t>
      </w:r>
      <w:proofErr w:type="spellEnd"/>
      <w:r>
        <w:rPr>
          <w:rFonts w:ascii="Georgia" w:eastAsia="Georgia" w:hAnsi="Georgia" w:cs="Georgia"/>
        </w:rPr>
        <w:t xml:space="preserve"> (1962) and Levine (1997) write that banks reduce the costs of obtaining </w:t>
      </w:r>
      <w:r>
        <w:rPr>
          <w:rFonts w:ascii="Georgia" w:eastAsia="Georgia" w:hAnsi="Georgia" w:cs="Georgia"/>
        </w:rPr>
        <w:lastRenderedPageBreak/>
        <w:t xml:space="preserve">information by maintaining long-term relations with firms. Stulz (2000) also finds that financing in stages by banks facilitates high-tech projects, efficiently </w:t>
      </w:r>
      <w:proofErr w:type="spellStart"/>
      <w:r>
        <w:rPr>
          <w:rFonts w:ascii="Georgia" w:eastAsia="Georgia" w:hAnsi="Georgia" w:cs="Georgia"/>
        </w:rPr>
        <w:t>channelling</w:t>
      </w:r>
      <w:proofErr w:type="spellEnd"/>
      <w:r>
        <w:rPr>
          <w:rFonts w:ascii="Georgia" w:eastAsia="Georgia" w:hAnsi="Georgia" w:cs="Georgia"/>
        </w:rPr>
        <w:t xml:space="preserve"> funds into innovative projects. Generally, the evidence of Beck and Levine (2002) indicates that widespread financial market development advances external finance-based industries' growth, and hence it will also benefit renewable energy industries.</w:t>
      </w:r>
    </w:p>
    <w:p w:rsidR="00E438DA" w:rsidRDefault="00E438DA">
      <w:pPr>
        <w:spacing w:before="240" w:after="240"/>
        <w:jc w:val="both"/>
        <w:rPr>
          <w:rFonts w:ascii="Georgia" w:eastAsia="Georgia" w:hAnsi="Georgia" w:cs="Georgia"/>
        </w:rPr>
      </w:pPr>
    </w:p>
    <w:p w:rsidR="00E438DA" w:rsidRDefault="00E438DA">
      <w:pPr>
        <w:spacing w:before="240" w:after="240"/>
        <w:jc w:val="both"/>
        <w:rPr>
          <w:rFonts w:ascii="Georgia" w:eastAsia="Georgia" w:hAnsi="Georgia" w:cs="Georgia"/>
        </w:rPr>
      </w:pPr>
    </w:p>
    <w:p w:rsidR="00E438DA" w:rsidRDefault="00000000">
      <w:pPr>
        <w:spacing w:before="240" w:after="240"/>
        <w:jc w:val="both"/>
        <w:rPr>
          <w:rFonts w:ascii="Georgia" w:eastAsia="Georgia" w:hAnsi="Georgia" w:cs="Georgia"/>
        </w:rPr>
      </w:pPr>
      <w:r>
        <w:rPr>
          <w:rFonts w:ascii="Georgia" w:eastAsia="Georgia" w:hAnsi="Georgia" w:cs="Georgia"/>
          <w:b/>
        </w:rPr>
        <w:t>Mixed FD Impact on Renewable Energy</w:t>
      </w:r>
      <w:r>
        <w:rPr>
          <w:rFonts w:ascii="Georgia" w:eastAsia="Georgia" w:hAnsi="Georgia" w:cs="Georgia"/>
          <w:b/>
        </w:rPr>
        <w:br/>
      </w:r>
      <w:r>
        <w:rPr>
          <w:rFonts w:ascii="Georgia" w:eastAsia="Georgia" w:hAnsi="Georgia" w:cs="Georgia"/>
        </w:rPr>
        <w:t xml:space="preserve"> Despite substantial evidence supporting financial development's positive role, some studies show contrary results. Research by Ankrah and Lin (2020) and Saadaoui and </w:t>
      </w:r>
      <w:proofErr w:type="spellStart"/>
      <w:r>
        <w:rPr>
          <w:rFonts w:ascii="Georgia" w:eastAsia="Georgia" w:hAnsi="Georgia" w:cs="Georgia"/>
        </w:rPr>
        <w:t>Chtourou</w:t>
      </w:r>
      <w:proofErr w:type="spellEnd"/>
      <w:r>
        <w:rPr>
          <w:rFonts w:ascii="Georgia" w:eastAsia="Georgia" w:hAnsi="Georgia" w:cs="Georgia"/>
        </w:rPr>
        <w:t xml:space="preserve"> (2022) found that FD may hinder renewable energy transition, suggesting it favors fossil fuel technologies. Others like Assi et al. (2021) found FD's role to be insignificant. Some researchers, including </w:t>
      </w:r>
      <w:proofErr w:type="spellStart"/>
      <w:r>
        <w:rPr>
          <w:rFonts w:ascii="Georgia" w:eastAsia="Georgia" w:hAnsi="Georgia" w:cs="Georgia"/>
        </w:rPr>
        <w:t>Khezri</w:t>
      </w:r>
      <w:proofErr w:type="spellEnd"/>
      <w:r>
        <w:rPr>
          <w:rFonts w:ascii="Georgia" w:eastAsia="Georgia" w:hAnsi="Georgia" w:cs="Georgia"/>
        </w:rPr>
        <w:t xml:space="preserve"> et al. (2021) and Saadaoui (2022), reported mixed findings on FD's impact.</w:t>
      </w:r>
    </w:p>
    <w:p w:rsidR="00E438DA" w:rsidRDefault="00000000">
      <w:pPr>
        <w:spacing w:before="240" w:after="240"/>
        <w:jc w:val="both"/>
        <w:rPr>
          <w:rFonts w:ascii="Georgia" w:eastAsia="Georgia" w:hAnsi="Georgia" w:cs="Georgia"/>
        </w:rPr>
      </w:pPr>
      <w:r>
        <w:rPr>
          <w:rFonts w:ascii="Georgia" w:eastAsia="Georgia" w:hAnsi="Georgia" w:cs="Georgia"/>
        </w:rPr>
        <w:t>Financial development has heterogeneous impacts on the adoption of renewable energy in various environments. Kim and Park (2016), and Le et al. (2020) observed positive impacts in the case of developed financial markets, but Ankrah and Lin (2020) observed negative impacts in the case of Ghana. Such contrasting results imply the possibility that financial development impacts might be conditional on country-level factors and the general institutional environment.</w:t>
      </w:r>
    </w:p>
    <w:p w:rsidR="00E438DA" w:rsidRDefault="00000000">
      <w:pPr>
        <w:pStyle w:val="Heading2"/>
        <w:keepNext w:val="0"/>
        <w:keepLines w:val="0"/>
        <w:spacing w:after="80"/>
        <w:jc w:val="both"/>
        <w:rPr>
          <w:rFonts w:ascii="Georgia" w:eastAsia="Georgia" w:hAnsi="Georgia" w:cs="Georgia"/>
          <w:b/>
          <w:sz w:val="22"/>
          <w:szCs w:val="22"/>
        </w:rPr>
      </w:pPr>
      <w:bookmarkStart w:id="17" w:name="_heading=h.ixe4mfp878y4" w:colFirst="0" w:colLast="0"/>
      <w:bookmarkEnd w:id="17"/>
      <w:r>
        <w:rPr>
          <w:rFonts w:ascii="Georgia" w:eastAsia="Georgia" w:hAnsi="Georgia" w:cs="Georgia"/>
          <w:b/>
          <w:sz w:val="22"/>
          <w:szCs w:val="22"/>
        </w:rPr>
        <w:t>Institutional Quality and Renewable Energy Transition</w:t>
      </w:r>
    </w:p>
    <w:p w:rsidR="00E438DA" w:rsidRDefault="00000000">
      <w:pPr>
        <w:spacing w:before="240" w:after="240"/>
        <w:jc w:val="both"/>
        <w:rPr>
          <w:rFonts w:ascii="Georgia" w:eastAsia="Georgia" w:hAnsi="Georgia" w:cs="Georgia"/>
        </w:rPr>
      </w:pPr>
      <w:r>
        <w:rPr>
          <w:rFonts w:ascii="Georgia" w:eastAsia="Georgia" w:hAnsi="Georgia" w:cs="Georgia"/>
        </w:rPr>
        <w:t xml:space="preserve"> The institutional context strongly influences the interaction between financial development and the adoption of renewable energies. According to Kassi et al. (2023), corrupt institutions promote rent-seeking and opportunistic behavior and the misappropriation of funds to be used for renewable energy programs. Corruption and weak institutions affect the capability of the financial sector to finance renewable energy investments, while the opposite enables effective resource allocation to clean energy projects.</w:t>
      </w:r>
    </w:p>
    <w:p w:rsidR="00E438DA" w:rsidRDefault="00000000">
      <w:pPr>
        <w:spacing w:before="240" w:after="240"/>
        <w:jc w:val="both"/>
        <w:rPr>
          <w:rFonts w:ascii="Georgia" w:eastAsia="Georgia" w:hAnsi="Georgia" w:cs="Georgia"/>
        </w:rPr>
      </w:pPr>
      <w:r>
        <w:rPr>
          <w:rFonts w:ascii="Georgia" w:eastAsia="Georgia" w:hAnsi="Georgia" w:cs="Georgia"/>
        </w:rPr>
        <w:t xml:space="preserve">Institutional quality also impacts the transition to renewable energy greatly. Wu and Broadstock (2015) reported that institutional quality has a positive effect on the utilization of renewable energy in developing nations. </w:t>
      </w:r>
      <w:proofErr w:type="spellStart"/>
      <w:r>
        <w:rPr>
          <w:rFonts w:ascii="Georgia" w:eastAsia="Georgia" w:hAnsi="Georgia" w:cs="Georgia"/>
        </w:rPr>
        <w:t>Bellakhal</w:t>
      </w:r>
      <w:proofErr w:type="spellEnd"/>
      <w:r>
        <w:rPr>
          <w:rFonts w:ascii="Georgia" w:eastAsia="Georgia" w:hAnsi="Georgia" w:cs="Georgia"/>
        </w:rPr>
        <w:t xml:space="preserve"> et al. (2019) proved the relationship between high institutional quality and investment in renewable energy in MENA countries. Institutional quality positively affecting the utilization of renewable energy in 38 countries was confirmed by Uzar (2020).</w:t>
      </w:r>
    </w:p>
    <w:p w:rsidR="00E438DA" w:rsidRDefault="00000000">
      <w:pPr>
        <w:spacing w:before="240" w:after="240"/>
        <w:jc w:val="both"/>
        <w:rPr>
          <w:rFonts w:ascii="Georgia" w:eastAsia="Georgia" w:hAnsi="Georgia" w:cs="Georgia"/>
        </w:rPr>
      </w:pPr>
      <w:r>
        <w:rPr>
          <w:rFonts w:ascii="Georgia" w:eastAsia="Georgia" w:hAnsi="Georgia" w:cs="Georgia"/>
        </w:rPr>
        <w:t xml:space="preserve">Regarding institutional influence on economic growth, Butkiewicz and </w:t>
      </w:r>
      <w:proofErr w:type="spellStart"/>
      <w:r>
        <w:rPr>
          <w:rFonts w:ascii="Georgia" w:eastAsia="Georgia" w:hAnsi="Georgia" w:cs="Georgia"/>
        </w:rPr>
        <w:t>Yanikkaya</w:t>
      </w:r>
      <w:proofErr w:type="spellEnd"/>
      <w:r>
        <w:rPr>
          <w:rFonts w:ascii="Georgia" w:eastAsia="Georgia" w:hAnsi="Georgia" w:cs="Georgia"/>
        </w:rPr>
        <w:t xml:space="preserve"> (2006) demonstrated that rule of law aids growth, though democratic institutions showed mixed results. Boateng et al. (2021) found institutional quality promoted growth in SSA countries. However, Nair et al. (2020) noted that strong environmental regulations could impede growth in oil-exporting countries, while Salman et al. (2019) and </w:t>
      </w:r>
      <w:proofErr w:type="spellStart"/>
      <w:r>
        <w:rPr>
          <w:rFonts w:ascii="Georgia" w:eastAsia="Georgia" w:hAnsi="Georgia" w:cs="Georgia"/>
        </w:rPr>
        <w:t>Charfeddine</w:t>
      </w:r>
      <w:proofErr w:type="spellEnd"/>
      <w:r>
        <w:rPr>
          <w:rFonts w:ascii="Georgia" w:eastAsia="Georgia" w:hAnsi="Georgia" w:cs="Georgia"/>
        </w:rPr>
        <w:t xml:space="preserve"> et al. (2018) provided supporting evidence for this phenomenon.</w:t>
      </w:r>
    </w:p>
    <w:p w:rsidR="00E438DA" w:rsidRDefault="00000000">
      <w:pPr>
        <w:spacing w:before="240" w:after="240"/>
        <w:jc w:val="both"/>
        <w:rPr>
          <w:rFonts w:ascii="Georgia" w:eastAsia="Georgia" w:hAnsi="Georgia" w:cs="Georgia"/>
          <w:b/>
        </w:rPr>
      </w:pPr>
      <w:r>
        <w:rPr>
          <w:rFonts w:ascii="Georgia" w:eastAsia="Georgia" w:hAnsi="Georgia" w:cs="Georgia"/>
        </w:rPr>
        <w:lastRenderedPageBreak/>
        <w:br/>
      </w:r>
      <w:r>
        <w:rPr>
          <w:rFonts w:ascii="Georgia" w:eastAsia="Georgia" w:hAnsi="Georgia" w:cs="Georgia"/>
          <w:b/>
        </w:rPr>
        <w:t>Renewable Energy and Economic Growth Nexus</w:t>
      </w:r>
    </w:p>
    <w:p w:rsidR="00E438DA" w:rsidRDefault="00000000">
      <w:pPr>
        <w:spacing w:before="240" w:after="240"/>
        <w:jc w:val="both"/>
        <w:rPr>
          <w:rFonts w:ascii="Georgia" w:eastAsia="Georgia" w:hAnsi="Georgia" w:cs="Georgia"/>
        </w:rPr>
      </w:pPr>
      <w:r>
        <w:rPr>
          <w:rFonts w:ascii="Georgia" w:eastAsia="Georgia" w:hAnsi="Georgia" w:cs="Georgia"/>
        </w:rPr>
        <w:t xml:space="preserve">The connection between renewable energy and economic development has been a promising research scope, and results have varied in different countries and regions. Two major channels of renewable energy influencing economic growth were determined by Chien and Hu (2007, 2008), including the creation of jobs and domestic economic benefits from replacing traditional energy imports. </w:t>
      </w:r>
      <w:proofErr w:type="spellStart"/>
      <w:r>
        <w:rPr>
          <w:rFonts w:ascii="Georgia" w:eastAsia="Georgia" w:hAnsi="Georgia" w:cs="Georgia"/>
        </w:rPr>
        <w:t>Paramati</w:t>
      </w:r>
      <w:proofErr w:type="spellEnd"/>
      <w:r>
        <w:rPr>
          <w:rFonts w:ascii="Georgia" w:eastAsia="Georgia" w:hAnsi="Georgia" w:cs="Georgia"/>
        </w:rPr>
        <w:t xml:space="preserve"> et al. (2017) validated the positive role played in the growth of developing countries.</w:t>
      </w:r>
    </w:p>
    <w:p w:rsidR="00E438DA" w:rsidRDefault="00000000">
      <w:pPr>
        <w:spacing w:before="240" w:after="240"/>
        <w:jc w:val="both"/>
        <w:rPr>
          <w:rFonts w:ascii="Georgia" w:eastAsia="Georgia" w:hAnsi="Georgia" w:cs="Georgia"/>
        </w:rPr>
      </w:pPr>
      <w:r>
        <w:rPr>
          <w:rFonts w:ascii="Georgia" w:eastAsia="Georgia" w:hAnsi="Georgia" w:cs="Georgia"/>
        </w:rPr>
        <w:t xml:space="preserve">Some research established bidirectional interactions between economic growth and renewable energy. This was demonstrated for the Eurasian countries by Apergis and Payne (2010), and proved for Pakistan by Shahbaz et al. (2015). Kahia et al. (2017) also established the same conclusion for MENA countries. Chang et al. (2015), Kahia et al. (2016), and Amri (2017) all found bidirectional interactions between renewable energy consumption and economic growth for different country panels using the technique of panel data. Bulut and </w:t>
      </w:r>
      <w:proofErr w:type="spellStart"/>
      <w:r>
        <w:rPr>
          <w:rFonts w:ascii="Georgia" w:eastAsia="Georgia" w:hAnsi="Georgia" w:cs="Georgia"/>
        </w:rPr>
        <w:t>Muratoglu</w:t>
      </w:r>
      <w:proofErr w:type="spellEnd"/>
      <w:r>
        <w:rPr>
          <w:rFonts w:ascii="Georgia" w:eastAsia="Georgia" w:hAnsi="Georgia" w:cs="Georgia"/>
        </w:rPr>
        <w:t xml:space="preserve"> (2018), however, and also </w:t>
      </w:r>
      <w:proofErr w:type="spellStart"/>
      <w:r>
        <w:rPr>
          <w:rFonts w:ascii="Georgia" w:eastAsia="Georgia" w:hAnsi="Georgia" w:cs="Georgia"/>
        </w:rPr>
        <w:t>Ocal</w:t>
      </w:r>
      <w:proofErr w:type="spellEnd"/>
      <w:r>
        <w:rPr>
          <w:rFonts w:ascii="Georgia" w:eastAsia="Georgia" w:hAnsi="Georgia" w:cs="Georgia"/>
        </w:rPr>
        <w:t xml:space="preserve"> and Aslan (2013) established no significant or negative impacts in Turkey.</w:t>
      </w:r>
    </w:p>
    <w:p w:rsidR="00E438DA" w:rsidRDefault="00000000">
      <w:pPr>
        <w:spacing w:before="240" w:after="240"/>
        <w:jc w:val="both"/>
        <w:rPr>
          <w:rFonts w:ascii="Georgia" w:eastAsia="Georgia" w:hAnsi="Georgia" w:cs="Georgia"/>
        </w:rPr>
      </w:pPr>
      <w:r>
        <w:rPr>
          <w:rFonts w:ascii="Georgia" w:eastAsia="Georgia" w:hAnsi="Georgia" w:cs="Georgia"/>
        </w:rPr>
        <w:t>The different outcomes across such studies depend on differences in empirical growth models, country samples, and econometric methods employed. Omri (2014) tested four hypotheses of energy consumption and economic growth: the feedback hypothesis (33%), conservation hypothesis (34%), neutrality hypothesis (22%), and growth hypothesis (11%). Detailed research by different researchers presented different patterns across countries: some presented a development hypothesis, some exhibited a conservation hypothesis, and others showed a feedback hypothesis.</w:t>
      </w:r>
    </w:p>
    <w:p w:rsidR="00E438DA" w:rsidRDefault="00000000">
      <w:pPr>
        <w:pStyle w:val="Heading2"/>
        <w:keepNext w:val="0"/>
        <w:keepLines w:val="0"/>
        <w:spacing w:after="80"/>
        <w:jc w:val="both"/>
        <w:rPr>
          <w:rFonts w:ascii="Georgia" w:eastAsia="Georgia" w:hAnsi="Georgia" w:cs="Georgia"/>
        </w:rPr>
      </w:pPr>
      <w:bookmarkStart w:id="18" w:name="_heading=h.vdvn4sit5n0e" w:colFirst="0" w:colLast="0"/>
      <w:bookmarkEnd w:id="18"/>
      <w:r>
        <w:rPr>
          <w:rFonts w:ascii="Georgia" w:eastAsia="Georgia" w:hAnsi="Georgia" w:cs="Georgia"/>
          <w:b/>
          <w:sz w:val="22"/>
          <w:szCs w:val="22"/>
        </w:rPr>
        <w:t>Historical Evolution and Determinants of Renewable Energy Adoption</w:t>
      </w:r>
    </w:p>
    <w:p w:rsidR="00E438DA" w:rsidRDefault="00000000">
      <w:pPr>
        <w:spacing w:before="240" w:after="240"/>
        <w:jc w:val="both"/>
        <w:rPr>
          <w:rFonts w:ascii="Georgia" w:eastAsia="Georgia" w:hAnsi="Georgia" w:cs="Georgia"/>
        </w:rPr>
      </w:pPr>
      <w:proofErr w:type="spellStart"/>
      <w:r>
        <w:rPr>
          <w:rFonts w:ascii="Georgia" w:eastAsia="Georgia" w:hAnsi="Georgia" w:cs="Georgia"/>
        </w:rPr>
        <w:t>Czisch</w:t>
      </w:r>
      <w:proofErr w:type="spellEnd"/>
      <w:r>
        <w:rPr>
          <w:rFonts w:ascii="Georgia" w:eastAsia="Georgia" w:hAnsi="Georgia" w:cs="Georgia"/>
        </w:rPr>
        <w:t xml:space="preserve"> (1998) first proposed the idea of 100% renewable energy, illustrating the ability to balance energy demand and supply in Europe and North Africa. This was later followed by such research on optimal combinations of supplies by Lund (2007).</w:t>
      </w:r>
    </w:p>
    <w:p w:rsidR="00E438DA" w:rsidRDefault="00000000">
      <w:pPr>
        <w:spacing w:before="240" w:after="240"/>
        <w:jc w:val="both"/>
        <w:rPr>
          <w:rFonts w:ascii="Georgia" w:eastAsia="Georgia" w:hAnsi="Georgia" w:cs="Georgia"/>
        </w:rPr>
      </w:pPr>
      <w:proofErr w:type="spellStart"/>
      <w:r>
        <w:rPr>
          <w:rFonts w:ascii="Georgia" w:eastAsia="Georgia" w:hAnsi="Georgia" w:cs="Georgia"/>
        </w:rPr>
        <w:t>Sadorsky</w:t>
      </w:r>
      <w:proofErr w:type="spellEnd"/>
      <w:r>
        <w:rPr>
          <w:rFonts w:ascii="Georgia" w:eastAsia="Georgia" w:hAnsi="Georgia" w:cs="Georgia"/>
        </w:rPr>
        <w:t xml:space="preserve"> (2009) and Chang et al. (2009) were the first to conduct research seeking to establish the factors influencing the deployment of renewable energy. For the G7 nations, </w:t>
      </w:r>
      <w:proofErr w:type="spellStart"/>
      <w:r>
        <w:rPr>
          <w:rFonts w:ascii="Georgia" w:eastAsia="Georgia" w:hAnsi="Georgia" w:cs="Georgia"/>
        </w:rPr>
        <w:t>Sadorsky</w:t>
      </w:r>
      <w:proofErr w:type="spellEnd"/>
      <w:r>
        <w:rPr>
          <w:rFonts w:ascii="Georgia" w:eastAsia="Georgia" w:hAnsi="Georgia" w:cs="Georgia"/>
        </w:rPr>
        <w:t xml:space="preserve"> (2009) showed that economic and environmental factors were primary drivers of renewable energy requirements. Several studies investigated region-level drivers of renewable energy take-up. Aguirre &amp; Ibikunle (2014) found some government policy to be hindrances to renewable energy investments.</w:t>
      </w:r>
    </w:p>
    <w:p w:rsidR="00E438DA" w:rsidRDefault="00000000">
      <w:pPr>
        <w:spacing w:before="240" w:after="240"/>
        <w:jc w:val="both"/>
        <w:rPr>
          <w:rFonts w:ascii="Georgia" w:eastAsia="Georgia" w:hAnsi="Georgia" w:cs="Georgia"/>
        </w:rPr>
      </w:pPr>
      <w:r>
        <w:rPr>
          <w:rFonts w:ascii="Georgia" w:eastAsia="Georgia" w:hAnsi="Georgia" w:cs="Georgia"/>
        </w:rPr>
        <w:t xml:space="preserve">Omri and Nguyen (2019) in a cross-country analysis of 64 nations recognized CO₂ emissions and openness to trade as major drivers of the consumption of renewable energy. Akar (2020) discovered negative linkages between renewable energy consumption and economic growth in the Balkans. Doğan and Seker (2016, 2017) in research across 23 countries observed that the use of conventional energy will augment environmental degradation. Apergis and Payne (2010) discovered positive connections between capital formation, economic growth, </w:t>
      </w:r>
      <w:proofErr w:type="spellStart"/>
      <w:r>
        <w:rPr>
          <w:rFonts w:ascii="Georgia" w:eastAsia="Georgia" w:hAnsi="Georgia" w:cs="Georgia"/>
        </w:rPr>
        <w:t>labour</w:t>
      </w:r>
      <w:proofErr w:type="spellEnd"/>
      <w:r>
        <w:rPr>
          <w:rFonts w:ascii="Georgia" w:eastAsia="Georgia" w:hAnsi="Georgia" w:cs="Georgia"/>
        </w:rPr>
        <w:t xml:space="preserve">, and </w:t>
      </w:r>
      <w:r>
        <w:rPr>
          <w:rFonts w:ascii="Georgia" w:eastAsia="Georgia" w:hAnsi="Georgia" w:cs="Georgia"/>
        </w:rPr>
        <w:lastRenderedPageBreak/>
        <w:t>consumption of renewable energy in 20 OECD countries. Salim and Rafiq (2012) demonstrated that CO₂ emission and GDP per capita increase the consumption of renewable energy in emerging economies, while this was the case in sub-Saharan Africa for the results discovered by Silva et al. (2018).</w:t>
      </w:r>
    </w:p>
    <w:p w:rsidR="00E438DA" w:rsidRDefault="00000000">
      <w:pPr>
        <w:pStyle w:val="Heading2"/>
        <w:keepNext w:val="0"/>
        <w:keepLines w:val="0"/>
        <w:spacing w:after="80"/>
        <w:jc w:val="both"/>
        <w:rPr>
          <w:rFonts w:ascii="Georgia" w:eastAsia="Georgia" w:hAnsi="Georgia" w:cs="Georgia"/>
        </w:rPr>
      </w:pPr>
      <w:bookmarkStart w:id="19" w:name="_heading=h.wwo8967zll0k" w:colFirst="0" w:colLast="0"/>
      <w:bookmarkEnd w:id="19"/>
      <w:r>
        <w:rPr>
          <w:rFonts w:ascii="Georgia" w:eastAsia="Georgia" w:hAnsi="Georgia" w:cs="Georgia"/>
          <w:b/>
          <w:sz w:val="22"/>
          <w:szCs w:val="22"/>
        </w:rPr>
        <w:t>Methodological Approaches in Renewable Energy Research</w:t>
      </w:r>
    </w:p>
    <w:p w:rsidR="00E438DA" w:rsidRDefault="00000000">
      <w:pPr>
        <w:spacing w:before="240" w:after="240"/>
        <w:jc w:val="both"/>
        <w:rPr>
          <w:rFonts w:ascii="Georgia" w:eastAsia="Georgia" w:hAnsi="Georgia" w:cs="Georgia"/>
        </w:rPr>
      </w:pPr>
      <w:r>
        <w:rPr>
          <w:rFonts w:ascii="Georgia" w:eastAsia="Georgia" w:hAnsi="Georgia" w:cs="Georgia"/>
        </w:rPr>
        <w:t>The majority of the studies used panel data and time series analysis, although newer research makes use of Bayesian Model Averaging (BMA) to conduct broader analysis of the determinants. To mitigate the constraints of single-country studies (</w:t>
      </w:r>
      <w:proofErr w:type="spellStart"/>
      <w:r>
        <w:rPr>
          <w:rFonts w:ascii="Georgia" w:eastAsia="Georgia" w:hAnsi="Georgia" w:cs="Georgia"/>
        </w:rPr>
        <w:t>Ocal</w:t>
      </w:r>
      <w:proofErr w:type="spellEnd"/>
      <w:r>
        <w:rPr>
          <w:rFonts w:ascii="Georgia" w:eastAsia="Georgia" w:hAnsi="Georgia" w:cs="Georgia"/>
        </w:rPr>
        <w:t xml:space="preserve"> and Aslan, 2013; Lin and Moubarak, 2014; Dogan, 2015; Maji, 2015; </w:t>
      </w:r>
      <w:proofErr w:type="spellStart"/>
      <w:r>
        <w:rPr>
          <w:rFonts w:ascii="Georgia" w:eastAsia="Georgia" w:hAnsi="Georgia" w:cs="Georgia"/>
        </w:rPr>
        <w:t>Rafindadi</w:t>
      </w:r>
      <w:proofErr w:type="spellEnd"/>
      <w:r>
        <w:rPr>
          <w:rFonts w:ascii="Georgia" w:eastAsia="Georgia" w:hAnsi="Georgia" w:cs="Georgia"/>
        </w:rPr>
        <w:t xml:space="preserve"> and Ozturk, 2016), with the limitation of small sample sizes that lower the statistical analysis power, the most recent literature has made use of the panel data techniques of Pedroni (1999).</w:t>
      </w:r>
    </w:p>
    <w:p w:rsidR="00E438DA" w:rsidRDefault="00000000">
      <w:pPr>
        <w:spacing w:before="240" w:after="240"/>
        <w:jc w:val="both"/>
        <w:rPr>
          <w:rFonts w:ascii="Georgia" w:eastAsia="Georgia" w:hAnsi="Georgia" w:cs="Georgia"/>
        </w:rPr>
      </w:pPr>
      <w:r>
        <w:rPr>
          <w:rFonts w:ascii="Georgia" w:eastAsia="Georgia" w:hAnsi="Georgia" w:cs="Georgia"/>
        </w:rPr>
        <w:t xml:space="preserve">Other panel studies have revealed positive effects of renewable energy on economic growth, such as the new European member countries by Alper and Oguz (2016), 38 major renewable energy consuming countries by Bhattacharya et al. (2016), OECD countries by </w:t>
      </w:r>
      <w:proofErr w:type="spellStart"/>
      <w:r>
        <w:rPr>
          <w:rFonts w:ascii="Georgia" w:eastAsia="Georgia" w:hAnsi="Georgia" w:cs="Georgia"/>
        </w:rPr>
        <w:t>Inglesi</w:t>
      </w:r>
      <w:proofErr w:type="spellEnd"/>
      <w:r>
        <w:rPr>
          <w:rFonts w:ascii="Georgia" w:eastAsia="Georgia" w:hAnsi="Georgia" w:cs="Georgia"/>
        </w:rPr>
        <w:t xml:space="preserve">-Lotz (2016), and Eurasian oil exporting countries by Hasanov et al. (2017). For China and India, Rafiq et al. (2017) observed differing causal links between CO₂ emissions, output, and renewable energy production. For the Economic Cooperation </w:t>
      </w:r>
      <w:proofErr w:type="spellStart"/>
      <w:r>
        <w:rPr>
          <w:rFonts w:ascii="Georgia" w:eastAsia="Georgia" w:hAnsi="Georgia" w:cs="Georgia"/>
        </w:rPr>
        <w:t>Organisation</w:t>
      </w:r>
      <w:proofErr w:type="spellEnd"/>
      <w:r>
        <w:rPr>
          <w:rFonts w:ascii="Georgia" w:eastAsia="Georgia" w:hAnsi="Georgia" w:cs="Georgia"/>
        </w:rPr>
        <w:t xml:space="preserve"> countries, Mehrara et al. (2017) noted institutional environment, urban population, and human capital to be the determining factors. For EU-28 countries, renewable energy had a positive effect on economic growth, with biomass exerting the strongest effect according to the results of </w:t>
      </w:r>
      <w:proofErr w:type="spellStart"/>
      <w:r>
        <w:rPr>
          <w:rFonts w:ascii="Georgia" w:eastAsia="Georgia" w:hAnsi="Georgia" w:cs="Georgia"/>
        </w:rPr>
        <w:t>Armeanu</w:t>
      </w:r>
      <w:proofErr w:type="spellEnd"/>
      <w:r>
        <w:rPr>
          <w:rFonts w:ascii="Georgia" w:eastAsia="Georgia" w:hAnsi="Georgia" w:cs="Georgia"/>
        </w:rPr>
        <w:t xml:space="preserve"> et al. (2017).</w:t>
      </w:r>
    </w:p>
    <w:p w:rsidR="00E438DA" w:rsidRDefault="00000000">
      <w:pPr>
        <w:pStyle w:val="Heading2"/>
        <w:keepNext w:val="0"/>
        <w:keepLines w:val="0"/>
        <w:spacing w:after="80"/>
        <w:jc w:val="both"/>
        <w:rPr>
          <w:rFonts w:ascii="Georgia" w:eastAsia="Georgia" w:hAnsi="Georgia" w:cs="Georgia"/>
          <w:b/>
          <w:sz w:val="22"/>
          <w:szCs w:val="22"/>
        </w:rPr>
      </w:pPr>
      <w:bookmarkStart w:id="20" w:name="_heading=h.34kao34kd7qz" w:colFirst="0" w:colLast="0"/>
      <w:bookmarkEnd w:id="20"/>
      <w:r>
        <w:rPr>
          <w:rFonts w:ascii="Georgia" w:eastAsia="Georgia" w:hAnsi="Georgia" w:cs="Georgia"/>
          <w:b/>
          <w:sz w:val="22"/>
          <w:szCs w:val="22"/>
        </w:rPr>
        <w:t>THE RATIONALE FOR THE STUDY IN AFRICA</w:t>
      </w:r>
    </w:p>
    <w:p w:rsidR="00E438DA" w:rsidRDefault="00000000">
      <w:pPr>
        <w:spacing w:before="240" w:after="240"/>
        <w:jc w:val="both"/>
        <w:rPr>
          <w:rFonts w:ascii="Georgia" w:eastAsia="Georgia" w:hAnsi="Georgia" w:cs="Georgia"/>
        </w:rPr>
      </w:pPr>
      <w:r>
        <w:rPr>
          <w:rFonts w:ascii="Georgia" w:eastAsia="Georgia" w:hAnsi="Georgia" w:cs="Georgia"/>
        </w:rPr>
        <w:t xml:space="preserve">The African context is not yet fully explored, and there are relatively few studies that include Asongu and Odhiambo (2021), who analyze 39 sub-Saharan countries, </w:t>
      </w:r>
      <w:proofErr w:type="spellStart"/>
      <w:r>
        <w:rPr>
          <w:rFonts w:ascii="Georgia" w:eastAsia="Georgia" w:hAnsi="Georgia" w:cs="Georgia"/>
        </w:rPr>
        <w:t>Akpanke</w:t>
      </w:r>
      <w:proofErr w:type="spellEnd"/>
      <w:r>
        <w:rPr>
          <w:rFonts w:ascii="Georgia" w:eastAsia="Georgia" w:hAnsi="Georgia" w:cs="Georgia"/>
        </w:rPr>
        <w:t xml:space="preserve"> et al. (2023) analyzing 15 West African countries, and country-specific research in Nigeria (</w:t>
      </w:r>
      <w:proofErr w:type="spellStart"/>
      <w:r>
        <w:rPr>
          <w:rFonts w:ascii="Georgia" w:eastAsia="Georgia" w:hAnsi="Georgia" w:cs="Georgia"/>
        </w:rPr>
        <w:t>Dimnwobi</w:t>
      </w:r>
      <w:proofErr w:type="spellEnd"/>
      <w:r>
        <w:rPr>
          <w:rFonts w:ascii="Georgia" w:eastAsia="Georgia" w:hAnsi="Georgia" w:cs="Georgia"/>
        </w:rPr>
        <w:t xml:space="preserve"> et al., 2022; </w:t>
      </w:r>
      <w:proofErr w:type="spellStart"/>
      <w:r>
        <w:rPr>
          <w:rFonts w:ascii="Georgia" w:eastAsia="Georgia" w:hAnsi="Georgia" w:cs="Georgia"/>
        </w:rPr>
        <w:t>Somoye</w:t>
      </w:r>
      <w:proofErr w:type="spellEnd"/>
      <w:r>
        <w:rPr>
          <w:rFonts w:ascii="Georgia" w:eastAsia="Georgia" w:hAnsi="Georgia" w:cs="Georgia"/>
        </w:rPr>
        <w:t xml:space="preserve"> et al., 2022), Ghana (Ankrah and Lin, 2020; </w:t>
      </w:r>
      <w:proofErr w:type="spellStart"/>
      <w:r>
        <w:rPr>
          <w:rFonts w:ascii="Georgia" w:eastAsia="Georgia" w:hAnsi="Georgia" w:cs="Georgia"/>
        </w:rPr>
        <w:t>Kwakwa</w:t>
      </w:r>
      <w:proofErr w:type="spellEnd"/>
      <w:r>
        <w:rPr>
          <w:rFonts w:ascii="Georgia" w:eastAsia="Georgia" w:hAnsi="Georgia" w:cs="Georgia"/>
        </w:rPr>
        <w:t>, 2021; Prempeh, 2023).</w:t>
      </w:r>
    </w:p>
    <w:p w:rsidR="00E438DA" w:rsidRDefault="00000000">
      <w:pPr>
        <w:spacing w:before="240" w:after="240"/>
        <w:jc w:val="both"/>
        <w:rPr>
          <w:rFonts w:ascii="Georgia" w:eastAsia="Georgia" w:hAnsi="Georgia" w:cs="Georgia"/>
        </w:rPr>
      </w:pPr>
      <w:r>
        <w:rPr>
          <w:rFonts w:ascii="Georgia" w:eastAsia="Georgia" w:hAnsi="Georgia" w:cs="Georgia"/>
        </w:rPr>
        <w:t xml:space="preserve">Studies in Africa have largely dealt with biomass and the consumption of wood fuel (Amoo and Fagbenle, 2013; Ozturk and Bilgili, 2015; Sulaiman et al., 2017; Adewuyi and </w:t>
      </w:r>
      <w:proofErr w:type="spellStart"/>
      <w:r>
        <w:rPr>
          <w:rFonts w:ascii="Georgia" w:eastAsia="Georgia" w:hAnsi="Georgia" w:cs="Georgia"/>
        </w:rPr>
        <w:t>Awodumi</w:t>
      </w:r>
      <w:proofErr w:type="spellEnd"/>
      <w:r>
        <w:rPr>
          <w:rFonts w:ascii="Georgia" w:eastAsia="Georgia" w:hAnsi="Georgia" w:cs="Georgia"/>
        </w:rPr>
        <w:t xml:space="preserve">, 2017a). African energy consumption is dominated by traditional biomass at 81% of the energy in sub-Saharan Africa (Stecher et al., 2013). Despite the huge potential for cleaner sources of energy in Africa as reflected in the results of the survey studies (Abam et al., 2014; Adewuyi and </w:t>
      </w:r>
      <w:proofErr w:type="spellStart"/>
      <w:r>
        <w:rPr>
          <w:rFonts w:ascii="Georgia" w:eastAsia="Georgia" w:hAnsi="Georgia" w:cs="Georgia"/>
        </w:rPr>
        <w:t>Awodumi</w:t>
      </w:r>
      <w:proofErr w:type="spellEnd"/>
      <w:r>
        <w:rPr>
          <w:rFonts w:ascii="Georgia" w:eastAsia="Georgia" w:hAnsi="Georgia" w:cs="Georgia"/>
        </w:rPr>
        <w:t>, 2017b), empirical research remains limited.</w:t>
      </w:r>
    </w:p>
    <w:p w:rsidR="00E438DA" w:rsidRDefault="00000000">
      <w:pPr>
        <w:spacing w:before="240" w:after="240"/>
        <w:jc w:val="both"/>
        <w:rPr>
          <w:rFonts w:ascii="Georgia" w:eastAsia="Georgia" w:hAnsi="Georgia" w:cs="Georgia"/>
        </w:rPr>
      </w:pPr>
      <w:r>
        <w:rPr>
          <w:rFonts w:ascii="Georgia" w:eastAsia="Georgia" w:hAnsi="Georgia" w:cs="Georgia"/>
        </w:rPr>
        <w:t xml:space="preserve">The institutional component provides a critical research gap, especially within the context of Africa, insofar as the interaction between financial development and institutional quality in the promotion of renewable energy consumption needs to be further explored. This is significant in that research by Stecher et al., 2013 on Sub-Saharan Africa highlighted the significance of </w:t>
      </w:r>
      <w:proofErr w:type="spellStart"/>
      <w:r>
        <w:rPr>
          <w:rFonts w:ascii="Georgia" w:eastAsia="Georgia" w:hAnsi="Georgia" w:cs="Georgia"/>
        </w:rPr>
        <w:t>decentralised</w:t>
      </w:r>
      <w:proofErr w:type="spellEnd"/>
      <w:r>
        <w:rPr>
          <w:rFonts w:ascii="Georgia" w:eastAsia="Georgia" w:hAnsi="Georgia" w:cs="Georgia"/>
        </w:rPr>
        <w:t xml:space="preserve"> systems and the roles played by institutions in attaining the goal of universal energy access.</w:t>
      </w:r>
    </w:p>
    <w:p w:rsidR="00E438DA" w:rsidRDefault="00000000">
      <w:pPr>
        <w:pStyle w:val="Heading1"/>
        <w:jc w:val="both"/>
        <w:rPr>
          <w:rFonts w:ascii="Georgia" w:eastAsia="Georgia" w:hAnsi="Georgia" w:cs="Georgia"/>
        </w:rPr>
      </w:pPr>
      <w:bookmarkStart w:id="21" w:name="_heading=h.2jxsxqh" w:colFirst="0" w:colLast="0"/>
      <w:bookmarkEnd w:id="21"/>
      <w:r>
        <w:rPr>
          <w:rFonts w:ascii="Georgia" w:eastAsia="Georgia" w:hAnsi="Georgia" w:cs="Georgia"/>
        </w:rPr>
        <w:lastRenderedPageBreak/>
        <w:t>3. Research Gaps</w:t>
      </w:r>
    </w:p>
    <w:p w:rsidR="00E438DA" w:rsidRDefault="00E438DA">
      <w:pPr>
        <w:jc w:val="both"/>
        <w:rPr>
          <w:rFonts w:ascii="Georgia" w:eastAsia="Georgia" w:hAnsi="Georgia" w:cs="Georgia"/>
        </w:rPr>
      </w:pPr>
    </w:p>
    <w:p w:rsidR="00E438DA" w:rsidRDefault="00000000">
      <w:pPr>
        <w:jc w:val="both"/>
        <w:rPr>
          <w:rFonts w:ascii="Georgia" w:eastAsia="Georgia" w:hAnsi="Georgia" w:cs="Georgia"/>
        </w:rPr>
      </w:pPr>
      <w:r>
        <w:rPr>
          <w:rFonts w:ascii="Georgia" w:eastAsia="Georgia" w:hAnsi="Georgia" w:cs="Georgia"/>
        </w:rPr>
        <w:t xml:space="preserve">The core paper addresses several research gaps </w:t>
      </w:r>
      <w:proofErr w:type="gramStart"/>
      <w:r>
        <w:rPr>
          <w:rFonts w:ascii="Georgia" w:eastAsia="Georgia" w:hAnsi="Georgia" w:cs="Georgia"/>
        </w:rPr>
        <w:t>that  are</w:t>
      </w:r>
      <w:proofErr w:type="gramEnd"/>
      <w:r>
        <w:rPr>
          <w:rFonts w:ascii="Georgia" w:eastAsia="Georgia" w:hAnsi="Georgia" w:cs="Georgia"/>
        </w:rPr>
        <w:t xml:space="preserve"> further explored in different ways by contemporary studies and papers. For instance, recent studies [</w:t>
      </w:r>
      <w:hyperlink r:id="rId39" w:anchor="bib5">
        <w:r w:rsidR="00E438DA">
          <w:rPr>
            <w:rFonts w:ascii="Georgia" w:eastAsia="Georgia" w:hAnsi="Georgia" w:cs="Georgia"/>
            <w:color w:val="1155CC"/>
            <w:u w:val="single"/>
          </w:rPr>
          <w:t>21</w:t>
        </w:r>
      </w:hyperlink>
      <w:r>
        <w:rPr>
          <w:rFonts w:ascii="Georgia" w:eastAsia="Georgia" w:hAnsi="Georgia" w:cs="Georgia"/>
        </w:rPr>
        <w:t>] provide complementary insights into renewable energy development in developing economies, while papers expanding on the impact of financial development on renewable energy development in the MENA region, with a focus on the role of institutional and political factors [</w:t>
      </w:r>
      <w:hyperlink r:id="rId40">
        <w:r w:rsidR="00E438DA">
          <w:rPr>
            <w:rFonts w:ascii="Georgia" w:eastAsia="Georgia" w:hAnsi="Georgia" w:cs="Georgia"/>
            <w:color w:val="1155CC"/>
            <w:u w:val="single"/>
          </w:rPr>
          <w:t>22</w:t>
        </w:r>
      </w:hyperlink>
      <w:r>
        <w:rPr>
          <w:rFonts w:ascii="Georgia" w:eastAsia="Georgia" w:hAnsi="Georgia" w:cs="Georgia"/>
        </w:rPr>
        <w:t>] offer additional perspectives on environmental policy effectiveness. Research using nonlinear approaches, have found a negative and significant impact of the financial development in renewable energy consumption, suggesting the need to apply sustainable financial mechanisms, observing however that renewable energy consumption seems to be stimulated by both economic growth and institutional quality [</w:t>
      </w:r>
      <w:hyperlink r:id="rId41">
        <w:r w:rsidR="00E438DA">
          <w:rPr>
            <w:rFonts w:ascii="Georgia" w:eastAsia="Georgia" w:hAnsi="Georgia" w:cs="Georgia"/>
            <w:color w:val="1155CC"/>
            <w:u w:val="single"/>
          </w:rPr>
          <w:t>23</w:t>
        </w:r>
      </w:hyperlink>
      <w:r>
        <w:rPr>
          <w:rFonts w:ascii="Georgia" w:eastAsia="Georgia" w:hAnsi="Georgia" w:cs="Georgia"/>
        </w:rPr>
        <w:t xml:space="preserve">]. Studies </w:t>
      </w:r>
      <w:proofErr w:type="spellStart"/>
      <w:r>
        <w:rPr>
          <w:rFonts w:ascii="Georgia" w:eastAsia="Georgia" w:hAnsi="Georgia" w:cs="Georgia"/>
        </w:rPr>
        <w:t>focussing</w:t>
      </w:r>
      <w:proofErr w:type="spellEnd"/>
      <w:r>
        <w:rPr>
          <w:rFonts w:ascii="Georgia" w:eastAsia="Georgia" w:hAnsi="Georgia" w:cs="Georgia"/>
        </w:rPr>
        <w:t xml:space="preserve"> on the critical role of government in promoting clean energy initiatives in Africa have arrived at conclusions citing the observation that the size of the financial sector seems to be important only for countries with a lower share of renewables [</w:t>
      </w:r>
      <w:hyperlink r:id="rId42">
        <w:r w:rsidR="00E438DA">
          <w:rPr>
            <w:rFonts w:ascii="Georgia" w:eastAsia="Georgia" w:hAnsi="Georgia" w:cs="Georgia"/>
            <w:color w:val="1155CC"/>
            <w:u w:val="single"/>
          </w:rPr>
          <w:t>24</w:t>
        </w:r>
      </w:hyperlink>
      <w:r>
        <w:rPr>
          <w:rFonts w:ascii="Georgia" w:eastAsia="Georgia" w:hAnsi="Georgia" w:cs="Georgia"/>
        </w:rPr>
        <w:t>] dive deeper into the financial development aspects that our core paper identifies as crucial.</w:t>
      </w:r>
    </w:p>
    <w:p w:rsidR="00E438DA" w:rsidRDefault="00E438DA">
      <w:pPr>
        <w:jc w:val="both"/>
        <w:rPr>
          <w:rFonts w:ascii="Georgia" w:eastAsia="Georgia" w:hAnsi="Georgia" w:cs="Georgia"/>
        </w:rPr>
      </w:pPr>
    </w:p>
    <w:p w:rsidR="00E438DA" w:rsidRDefault="00000000">
      <w:pPr>
        <w:jc w:val="both"/>
        <w:rPr>
          <w:rFonts w:ascii="Georgia" w:eastAsia="Georgia" w:hAnsi="Georgia" w:cs="Georgia"/>
        </w:rPr>
      </w:pPr>
      <w:r>
        <w:rPr>
          <w:rFonts w:ascii="Georgia" w:eastAsia="Georgia" w:hAnsi="Georgia" w:cs="Georgia"/>
        </w:rPr>
        <w:t>Institutional Quality parameters have been defined along the lines of Voice and Accountability (VA) {2000 - 2019 WGI}, Political stability (PS) {2000 –2019 WGI}, Government Effectiveness (GE) {2000 –2019 WGI}, Regulatory services (RS) {2000 –2019 WGI}, Rule of Law (RL) {2000 –2019 WGI} Control of Corruption (CC) {2000 -2019 WGI} [</w:t>
      </w:r>
      <w:hyperlink r:id="rId43">
        <w:r w:rsidR="00E438DA">
          <w:rPr>
            <w:rFonts w:ascii="Georgia" w:eastAsia="Georgia" w:hAnsi="Georgia" w:cs="Georgia"/>
            <w:color w:val="1155CC"/>
            <w:u w:val="single"/>
          </w:rPr>
          <w:t>25</w:t>
        </w:r>
      </w:hyperlink>
      <w:r>
        <w:rPr>
          <w:rFonts w:ascii="Georgia" w:eastAsia="Georgia" w:hAnsi="Georgia" w:cs="Georgia"/>
        </w:rPr>
        <w:t>]. For added depth of research, ICRG data has also been integrated into our allied analysis [</w:t>
      </w:r>
      <w:hyperlink r:id="rId44">
        <w:r w:rsidR="00E438DA">
          <w:rPr>
            <w:rFonts w:ascii="Georgia" w:eastAsia="Georgia" w:hAnsi="Georgia" w:cs="Georgia"/>
            <w:color w:val="1155CC"/>
            <w:u w:val="single"/>
          </w:rPr>
          <w:t>26</w:t>
        </w:r>
      </w:hyperlink>
      <w:r>
        <w:rPr>
          <w:rFonts w:ascii="Georgia" w:eastAsia="Georgia" w:hAnsi="Georgia" w:cs="Georgia"/>
        </w:rPr>
        <w:t>].</w:t>
      </w:r>
    </w:p>
    <w:p w:rsidR="00E438DA" w:rsidRDefault="00E438DA">
      <w:pPr>
        <w:jc w:val="both"/>
        <w:rPr>
          <w:rFonts w:ascii="Georgia" w:eastAsia="Georgia" w:hAnsi="Georgia" w:cs="Georgia"/>
        </w:rPr>
      </w:pPr>
    </w:p>
    <w:p w:rsidR="00E438DA" w:rsidRDefault="00000000">
      <w:pPr>
        <w:jc w:val="both"/>
        <w:rPr>
          <w:rFonts w:ascii="Georgia" w:eastAsia="Georgia" w:hAnsi="Georgia" w:cs="Georgia"/>
        </w:rPr>
      </w:pPr>
      <w:r>
        <w:rPr>
          <w:rFonts w:ascii="Georgia" w:eastAsia="Georgia" w:hAnsi="Georgia" w:cs="Georgia"/>
        </w:rPr>
        <w:t>The research employs advanced second-generation estimators, including the Driscoll-Kraay nonparametric covariance matrix estimator, PMG, AMG, and CCEMG, to address critical econometric challenges such as cross-sectional dependence and heterogeneity. While advancing the understanding of finance-institution-renewable energy relationships through threshold analysis, our core paper acknowledges several limitations and future research directions. The research suggests that subsequent studies should employ time series analysis to capture country-specific characteristics for more practical policy insights. Given that income proved non-compliant in spurring Africa's clean energy transition, future research should categorize African countries by World Bank income classifications (low, lower-middle, and upper-middle) to better understand income's role in renewable energy adoption. The study's coverage was limited to thirty-four African countries due to data availability constraints, suggesting an opportunity for comprehensive continent-wide analysis when data permits. Additionally, the impact of the COVID-19 pandemic on Africa's renewable energy transition remains unexplored due to data limitations. While these limitations don't compromise the current findings, they highlight opportunities for future research to deepen understanding of Africa's renewable energy transition dynamics and associated policy implications. The identification of these research gaps has allowed us to find work that complements our core paper, and eliminates some research gaps.</w:t>
      </w:r>
    </w:p>
    <w:p w:rsidR="00E438DA" w:rsidRDefault="00E438DA">
      <w:pPr>
        <w:jc w:val="both"/>
        <w:rPr>
          <w:rFonts w:ascii="Georgia" w:eastAsia="Georgia" w:hAnsi="Georgia" w:cs="Georgia"/>
        </w:rPr>
      </w:pPr>
    </w:p>
    <w:p w:rsidR="00E438DA" w:rsidRDefault="00000000">
      <w:pPr>
        <w:spacing w:before="240" w:after="240"/>
        <w:jc w:val="both"/>
        <w:rPr>
          <w:rFonts w:ascii="Georgia" w:eastAsia="Georgia" w:hAnsi="Georgia" w:cs="Georgia"/>
          <w:color w:val="434343"/>
          <w:sz w:val="30"/>
          <w:szCs w:val="30"/>
        </w:rPr>
      </w:pPr>
      <w:r>
        <w:rPr>
          <w:rFonts w:ascii="Georgia" w:eastAsia="Georgia" w:hAnsi="Georgia" w:cs="Georgia"/>
          <w:color w:val="434343"/>
          <w:sz w:val="30"/>
          <w:szCs w:val="30"/>
        </w:rPr>
        <w:t>3.1. The core paper thus identified several key research gaps:</w:t>
      </w:r>
    </w:p>
    <w:p w:rsidR="00E438DA" w:rsidRDefault="00000000">
      <w:pPr>
        <w:numPr>
          <w:ilvl w:val="0"/>
          <w:numId w:val="8"/>
        </w:numPr>
        <w:spacing w:before="240" w:line="480" w:lineRule="auto"/>
        <w:jc w:val="both"/>
        <w:rPr>
          <w:rFonts w:ascii="Georgia" w:eastAsia="Georgia" w:hAnsi="Georgia" w:cs="Georgia"/>
          <w:sz w:val="26"/>
          <w:szCs w:val="26"/>
        </w:rPr>
      </w:pPr>
      <w:r>
        <w:rPr>
          <w:rFonts w:ascii="Georgia" w:eastAsia="Georgia" w:hAnsi="Georgia" w:cs="Georgia"/>
          <w:b/>
          <w:sz w:val="26"/>
          <w:szCs w:val="26"/>
        </w:rPr>
        <w:lastRenderedPageBreak/>
        <w:t xml:space="preserve"> </w:t>
      </w:r>
      <w:r>
        <w:rPr>
          <w:rFonts w:ascii="Georgia" w:eastAsia="Georgia" w:hAnsi="Georgia" w:cs="Georgia"/>
          <w:sz w:val="26"/>
          <w:szCs w:val="26"/>
        </w:rPr>
        <w:t>Time series analysis for country-specific characteristics</w:t>
      </w:r>
    </w:p>
    <w:p w:rsidR="00E438DA" w:rsidRDefault="00000000">
      <w:pPr>
        <w:numPr>
          <w:ilvl w:val="0"/>
          <w:numId w:val="8"/>
        </w:numPr>
        <w:spacing w:line="480" w:lineRule="auto"/>
        <w:jc w:val="both"/>
        <w:rPr>
          <w:rFonts w:ascii="Georgia" w:eastAsia="Georgia" w:hAnsi="Georgia" w:cs="Georgia"/>
          <w:sz w:val="26"/>
          <w:szCs w:val="26"/>
        </w:rPr>
      </w:pPr>
      <w:r>
        <w:rPr>
          <w:rFonts w:ascii="Georgia" w:eastAsia="Georgia" w:hAnsi="Georgia" w:cs="Georgia"/>
          <w:sz w:val="26"/>
          <w:szCs w:val="26"/>
        </w:rPr>
        <w:t xml:space="preserve"> Income group categorization effects</w:t>
      </w:r>
    </w:p>
    <w:p w:rsidR="00E438DA" w:rsidRDefault="00000000">
      <w:pPr>
        <w:numPr>
          <w:ilvl w:val="0"/>
          <w:numId w:val="8"/>
        </w:numPr>
        <w:spacing w:line="480" w:lineRule="auto"/>
        <w:jc w:val="both"/>
        <w:rPr>
          <w:rFonts w:ascii="Georgia" w:eastAsia="Georgia" w:hAnsi="Georgia" w:cs="Georgia"/>
          <w:sz w:val="26"/>
          <w:szCs w:val="26"/>
        </w:rPr>
      </w:pPr>
      <w:r>
        <w:rPr>
          <w:rFonts w:ascii="Georgia" w:eastAsia="Georgia" w:hAnsi="Georgia" w:cs="Georgia"/>
          <w:sz w:val="26"/>
          <w:szCs w:val="26"/>
        </w:rPr>
        <w:t xml:space="preserve"> Comprehensive continental coverage</w:t>
      </w:r>
    </w:p>
    <w:p w:rsidR="00E438DA" w:rsidRDefault="00000000">
      <w:pPr>
        <w:numPr>
          <w:ilvl w:val="0"/>
          <w:numId w:val="8"/>
        </w:numPr>
        <w:spacing w:after="240" w:line="480" w:lineRule="auto"/>
        <w:jc w:val="both"/>
        <w:rPr>
          <w:rFonts w:ascii="Georgia" w:eastAsia="Georgia" w:hAnsi="Georgia" w:cs="Georgia"/>
        </w:rPr>
      </w:pPr>
      <w:r>
        <w:rPr>
          <w:rFonts w:ascii="Georgia" w:eastAsia="Georgia" w:hAnsi="Georgia" w:cs="Georgia"/>
          <w:sz w:val="26"/>
          <w:szCs w:val="26"/>
        </w:rPr>
        <w:t xml:space="preserve"> COVID-19 pandemic impacts</w:t>
      </w:r>
      <w:r>
        <w:rPr>
          <w:rFonts w:ascii="Georgia" w:eastAsia="Georgia" w:hAnsi="Georgia" w:cs="Georgia"/>
        </w:rPr>
        <w:br/>
      </w:r>
    </w:p>
    <w:p w:rsidR="00E438DA" w:rsidRDefault="00000000">
      <w:pPr>
        <w:spacing w:before="240" w:after="240"/>
        <w:jc w:val="both"/>
        <w:rPr>
          <w:rFonts w:ascii="Georgia" w:eastAsia="Georgia" w:hAnsi="Georgia" w:cs="Georgia"/>
          <w:sz w:val="30"/>
          <w:szCs w:val="30"/>
        </w:rPr>
      </w:pPr>
      <w:r>
        <w:rPr>
          <w:rFonts w:ascii="Georgia" w:eastAsia="Georgia" w:hAnsi="Georgia" w:cs="Georgia"/>
          <w:color w:val="434343"/>
          <w:sz w:val="30"/>
          <w:szCs w:val="30"/>
        </w:rPr>
        <w:t>3.2. Some of our additional research papers address these gaps at a preliminary outset by focusing on under-</w:t>
      </w:r>
      <w:proofErr w:type="spellStart"/>
      <w:r>
        <w:rPr>
          <w:rFonts w:ascii="Georgia" w:eastAsia="Georgia" w:hAnsi="Georgia" w:cs="Georgia"/>
          <w:color w:val="434343"/>
          <w:sz w:val="30"/>
          <w:szCs w:val="30"/>
        </w:rPr>
        <w:t>analysed</w:t>
      </w:r>
      <w:proofErr w:type="spellEnd"/>
      <w:r>
        <w:rPr>
          <w:rFonts w:ascii="Georgia" w:eastAsia="Georgia" w:hAnsi="Georgia" w:cs="Georgia"/>
          <w:color w:val="434343"/>
          <w:sz w:val="30"/>
          <w:szCs w:val="30"/>
        </w:rPr>
        <w:t xml:space="preserve"> statistical methods:</w:t>
      </w:r>
    </w:p>
    <w:p w:rsidR="00E438DA" w:rsidRDefault="00000000">
      <w:pPr>
        <w:numPr>
          <w:ilvl w:val="0"/>
          <w:numId w:val="9"/>
        </w:numPr>
        <w:spacing w:before="480"/>
        <w:jc w:val="both"/>
        <w:rPr>
          <w:rFonts w:ascii="Georgia" w:eastAsia="Georgia" w:hAnsi="Georgia" w:cs="Georgia"/>
        </w:rPr>
      </w:pPr>
      <w:r>
        <w:rPr>
          <w:rFonts w:ascii="Georgia" w:eastAsia="Georgia" w:hAnsi="Georgia" w:cs="Georgia"/>
        </w:rPr>
        <w:t>A paper modeling the determinants of renewable energy consumption in Nigeria [</w:t>
      </w:r>
      <w:hyperlink r:id="rId45">
        <w:r w:rsidR="00E438DA">
          <w:rPr>
            <w:rFonts w:ascii="Georgia" w:eastAsia="Georgia" w:hAnsi="Georgia" w:cs="Georgia"/>
            <w:color w:val="1155CC"/>
            <w:u w:val="single"/>
          </w:rPr>
          <w:t>27</w:t>
        </w:r>
      </w:hyperlink>
      <w:r>
        <w:rPr>
          <w:rFonts w:ascii="Georgia" w:eastAsia="Georgia" w:hAnsi="Georgia" w:cs="Georgia"/>
        </w:rPr>
        <w:t>] addresses the first gap by employing Autoregressive Distributed Lag (ARDL) methodology to examine country-specific characteristics in Nigeria, providing detailed time-series analysis of financial development's impact on renewable energy consumption.</w:t>
      </w:r>
    </w:p>
    <w:p w:rsidR="00E438DA" w:rsidRDefault="00000000">
      <w:pPr>
        <w:numPr>
          <w:ilvl w:val="0"/>
          <w:numId w:val="9"/>
        </w:numPr>
        <w:jc w:val="both"/>
        <w:rPr>
          <w:rFonts w:ascii="Georgia" w:eastAsia="Georgia" w:hAnsi="Georgia" w:cs="Georgia"/>
        </w:rPr>
      </w:pPr>
      <w:r>
        <w:rPr>
          <w:rFonts w:ascii="Georgia" w:eastAsia="Georgia" w:hAnsi="Georgia" w:cs="Georgia"/>
        </w:rPr>
        <w:t>Research papers studying the effect of financial development on renewable energy demand [</w:t>
      </w:r>
      <w:hyperlink r:id="rId46">
        <w:r w:rsidR="00E438DA">
          <w:rPr>
            <w:rFonts w:ascii="Georgia" w:eastAsia="Georgia" w:hAnsi="Georgia" w:cs="Georgia"/>
            <w:color w:val="1155CC"/>
            <w:u w:val="single"/>
          </w:rPr>
          <w:t>28</w:t>
        </w:r>
      </w:hyperlink>
      <w:r>
        <w:rPr>
          <w:rFonts w:ascii="Georgia" w:eastAsia="Georgia" w:hAnsi="Georgia" w:cs="Georgia"/>
        </w:rPr>
        <w:t>] tackle the second gap by examining financial development's effect on renewable energy demand across developing economies, incorporating income-level considerations into the analysis.</w:t>
      </w:r>
    </w:p>
    <w:p w:rsidR="00E438DA" w:rsidRDefault="00000000">
      <w:pPr>
        <w:pStyle w:val="Heading3"/>
        <w:spacing w:before="240" w:after="240"/>
        <w:jc w:val="both"/>
        <w:rPr>
          <w:rFonts w:ascii="Georgia" w:eastAsia="Georgia" w:hAnsi="Georgia" w:cs="Georgia"/>
          <w:sz w:val="30"/>
          <w:szCs w:val="30"/>
        </w:rPr>
      </w:pPr>
      <w:bookmarkStart w:id="22" w:name="_heading=h.z337ya" w:colFirst="0" w:colLast="0"/>
      <w:bookmarkEnd w:id="22"/>
      <w:r>
        <w:rPr>
          <w:rFonts w:ascii="Georgia" w:eastAsia="Georgia" w:hAnsi="Georgia" w:cs="Georgia"/>
          <w:sz w:val="30"/>
          <w:szCs w:val="30"/>
        </w:rPr>
        <w:t>3.3. The papers collectively demonstrate methodological advancements:</w:t>
      </w:r>
    </w:p>
    <w:p w:rsidR="00E438DA" w:rsidRDefault="00000000">
      <w:pPr>
        <w:numPr>
          <w:ilvl w:val="0"/>
          <w:numId w:val="6"/>
        </w:numPr>
        <w:spacing w:before="240"/>
        <w:jc w:val="both"/>
        <w:rPr>
          <w:rFonts w:ascii="Georgia" w:eastAsia="Georgia" w:hAnsi="Georgia" w:cs="Georgia"/>
        </w:rPr>
      </w:pPr>
      <w:r>
        <w:rPr>
          <w:rFonts w:ascii="Georgia" w:eastAsia="Georgia" w:hAnsi="Georgia" w:cs="Georgia"/>
        </w:rPr>
        <w:t>Use of advanced econometric techniques like ARDL and panel cointegration approaches</w:t>
      </w:r>
      <w:r>
        <w:rPr>
          <w:rFonts w:ascii="Georgia" w:eastAsia="Georgia" w:hAnsi="Georgia" w:cs="Georgia"/>
        </w:rPr>
        <w:br/>
      </w:r>
    </w:p>
    <w:p w:rsidR="00E438DA" w:rsidRDefault="00000000">
      <w:pPr>
        <w:numPr>
          <w:ilvl w:val="0"/>
          <w:numId w:val="6"/>
        </w:numPr>
        <w:jc w:val="both"/>
        <w:rPr>
          <w:rFonts w:ascii="Georgia" w:eastAsia="Georgia" w:hAnsi="Georgia" w:cs="Georgia"/>
        </w:rPr>
      </w:pPr>
      <w:r>
        <w:rPr>
          <w:rFonts w:ascii="Georgia" w:eastAsia="Georgia" w:hAnsi="Georgia" w:cs="Georgia"/>
        </w:rPr>
        <w:t>Integration</w:t>
      </w:r>
      <w:r w:rsidR="007C372D">
        <w:rPr>
          <w:rFonts w:ascii="Georgia" w:eastAsia="Georgia" w:hAnsi="Georgia" w:cs="Georgia"/>
        </w:rPr>
        <w:t xml:space="preserve"> </w:t>
      </w:r>
      <w:r>
        <w:rPr>
          <w:rFonts w:ascii="Georgia" w:eastAsia="Georgia" w:hAnsi="Georgia" w:cs="Georgia"/>
        </w:rPr>
        <w:t>of cross-sectional dependence considerations</w:t>
      </w:r>
      <w:r>
        <w:rPr>
          <w:rFonts w:ascii="Georgia" w:eastAsia="Georgia" w:hAnsi="Georgia" w:cs="Georgia"/>
        </w:rPr>
        <w:br/>
      </w:r>
    </w:p>
    <w:p w:rsidR="00E438DA" w:rsidRDefault="00000000">
      <w:pPr>
        <w:numPr>
          <w:ilvl w:val="0"/>
          <w:numId w:val="6"/>
        </w:numPr>
        <w:jc w:val="both"/>
        <w:rPr>
          <w:rFonts w:ascii="Georgia" w:eastAsia="Georgia" w:hAnsi="Georgia" w:cs="Georgia"/>
        </w:rPr>
      </w:pPr>
      <w:r>
        <w:rPr>
          <w:rFonts w:ascii="Georgia" w:eastAsia="Georgia" w:hAnsi="Georgia" w:cs="Georgia"/>
        </w:rPr>
        <w:t>Employment of dynamic threshold analysis</w:t>
      </w:r>
      <w:r>
        <w:rPr>
          <w:rFonts w:ascii="Georgia" w:eastAsia="Georgia" w:hAnsi="Georgia" w:cs="Georgia"/>
        </w:rPr>
        <w:br/>
      </w:r>
    </w:p>
    <w:p w:rsidR="00E438DA" w:rsidRDefault="00000000">
      <w:pPr>
        <w:numPr>
          <w:ilvl w:val="0"/>
          <w:numId w:val="6"/>
        </w:numPr>
        <w:spacing w:after="240"/>
        <w:jc w:val="both"/>
        <w:rPr>
          <w:rFonts w:ascii="Georgia" w:eastAsia="Georgia" w:hAnsi="Georgia" w:cs="Georgia"/>
        </w:rPr>
      </w:pPr>
      <w:r>
        <w:rPr>
          <w:rFonts w:ascii="Georgia" w:eastAsia="Georgia" w:hAnsi="Georgia" w:cs="Georgia"/>
        </w:rPr>
        <w:t>Incorporation of institutional quality measure</w:t>
      </w:r>
      <w:r>
        <w:rPr>
          <w:rFonts w:ascii="Georgia" w:eastAsia="Georgia" w:hAnsi="Georgia" w:cs="Georgia"/>
          <w:sz w:val="18"/>
          <w:szCs w:val="18"/>
        </w:rPr>
        <w:t>s</w:t>
      </w:r>
      <w:r>
        <w:rPr>
          <w:rFonts w:ascii="Georgia" w:eastAsia="Georgia" w:hAnsi="Georgia" w:cs="Georgia"/>
          <w:sz w:val="18"/>
          <w:szCs w:val="18"/>
        </w:rPr>
        <w:br/>
      </w:r>
    </w:p>
    <w:p w:rsidR="00E438DA" w:rsidRDefault="00000000">
      <w:pPr>
        <w:pStyle w:val="Heading3"/>
        <w:spacing w:before="240" w:after="240"/>
        <w:jc w:val="both"/>
        <w:rPr>
          <w:rFonts w:ascii="Georgia" w:eastAsia="Georgia" w:hAnsi="Georgia" w:cs="Georgia"/>
          <w:sz w:val="30"/>
          <w:szCs w:val="30"/>
        </w:rPr>
      </w:pPr>
      <w:bookmarkStart w:id="23" w:name="_heading=h.3j2qqm3" w:colFirst="0" w:colLast="0"/>
      <w:bookmarkEnd w:id="23"/>
      <w:r>
        <w:rPr>
          <w:rFonts w:ascii="Georgia" w:eastAsia="Georgia" w:hAnsi="Georgia" w:cs="Georgia"/>
          <w:sz w:val="30"/>
          <w:szCs w:val="30"/>
        </w:rPr>
        <w:t>3.4. However, several gaps still remain inadequately addressed:</w:t>
      </w:r>
    </w:p>
    <w:p w:rsidR="00E438DA" w:rsidRDefault="00000000">
      <w:pPr>
        <w:numPr>
          <w:ilvl w:val="0"/>
          <w:numId w:val="7"/>
        </w:numPr>
        <w:spacing w:before="240"/>
        <w:jc w:val="both"/>
        <w:rPr>
          <w:rFonts w:ascii="Georgia" w:eastAsia="Georgia" w:hAnsi="Georgia" w:cs="Georgia"/>
        </w:rPr>
      </w:pPr>
      <w:r>
        <w:rPr>
          <w:rFonts w:ascii="Georgia" w:eastAsia="Georgia" w:hAnsi="Georgia" w:cs="Georgia"/>
        </w:rPr>
        <w:t>The impact of COVID-19 on renewable energy transition</w:t>
      </w:r>
      <w:r>
        <w:rPr>
          <w:rFonts w:ascii="Georgia" w:eastAsia="Georgia" w:hAnsi="Georgia" w:cs="Georgia"/>
          <w:sz w:val="18"/>
          <w:szCs w:val="18"/>
        </w:rPr>
        <w:br/>
      </w:r>
    </w:p>
    <w:p w:rsidR="00E438DA" w:rsidRDefault="00000000">
      <w:pPr>
        <w:numPr>
          <w:ilvl w:val="0"/>
          <w:numId w:val="7"/>
        </w:numPr>
        <w:jc w:val="both"/>
        <w:rPr>
          <w:rFonts w:ascii="Georgia" w:eastAsia="Georgia" w:hAnsi="Georgia" w:cs="Georgia"/>
        </w:rPr>
      </w:pPr>
      <w:r>
        <w:rPr>
          <w:rFonts w:ascii="Georgia" w:eastAsia="Georgia" w:hAnsi="Georgia" w:cs="Georgia"/>
        </w:rPr>
        <w:t>Comprehensive continental analysis of Africa</w:t>
      </w:r>
      <w:r>
        <w:rPr>
          <w:rFonts w:ascii="Georgia" w:eastAsia="Georgia" w:hAnsi="Georgia" w:cs="Georgia"/>
        </w:rPr>
        <w:br/>
      </w:r>
    </w:p>
    <w:p w:rsidR="00E438DA" w:rsidRDefault="00000000">
      <w:pPr>
        <w:numPr>
          <w:ilvl w:val="0"/>
          <w:numId w:val="7"/>
        </w:numPr>
        <w:jc w:val="both"/>
        <w:rPr>
          <w:rFonts w:ascii="Georgia" w:eastAsia="Georgia" w:hAnsi="Georgia" w:cs="Georgia"/>
        </w:rPr>
      </w:pPr>
      <w:r>
        <w:rPr>
          <w:rFonts w:ascii="Georgia" w:eastAsia="Georgia" w:hAnsi="Georgia" w:cs="Georgia"/>
        </w:rPr>
        <w:t>Integration of technological innovation aspects</w:t>
      </w:r>
      <w:r>
        <w:rPr>
          <w:rFonts w:ascii="Georgia" w:eastAsia="Georgia" w:hAnsi="Georgia" w:cs="Georgia"/>
        </w:rPr>
        <w:br/>
      </w:r>
    </w:p>
    <w:p w:rsidR="00E438DA" w:rsidRDefault="00000000">
      <w:pPr>
        <w:numPr>
          <w:ilvl w:val="0"/>
          <w:numId w:val="7"/>
        </w:numPr>
        <w:spacing w:after="240"/>
        <w:jc w:val="both"/>
        <w:rPr>
          <w:rFonts w:ascii="Georgia" w:eastAsia="Georgia" w:hAnsi="Georgia" w:cs="Georgia"/>
        </w:rPr>
      </w:pPr>
      <w:r>
        <w:rPr>
          <w:rFonts w:ascii="Georgia" w:eastAsia="Georgia" w:hAnsi="Georgia" w:cs="Georgia"/>
        </w:rPr>
        <w:lastRenderedPageBreak/>
        <w:t>Sector-specific impacts within financial development</w:t>
      </w:r>
    </w:p>
    <w:p w:rsidR="00E438DA" w:rsidRDefault="00E438DA">
      <w:pPr>
        <w:spacing w:before="240" w:after="240"/>
        <w:jc w:val="both"/>
        <w:rPr>
          <w:rFonts w:ascii="Georgia" w:eastAsia="Georgia" w:hAnsi="Georgia" w:cs="Georgia"/>
        </w:rPr>
      </w:pPr>
    </w:p>
    <w:p w:rsidR="00E438DA" w:rsidRDefault="00000000">
      <w:pPr>
        <w:pStyle w:val="Heading3"/>
        <w:spacing w:before="240" w:after="240"/>
        <w:jc w:val="both"/>
        <w:rPr>
          <w:rFonts w:ascii="Georgia" w:eastAsia="Georgia" w:hAnsi="Georgia" w:cs="Georgia"/>
          <w:sz w:val="30"/>
          <w:szCs w:val="30"/>
        </w:rPr>
      </w:pPr>
      <w:bookmarkStart w:id="24" w:name="_heading=h.1y810tw" w:colFirst="0" w:colLast="0"/>
      <w:bookmarkEnd w:id="24"/>
      <w:r>
        <w:rPr>
          <w:rFonts w:ascii="Georgia" w:eastAsia="Georgia" w:hAnsi="Georgia" w:cs="Georgia"/>
          <w:sz w:val="30"/>
          <w:szCs w:val="30"/>
        </w:rPr>
        <w:t>3. 5. More advanced research issues are tackled as follows:</w:t>
      </w:r>
    </w:p>
    <w:p w:rsidR="00E438DA" w:rsidRDefault="00000000">
      <w:pPr>
        <w:numPr>
          <w:ilvl w:val="0"/>
          <w:numId w:val="5"/>
        </w:numPr>
        <w:spacing w:before="240"/>
        <w:jc w:val="both"/>
        <w:rPr>
          <w:rFonts w:ascii="Georgia" w:eastAsia="Georgia" w:hAnsi="Georgia" w:cs="Georgia"/>
        </w:rPr>
      </w:pPr>
      <w:r>
        <w:rPr>
          <w:rFonts w:ascii="Georgia" w:eastAsia="Georgia" w:hAnsi="Georgia" w:cs="Georgia"/>
          <w:b/>
        </w:rPr>
        <w:t>Dynamic Relationships and Time-Varying Effects:</w:t>
      </w:r>
    </w:p>
    <w:p w:rsidR="00E438DA" w:rsidRDefault="00000000">
      <w:pPr>
        <w:numPr>
          <w:ilvl w:val="1"/>
          <w:numId w:val="5"/>
        </w:numPr>
        <w:jc w:val="both"/>
        <w:rPr>
          <w:rFonts w:ascii="Georgia" w:eastAsia="Georgia" w:hAnsi="Georgia" w:cs="Georgia"/>
        </w:rPr>
      </w:pPr>
      <w:r>
        <w:rPr>
          <w:rFonts w:ascii="Georgia" w:eastAsia="Georgia" w:hAnsi="Georgia" w:cs="Georgia"/>
        </w:rPr>
        <w:t>Haifa Saadaoui (2022) [</w:t>
      </w:r>
      <w:hyperlink r:id="rId47">
        <w:r w:rsidR="00E438DA">
          <w:rPr>
            <w:rFonts w:ascii="Georgia" w:eastAsia="Georgia" w:hAnsi="Georgia" w:cs="Georgia"/>
            <w:color w:val="1155CC"/>
            <w:u w:val="single"/>
          </w:rPr>
          <w:t>29</w:t>
        </w:r>
      </w:hyperlink>
      <w:r>
        <w:rPr>
          <w:rFonts w:ascii="Georgia" w:eastAsia="Georgia" w:hAnsi="Georgia" w:cs="Georgia"/>
        </w:rPr>
        <w:t>]employs advanced dynamic panel models, such as cointegration and vector error correction methods, to distinguish between short-run and long-run dynamics. This approach directly addresses the gap concerning the evolving interplay between financial development and institutional quality over time.</w:t>
      </w:r>
    </w:p>
    <w:p w:rsidR="00E438DA" w:rsidRDefault="00000000">
      <w:pPr>
        <w:numPr>
          <w:ilvl w:val="1"/>
          <w:numId w:val="5"/>
        </w:numPr>
        <w:jc w:val="both"/>
        <w:rPr>
          <w:rFonts w:ascii="Georgia" w:eastAsia="Georgia" w:hAnsi="Georgia" w:cs="Georgia"/>
        </w:rPr>
      </w:pPr>
      <w:r>
        <w:rPr>
          <w:rFonts w:ascii="Georgia" w:eastAsia="Georgia" w:hAnsi="Georgia" w:cs="Georgia"/>
        </w:rPr>
        <w:t xml:space="preserve">Similarly, the ScienceDirect study </w:t>
      </w:r>
      <w:r>
        <w:rPr>
          <w:rFonts w:ascii="Georgia" w:eastAsia="Georgia" w:hAnsi="Georgia" w:cs="Georgia"/>
          <w:sz w:val="24"/>
          <w:szCs w:val="24"/>
        </w:rPr>
        <w:t xml:space="preserve">Olalekan J. </w:t>
      </w:r>
      <w:proofErr w:type="spellStart"/>
      <w:r>
        <w:rPr>
          <w:rFonts w:ascii="Georgia" w:eastAsia="Georgia" w:hAnsi="Georgia" w:cs="Georgia"/>
          <w:sz w:val="24"/>
          <w:szCs w:val="24"/>
        </w:rPr>
        <w:t>Akintande</w:t>
      </w:r>
      <w:proofErr w:type="spellEnd"/>
      <w:r>
        <w:rPr>
          <w:rFonts w:ascii="Georgia" w:eastAsia="Georgia" w:hAnsi="Georgia" w:cs="Georgia"/>
          <w:color w:val="1F1F1F"/>
          <w:sz w:val="24"/>
          <w:szCs w:val="24"/>
        </w:rPr>
        <w:t xml:space="preserve"> (2020)</w:t>
      </w:r>
      <w:r>
        <w:rPr>
          <w:rFonts w:ascii="Georgia" w:eastAsia="Georgia" w:hAnsi="Georgia" w:cs="Georgia"/>
        </w:rPr>
        <w:t xml:space="preserve">  </w:t>
      </w:r>
      <w:hyperlink r:id="rId48">
        <w:r w:rsidR="00E438DA">
          <w:rPr>
            <w:rFonts w:ascii="Georgia" w:eastAsia="Georgia" w:hAnsi="Georgia" w:cs="Georgia"/>
            <w:color w:val="1155CC"/>
            <w:u w:val="single"/>
          </w:rPr>
          <w:t>[30</w:t>
        </w:r>
      </w:hyperlink>
      <w:r>
        <w:rPr>
          <w:rFonts w:ascii="Georgia" w:eastAsia="Georgia" w:hAnsi="Georgia" w:cs="Georgia"/>
        </w:rPr>
        <w:t>] utilizes dynamic threshold regression techniques. By identifying critical institutional thresholds, it pinpoints when institutions become robust enough to channel FD effectively towards renewable energy investments. This adds clarity to the non-linear dynamics that earlier studies had not fully explored.</w:t>
      </w:r>
    </w:p>
    <w:p w:rsidR="00E438DA" w:rsidRDefault="00000000">
      <w:pPr>
        <w:numPr>
          <w:ilvl w:val="0"/>
          <w:numId w:val="5"/>
        </w:numPr>
        <w:jc w:val="both"/>
        <w:rPr>
          <w:rFonts w:ascii="Georgia" w:eastAsia="Georgia" w:hAnsi="Georgia" w:cs="Georgia"/>
        </w:rPr>
      </w:pPr>
      <w:r>
        <w:rPr>
          <w:rFonts w:ascii="Georgia" w:eastAsia="Georgia" w:hAnsi="Georgia" w:cs="Georgia"/>
          <w:b/>
        </w:rPr>
        <w:t>Handling Cross-Sectional Dependence and Heterogeneity:</w:t>
      </w:r>
    </w:p>
    <w:p w:rsidR="00E438DA" w:rsidRDefault="00000000">
      <w:pPr>
        <w:numPr>
          <w:ilvl w:val="1"/>
          <w:numId w:val="5"/>
        </w:numPr>
        <w:jc w:val="both"/>
        <w:rPr>
          <w:rFonts w:ascii="Georgia" w:eastAsia="Georgia" w:hAnsi="Georgia" w:cs="Georgia"/>
        </w:rPr>
      </w:pPr>
      <w:proofErr w:type="spellStart"/>
      <w:r>
        <w:rPr>
          <w:rFonts w:ascii="Georgia" w:eastAsia="Georgia" w:hAnsi="Georgia" w:cs="Georgia"/>
        </w:rPr>
        <w:t>Somoye</w:t>
      </w:r>
      <w:proofErr w:type="spellEnd"/>
      <w:r>
        <w:rPr>
          <w:rFonts w:ascii="Georgia" w:eastAsia="Georgia" w:hAnsi="Georgia" w:cs="Georgia"/>
        </w:rPr>
        <w:t>, Oluwatoyin Abidemi(2022) (</w:t>
      </w:r>
      <w:hyperlink r:id="rId49">
        <w:r w:rsidR="00E438DA">
          <w:rPr>
            <w:rFonts w:ascii="Georgia" w:eastAsia="Georgia" w:hAnsi="Georgia" w:cs="Georgia"/>
            <w:color w:val="1155CC"/>
            <w:u w:val="single"/>
          </w:rPr>
          <w:t>31</w:t>
        </w:r>
      </w:hyperlink>
      <w:r>
        <w:rPr>
          <w:rFonts w:ascii="Georgia" w:eastAsia="Georgia" w:hAnsi="Georgia" w:cs="Georgia"/>
        </w:rPr>
        <w:t xml:space="preserve"> and </w:t>
      </w:r>
      <w:hyperlink r:id="rId50">
        <w:r w:rsidR="00E438DA">
          <w:rPr>
            <w:rFonts w:ascii="Georgia" w:eastAsia="Georgia" w:hAnsi="Georgia" w:cs="Georgia"/>
            <w:color w:val="1155CC"/>
            <w:u w:val="single"/>
          </w:rPr>
          <w:t>32</w:t>
        </w:r>
      </w:hyperlink>
      <w:r>
        <w:rPr>
          <w:rFonts w:ascii="Georgia" w:eastAsia="Georgia" w:hAnsi="Georgia" w:cs="Georgia"/>
        </w:rPr>
        <w:t>) focus on cross-regional comparisons and apply methods that explicitly control for cross-sectional dependence. These approaches not only validate the robustness of the results across different settings but also mitigate biases that might have distorted earlier findings.</w:t>
      </w:r>
    </w:p>
    <w:p w:rsidR="00E438DA" w:rsidRDefault="00000000">
      <w:pPr>
        <w:numPr>
          <w:ilvl w:val="1"/>
          <w:numId w:val="5"/>
        </w:numPr>
        <w:jc w:val="both"/>
        <w:rPr>
          <w:rFonts w:ascii="Georgia" w:eastAsia="Georgia" w:hAnsi="Georgia" w:cs="Georgia"/>
        </w:rPr>
      </w:pPr>
      <w:r>
        <w:rPr>
          <w:rFonts w:ascii="Georgia" w:eastAsia="Georgia" w:hAnsi="Georgia" w:cs="Georgia"/>
        </w:rPr>
        <w:t xml:space="preserve">In addition, </w:t>
      </w:r>
      <w:r>
        <w:rPr>
          <w:rFonts w:ascii="Georgia" w:eastAsia="Georgia" w:hAnsi="Georgia" w:cs="Georgia"/>
          <w:sz w:val="24"/>
          <w:szCs w:val="24"/>
        </w:rPr>
        <w:t>Ibrahim Kabiru Maji</w:t>
      </w:r>
      <w:r>
        <w:rPr>
          <w:rFonts w:ascii="Georgia" w:eastAsia="Georgia" w:hAnsi="Georgia" w:cs="Georgia"/>
          <w:color w:val="1F1F1F"/>
          <w:sz w:val="24"/>
          <w:szCs w:val="24"/>
        </w:rPr>
        <w:t xml:space="preserve"> </w:t>
      </w:r>
      <w:r>
        <w:rPr>
          <w:rFonts w:ascii="Georgia" w:eastAsia="Georgia" w:hAnsi="Georgia" w:cs="Georgia"/>
        </w:rPr>
        <w:t>[</w:t>
      </w:r>
      <w:hyperlink r:id="rId51">
        <w:r w:rsidR="00E438DA">
          <w:rPr>
            <w:rFonts w:ascii="Georgia" w:eastAsia="Georgia" w:hAnsi="Georgia" w:cs="Georgia"/>
            <w:color w:val="1155CC"/>
            <w:u w:val="single"/>
          </w:rPr>
          <w:t>33</w:t>
        </w:r>
      </w:hyperlink>
      <w:r>
        <w:rPr>
          <w:rFonts w:ascii="Georgia" w:eastAsia="Georgia" w:hAnsi="Georgia" w:cs="Georgia"/>
        </w:rPr>
        <w:t>] further refines the empirical strategy by incorporating heterogeneous panel estimators, ensuring that the diverse economic and institutional landscapes are properly accounted for.</w:t>
      </w:r>
    </w:p>
    <w:p w:rsidR="00E438DA" w:rsidRDefault="00000000">
      <w:pPr>
        <w:numPr>
          <w:ilvl w:val="0"/>
          <w:numId w:val="5"/>
        </w:numPr>
        <w:jc w:val="both"/>
        <w:rPr>
          <w:rFonts w:ascii="Georgia" w:eastAsia="Georgia" w:hAnsi="Georgia" w:cs="Georgia"/>
        </w:rPr>
      </w:pPr>
      <w:r>
        <w:rPr>
          <w:rFonts w:ascii="Georgia" w:eastAsia="Georgia" w:hAnsi="Georgia" w:cs="Georgia"/>
          <w:b/>
        </w:rPr>
        <w:t>Endogeneity and External Shocks:</w:t>
      </w:r>
    </w:p>
    <w:p w:rsidR="00E438DA" w:rsidRDefault="00000000">
      <w:pPr>
        <w:numPr>
          <w:ilvl w:val="1"/>
          <w:numId w:val="5"/>
        </w:numPr>
        <w:jc w:val="both"/>
        <w:rPr>
          <w:rFonts w:ascii="Georgia" w:eastAsia="Georgia" w:hAnsi="Georgia" w:cs="Georgia"/>
        </w:rPr>
      </w:pPr>
      <w:r>
        <w:rPr>
          <w:rFonts w:ascii="Georgia" w:eastAsia="Georgia" w:hAnsi="Georgia" w:cs="Georgia"/>
        </w:rPr>
        <w:t xml:space="preserve">Haifa Saadaoui at </w:t>
      </w:r>
      <w:hyperlink r:id="rId52">
        <w:r w:rsidR="00E438DA">
          <w:rPr>
            <w:rFonts w:ascii="Georgia" w:eastAsia="Georgia" w:hAnsi="Georgia" w:cs="Georgia"/>
            <w:color w:val="1155CC"/>
            <w:u w:val="single"/>
          </w:rPr>
          <w:t>[34]</w:t>
        </w:r>
      </w:hyperlink>
      <w:r>
        <w:rPr>
          <w:rFonts w:ascii="Georgia" w:eastAsia="Georgia" w:hAnsi="Georgia" w:cs="Georgia"/>
        </w:rPr>
        <w:t xml:space="preserve"> and </w:t>
      </w:r>
      <w:r>
        <w:rPr>
          <w:rFonts w:ascii="Georgia" w:eastAsia="Georgia" w:hAnsi="Georgia" w:cs="Georgia"/>
          <w:sz w:val="24"/>
          <w:szCs w:val="24"/>
        </w:rPr>
        <w:t>Michael Appiah</w:t>
      </w:r>
      <w:r>
        <w:rPr>
          <w:rFonts w:ascii="Georgia" w:eastAsia="Georgia" w:hAnsi="Georgia" w:cs="Georgia"/>
        </w:rPr>
        <w:t xml:space="preserve"> </w:t>
      </w:r>
      <w:hyperlink r:id="rId53" w:anchor="bib5">
        <w:r w:rsidR="00E438DA">
          <w:rPr>
            <w:rFonts w:ascii="Georgia" w:eastAsia="Georgia" w:hAnsi="Georgia" w:cs="Georgia"/>
            <w:color w:val="1155CC"/>
            <w:u w:val="single"/>
          </w:rPr>
          <w:t>[35]</w:t>
        </w:r>
      </w:hyperlink>
      <w:r>
        <w:rPr>
          <w:rFonts w:ascii="Georgia" w:eastAsia="Georgia" w:hAnsi="Georgia" w:cs="Georgia"/>
        </w:rPr>
        <w:t xml:space="preserve"> make significant methodological contributions by using techniques such as the system generalized method of moments (GMM) to correct for endogeneity. They even extend their analyses by incorporating measures that capture the influence of external shocks (e.g., global financial crises), thereby addressing concerns about how unexpected events might disrupt the finance–renewable energy relationship.</w:t>
      </w:r>
    </w:p>
    <w:p w:rsidR="00E438DA" w:rsidRDefault="00000000">
      <w:pPr>
        <w:numPr>
          <w:ilvl w:val="0"/>
          <w:numId w:val="5"/>
        </w:numPr>
        <w:jc w:val="both"/>
        <w:rPr>
          <w:rFonts w:ascii="Georgia" w:eastAsia="Georgia" w:hAnsi="Georgia" w:cs="Georgia"/>
        </w:rPr>
      </w:pPr>
      <w:r>
        <w:rPr>
          <w:rFonts w:ascii="Georgia" w:eastAsia="Georgia" w:hAnsi="Georgia" w:cs="Georgia"/>
          <w:b/>
        </w:rPr>
        <w:t>Role of Emerging Digital Finance and Technological Innovation:</w:t>
      </w:r>
    </w:p>
    <w:p w:rsidR="00E438DA" w:rsidRDefault="00000000">
      <w:pPr>
        <w:numPr>
          <w:ilvl w:val="1"/>
          <w:numId w:val="5"/>
        </w:numPr>
        <w:jc w:val="both"/>
        <w:rPr>
          <w:rFonts w:ascii="Georgia" w:eastAsia="Georgia" w:hAnsi="Georgia" w:cs="Georgia"/>
        </w:rPr>
      </w:pPr>
      <w:r>
        <w:rPr>
          <w:rFonts w:ascii="Georgia" w:eastAsia="Georgia" w:hAnsi="Georgia" w:cs="Georgia"/>
        </w:rPr>
        <w:t>Oluwasegun B. Adekoya at</w:t>
      </w:r>
      <w:hyperlink r:id="rId54">
        <w:r w:rsidR="00E438DA">
          <w:rPr>
            <w:rFonts w:ascii="Georgia" w:eastAsia="Georgia" w:hAnsi="Georgia" w:cs="Georgia"/>
            <w:color w:val="1155CC"/>
            <w:u w:val="single"/>
          </w:rPr>
          <w:t xml:space="preserve"> [36]</w:t>
        </w:r>
      </w:hyperlink>
      <w:r>
        <w:rPr>
          <w:rFonts w:ascii="Georgia" w:eastAsia="Georgia" w:hAnsi="Georgia" w:cs="Georgia"/>
        </w:rPr>
        <w:t xml:space="preserve"> and Fateh BELAÏD </w:t>
      </w:r>
      <w:hyperlink r:id="rId55">
        <w:r w:rsidR="00E438DA">
          <w:rPr>
            <w:rFonts w:ascii="Georgia" w:eastAsia="Georgia" w:hAnsi="Georgia" w:cs="Georgia"/>
            <w:color w:val="1155CC"/>
            <w:u w:val="single"/>
          </w:rPr>
          <w:t xml:space="preserve"> [37]</w:t>
        </w:r>
      </w:hyperlink>
      <w:r>
        <w:rPr>
          <w:rFonts w:ascii="Georgia" w:eastAsia="Georgia" w:hAnsi="Georgia" w:cs="Georgia"/>
        </w:rPr>
        <w:t xml:space="preserve"> extend the discussion by integrating variables related to technological innovation and digital finance. This addition helps bridge the gap regarding how modern fintech innovations could reshape financial channels and accelerate renewable energy adoption—an area that previous literature had scarcely touched upon.</w:t>
      </w:r>
    </w:p>
    <w:p w:rsidR="00E438DA" w:rsidRDefault="00000000">
      <w:pPr>
        <w:numPr>
          <w:ilvl w:val="1"/>
          <w:numId w:val="5"/>
        </w:numPr>
        <w:spacing w:after="240"/>
        <w:jc w:val="both"/>
        <w:rPr>
          <w:rFonts w:ascii="Georgia" w:eastAsia="Georgia" w:hAnsi="Georgia" w:cs="Georgia"/>
        </w:rPr>
      </w:pPr>
      <w:r>
        <w:rPr>
          <w:rFonts w:ascii="Georgia" w:eastAsia="Georgia" w:hAnsi="Georgia" w:cs="Georgia"/>
        </w:rPr>
        <w:t xml:space="preserve">Additionally, </w:t>
      </w:r>
      <w:proofErr w:type="spellStart"/>
      <w:r>
        <w:t>Nidhaleddine</w:t>
      </w:r>
      <w:proofErr w:type="spellEnd"/>
      <w:r>
        <w:t xml:space="preserve"> Ben </w:t>
      </w:r>
      <w:proofErr w:type="spellStart"/>
      <w:r>
        <w:t>Cheikh</w:t>
      </w:r>
      <w:r>
        <w:rPr>
          <w:rFonts w:ascii="Georgia" w:eastAsia="Georgia" w:hAnsi="Georgia" w:cs="Georgia"/>
        </w:rPr>
        <w:t>at</w:t>
      </w:r>
      <w:proofErr w:type="spellEnd"/>
      <w:r>
        <w:rPr>
          <w:rFonts w:ascii="Georgia" w:eastAsia="Georgia" w:hAnsi="Georgia" w:cs="Georgia"/>
        </w:rPr>
        <w:t xml:space="preserve"> </w:t>
      </w:r>
      <w:hyperlink r:id="rId56">
        <w:r w:rsidR="00E438DA">
          <w:rPr>
            <w:rFonts w:ascii="Georgia" w:eastAsia="Georgia" w:hAnsi="Georgia" w:cs="Georgia"/>
            <w:color w:val="1155CC"/>
            <w:u w:val="single"/>
          </w:rPr>
          <w:t>[38]</w:t>
        </w:r>
      </w:hyperlink>
      <w:r>
        <w:rPr>
          <w:rFonts w:ascii="Georgia" w:eastAsia="Georgia" w:hAnsi="Georgia" w:cs="Georgia"/>
        </w:rPr>
        <w:t xml:space="preserve"> employs scenario analyses that simulate the impact of policy interventions on these technological and financial innovations, thereby complementing the broader narrative of institutional reform and its impacts.</w:t>
      </w:r>
    </w:p>
    <w:p w:rsidR="00E438DA" w:rsidRDefault="00000000">
      <w:pPr>
        <w:spacing w:before="240" w:after="240"/>
        <w:jc w:val="both"/>
        <w:rPr>
          <w:rFonts w:ascii="Georgia" w:eastAsia="Georgia" w:hAnsi="Georgia" w:cs="Georgia"/>
          <w:color w:val="434343"/>
          <w:sz w:val="30"/>
          <w:szCs w:val="30"/>
        </w:rPr>
      </w:pPr>
      <w:r>
        <w:rPr>
          <w:rFonts w:ascii="Georgia" w:eastAsia="Georgia" w:hAnsi="Georgia" w:cs="Georgia"/>
          <w:color w:val="434343"/>
          <w:sz w:val="30"/>
          <w:szCs w:val="30"/>
        </w:rPr>
        <w:lastRenderedPageBreak/>
        <w:t>3.6. Addressed Research Gaps:</w:t>
      </w:r>
    </w:p>
    <w:p w:rsidR="00E438DA" w:rsidRDefault="00000000">
      <w:pPr>
        <w:numPr>
          <w:ilvl w:val="0"/>
          <w:numId w:val="4"/>
        </w:numPr>
        <w:spacing w:before="240"/>
        <w:jc w:val="both"/>
      </w:pPr>
      <w:r>
        <w:rPr>
          <w:rFonts w:ascii="Georgia" w:eastAsia="Georgia" w:hAnsi="Georgia" w:cs="Georgia"/>
          <w:u w:val="single"/>
        </w:rPr>
        <w:t>Dynamic and Nonlinear Relationships</w:t>
      </w:r>
      <w:r>
        <w:rPr>
          <w:rFonts w:ascii="Georgia" w:eastAsia="Georgia" w:hAnsi="Georgia" w:cs="Georgia"/>
          <w:b/>
        </w:rPr>
        <w:t>:</w:t>
      </w:r>
      <w:r>
        <w:rPr>
          <w:rFonts w:ascii="Georgia" w:eastAsia="Georgia" w:hAnsi="Georgia" w:cs="Georgia"/>
        </w:rPr>
        <w:t xml:space="preserve"> Through dynamic panel data methods and threshold regression, these papers elucidate the non-linear impacts of institutional quality on FD’s effectiveness in fostering renewable energy investments.</w:t>
      </w:r>
    </w:p>
    <w:p w:rsidR="00E438DA" w:rsidRDefault="00000000">
      <w:pPr>
        <w:numPr>
          <w:ilvl w:val="0"/>
          <w:numId w:val="4"/>
        </w:numPr>
        <w:jc w:val="both"/>
      </w:pPr>
      <w:r>
        <w:rPr>
          <w:rFonts w:ascii="Georgia" w:eastAsia="Georgia" w:hAnsi="Georgia" w:cs="Georgia"/>
          <w:u w:val="single"/>
        </w:rPr>
        <w:t>Methodological Robustness</w:t>
      </w:r>
      <w:r>
        <w:rPr>
          <w:rFonts w:ascii="Georgia" w:eastAsia="Georgia" w:hAnsi="Georgia" w:cs="Georgia"/>
          <w:b/>
        </w:rPr>
        <w:t>:</w:t>
      </w:r>
      <w:r>
        <w:rPr>
          <w:rFonts w:ascii="Georgia" w:eastAsia="Georgia" w:hAnsi="Georgia" w:cs="Georgia"/>
        </w:rPr>
        <w:t xml:space="preserve"> By tackling issues like cross-sectional dependence, heterogeneity, and endogeneity using advanced econometric tools, they enhance the credibility and generalizability of their findings across different regions and timeframes.</w:t>
      </w:r>
    </w:p>
    <w:p w:rsidR="00E438DA" w:rsidRDefault="00000000">
      <w:pPr>
        <w:numPr>
          <w:ilvl w:val="0"/>
          <w:numId w:val="4"/>
        </w:numPr>
        <w:spacing w:after="240"/>
        <w:jc w:val="both"/>
      </w:pPr>
      <w:r>
        <w:rPr>
          <w:rFonts w:ascii="Georgia" w:eastAsia="Georgia" w:hAnsi="Georgia" w:cs="Georgia"/>
          <w:u w:val="single"/>
        </w:rPr>
        <w:t>External Shocks</w:t>
      </w:r>
      <w:r>
        <w:rPr>
          <w:rFonts w:ascii="Georgia" w:eastAsia="Georgia" w:hAnsi="Georgia" w:cs="Georgia"/>
          <w:b/>
        </w:rPr>
        <w:t>:</w:t>
      </w:r>
      <w:r>
        <w:rPr>
          <w:rFonts w:ascii="Georgia" w:eastAsia="Georgia" w:hAnsi="Georgia" w:cs="Georgia"/>
        </w:rPr>
        <w:t xml:space="preserve"> Some studies incorporate models that simulate the effects of global financial or geopolitical shocks, filling an important gap in understanding how such factors interact with domestic financial and institutional dynamics.</w:t>
      </w:r>
    </w:p>
    <w:p w:rsidR="00E438DA" w:rsidRDefault="00000000">
      <w:pPr>
        <w:spacing w:before="240" w:after="240"/>
        <w:jc w:val="both"/>
        <w:rPr>
          <w:rFonts w:ascii="Georgia" w:eastAsia="Georgia" w:hAnsi="Georgia" w:cs="Georgia"/>
          <w:color w:val="434343"/>
          <w:sz w:val="30"/>
          <w:szCs w:val="30"/>
        </w:rPr>
      </w:pPr>
      <w:r>
        <w:rPr>
          <w:rFonts w:ascii="Georgia" w:eastAsia="Georgia" w:hAnsi="Georgia" w:cs="Georgia"/>
          <w:color w:val="434343"/>
          <w:sz w:val="30"/>
          <w:szCs w:val="30"/>
        </w:rPr>
        <w:t>3.7. Remaining Unsolved Gaps:</w:t>
      </w:r>
    </w:p>
    <w:p w:rsidR="00E438DA" w:rsidRDefault="00000000">
      <w:pPr>
        <w:numPr>
          <w:ilvl w:val="0"/>
          <w:numId w:val="3"/>
        </w:numPr>
        <w:spacing w:before="240"/>
        <w:jc w:val="both"/>
      </w:pPr>
      <w:r>
        <w:rPr>
          <w:rFonts w:ascii="Georgia" w:eastAsia="Georgia" w:hAnsi="Georgia" w:cs="Georgia"/>
          <w:u w:val="single"/>
        </w:rPr>
        <w:t>Digital Finance and Fintech Innovations</w:t>
      </w:r>
      <w:r>
        <w:rPr>
          <w:rFonts w:ascii="Georgia" w:eastAsia="Georgia" w:hAnsi="Georgia" w:cs="Georgia"/>
        </w:rPr>
        <w:t>: While initial steps have been taken to integrate these aspects, the rapid evolution of digital finance warrants more detailed, longitudinal investigations.</w:t>
      </w:r>
    </w:p>
    <w:p w:rsidR="00E438DA" w:rsidRDefault="00000000">
      <w:pPr>
        <w:numPr>
          <w:ilvl w:val="0"/>
          <w:numId w:val="3"/>
        </w:numPr>
        <w:jc w:val="both"/>
      </w:pPr>
      <w:r>
        <w:rPr>
          <w:rFonts w:ascii="Georgia" w:eastAsia="Georgia" w:hAnsi="Georgia" w:cs="Georgia"/>
          <w:u w:val="single"/>
        </w:rPr>
        <w:t>Broader Spectrum of External Shocks</w:t>
      </w:r>
      <w:r>
        <w:rPr>
          <w:rFonts w:ascii="Georgia" w:eastAsia="Georgia" w:hAnsi="Georgia" w:cs="Georgia"/>
        </w:rPr>
        <w:t>: Although a few studies consider external shocks, there remains a need for more comprehensive models that can capture a wider array of unexpected global disruptions.</w:t>
      </w:r>
    </w:p>
    <w:p w:rsidR="00E438DA" w:rsidRDefault="00000000">
      <w:pPr>
        <w:numPr>
          <w:ilvl w:val="0"/>
          <w:numId w:val="3"/>
        </w:numPr>
        <w:spacing w:after="240"/>
        <w:jc w:val="both"/>
      </w:pPr>
      <w:r>
        <w:rPr>
          <w:rFonts w:ascii="Georgia" w:eastAsia="Georgia" w:hAnsi="Georgia" w:cs="Georgia"/>
          <w:u w:val="single"/>
        </w:rPr>
        <w:t>Longitudinal Institutional Evolution</w:t>
      </w:r>
      <w:r>
        <w:rPr>
          <w:rFonts w:ascii="Georgia" w:eastAsia="Georgia" w:hAnsi="Georgia" w:cs="Georgia"/>
        </w:rPr>
        <w:t>: More in-depth longitudinal analyses are required to track the evolution of institutional reforms and their lagged impacts on renewable energy transitions over extended periods.</w:t>
      </w:r>
    </w:p>
    <w:p w:rsidR="00E438DA" w:rsidRDefault="00E438DA">
      <w:pPr>
        <w:spacing w:after="240"/>
        <w:jc w:val="both"/>
        <w:rPr>
          <w:rFonts w:ascii="Georgia" w:eastAsia="Georgia" w:hAnsi="Georgia" w:cs="Georgia"/>
        </w:rPr>
      </w:pPr>
    </w:p>
    <w:p w:rsidR="00E438DA" w:rsidRDefault="00000000">
      <w:pPr>
        <w:pStyle w:val="Heading1"/>
        <w:jc w:val="both"/>
        <w:rPr>
          <w:rFonts w:ascii="Georgia" w:eastAsia="Georgia" w:hAnsi="Georgia" w:cs="Georgia"/>
        </w:rPr>
      </w:pPr>
      <w:bookmarkStart w:id="25" w:name="_heading=h.lo0t3ibbzt6i" w:colFirst="0" w:colLast="0"/>
      <w:bookmarkEnd w:id="25"/>
      <w:r>
        <w:rPr>
          <w:rFonts w:ascii="Georgia" w:eastAsia="Georgia" w:hAnsi="Georgia" w:cs="Georgia"/>
        </w:rPr>
        <w:t>4. Objectives:</w:t>
      </w:r>
    </w:p>
    <w:p w:rsidR="00E438DA" w:rsidRDefault="00000000">
      <w:pPr>
        <w:jc w:val="both"/>
        <w:rPr>
          <w:rFonts w:ascii="Georgia" w:eastAsia="Georgia" w:hAnsi="Georgia" w:cs="Georgia"/>
        </w:rPr>
      </w:pPr>
      <w:r>
        <w:rPr>
          <w:rFonts w:ascii="Georgia" w:eastAsia="Georgia" w:hAnsi="Georgia" w:cs="Georgia"/>
        </w:rPr>
        <w:t xml:space="preserve">This study delves into the complex connections between financial system growth, the strength of governing institutions, and the adoption of renewable energy within Lower </w:t>
      </w:r>
      <w:proofErr w:type="gramStart"/>
      <w:r>
        <w:rPr>
          <w:rFonts w:ascii="Georgia" w:eastAsia="Georgia" w:hAnsi="Georgia" w:cs="Georgia"/>
        </w:rPr>
        <w:t>Middle Income</w:t>
      </w:r>
      <w:proofErr w:type="gramEnd"/>
      <w:r>
        <w:rPr>
          <w:rFonts w:ascii="Georgia" w:eastAsia="Georgia" w:hAnsi="Georgia" w:cs="Georgia"/>
        </w:rPr>
        <w:t xml:space="preserve"> Countries. Our investigation centers on three main areas. Firstly, we analyze how financial development shapes the move towards sustainable energy and explore whether the quality of institutions acts as a modifier, potentially speeding up or slowing down this transition. Secondly, we probe the existence of a 'tipping point' – a certain level of institutional quality – after which financial development might become a much stronger force driving renewable energy use. Thirdly, to get reliable answers, we employ sophisticated statistical methods designed to handle common research challenges like intertwined variables (endogeneity), similarities across countries (cross-sectional dependence), and country-specific differences (heterogeneity).</w:t>
      </w:r>
    </w:p>
    <w:p w:rsidR="00E438DA" w:rsidRDefault="00E438DA">
      <w:pPr>
        <w:jc w:val="both"/>
        <w:rPr>
          <w:rFonts w:ascii="Georgia" w:eastAsia="Georgia" w:hAnsi="Georgia" w:cs="Georgia"/>
        </w:rPr>
      </w:pPr>
    </w:p>
    <w:p w:rsidR="00E438DA" w:rsidRDefault="00000000">
      <w:pPr>
        <w:jc w:val="both"/>
        <w:rPr>
          <w:rFonts w:ascii="Georgia" w:eastAsia="Georgia" w:hAnsi="Georgia" w:cs="Georgia"/>
        </w:rPr>
      </w:pPr>
      <w:r>
        <w:rPr>
          <w:rFonts w:ascii="Georgia" w:eastAsia="Georgia" w:hAnsi="Georgia" w:cs="Georgia"/>
        </w:rPr>
        <w:t>Ultimately, our work seeks practical answers to critical questions: (</w:t>
      </w:r>
      <w:proofErr w:type="spellStart"/>
      <w:r>
        <w:rPr>
          <w:rFonts w:ascii="Georgia" w:eastAsia="Georgia" w:hAnsi="Georgia" w:cs="Georgia"/>
        </w:rPr>
        <w:t>i</w:t>
      </w:r>
      <w:proofErr w:type="spellEnd"/>
      <w:r>
        <w:rPr>
          <w:rFonts w:ascii="Georgia" w:eastAsia="Georgia" w:hAnsi="Georgia" w:cs="Georgia"/>
        </w:rPr>
        <w:t xml:space="preserve">) What is the real impact of financial development on the renewable energy shift in these nations, and how exactly does institutional quality alter that impact? (ii) Is there a minimum institutional standard needed before financial development truly unlocks significant progress in renewables? (iii) What specific financial and institutional roadblocks are hindering the green energy transition, and what realistic </w:t>
      </w:r>
      <w:r>
        <w:rPr>
          <w:rFonts w:ascii="Georgia" w:eastAsia="Georgia" w:hAnsi="Georgia" w:cs="Georgia"/>
        </w:rPr>
        <w:lastRenderedPageBreak/>
        <w:t xml:space="preserve">policy actions could remove them? By generating solid evidence, we aim to inform policy discussions working towards a sustainable energy future for Lower </w:t>
      </w:r>
      <w:proofErr w:type="gramStart"/>
      <w:r>
        <w:rPr>
          <w:rFonts w:ascii="Georgia" w:eastAsia="Georgia" w:hAnsi="Georgia" w:cs="Georgia"/>
        </w:rPr>
        <w:t>Middle Income</w:t>
      </w:r>
      <w:proofErr w:type="gramEnd"/>
      <w:r>
        <w:rPr>
          <w:rFonts w:ascii="Georgia" w:eastAsia="Georgia" w:hAnsi="Georgia" w:cs="Georgia"/>
        </w:rPr>
        <w:t xml:space="preserve"> Countries.</w:t>
      </w:r>
    </w:p>
    <w:p w:rsidR="00E438DA" w:rsidRDefault="00E438DA"/>
    <w:p w:rsidR="00E438DA" w:rsidRDefault="00000000">
      <w:pPr>
        <w:pStyle w:val="Heading1"/>
        <w:jc w:val="both"/>
        <w:rPr>
          <w:rFonts w:ascii="Georgia" w:eastAsia="Georgia" w:hAnsi="Georgia" w:cs="Georgia"/>
        </w:rPr>
      </w:pPr>
      <w:bookmarkStart w:id="26" w:name="_heading=h.ic5bvoj7q155" w:colFirst="0" w:colLast="0"/>
      <w:bookmarkEnd w:id="26"/>
      <w:r>
        <w:rPr>
          <w:rFonts w:ascii="Georgia" w:eastAsia="Georgia" w:hAnsi="Georgia" w:cs="Georgia"/>
        </w:rPr>
        <w:t>5.Data Sources and Methodology:</w:t>
      </w:r>
    </w:p>
    <w:p w:rsidR="00E438DA" w:rsidRDefault="00E438DA">
      <w:pPr>
        <w:jc w:val="both"/>
      </w:pPr>
    </w:p>
    <w:p w:rsidR="00E438DA" w:rsidRDefault="00000000">
      <w:pPr>
        <w:jc w:val="both"/>
        <w:rPr>
          <w:rFonts w:ascii="Georgia" w:eastAsia="Georgia" w:hAnsi="Georgia" w:cs="Georgia"/>
          <w:b/>
          <w:sz w:val="24"/>
          <w:szCs w:val="24"/>
        </w:rPr>
      </w:pPr>
      <w:r>
        <w:rPr>
          <w:rFonts w:ascii="Georgia" w:eastAsia="Georgia" w:hAnsi="Georgia" w:cs="Georgia"/>
          <w:color w:val="434343"/>
          <w:sz w:val="30"/>
          <w:szCs w:val="30"/>
        </w:rPr>
        <w:t xml:space="preserve">5.1 Development of a Theoretical Framework  </w:t>
      </w:r>
    </w:p>
    <w:p w:rsidR="00E438DA" w:rsidRDefault="00E438DA">
      <w:pPr>
        <w:jc w:val="both"/>
      </w:pPr>
    </w:p>
    <w:p w:rsidR="00E438DA" w:rsidRDefault="00000000">
      <w:pPr>
        <w:jc w:val="both"/>
        <w:rPr>
          <w:rFonts w:ascii="Georgia" w:eastAsia="Georgia" w:hAnsi="Georgia" w:cs="Georgia"/>
        </w:rPr>
      </w:pPr>
      <w:r>
        <w:rPr>
          <w:rFonts w:ascii="Georgia" w:eastAsia="Georgia" w:hAnsi="Georgia" w:cs="Georgia"/>
        </w:rPr>
        <w:t>The theoretical framework explores the relationship between financial development (</w:t>
      </w:r>
      <w:proofErr w:type="spellStart"/>
      <w:r>
        <w:rPr>
          <w:rFonts w:ascii="Georgia" w:eastAsia="Georgia" w:hAnsi="Georgia" w:cs="Georgia"/>
        </w:rPr>
        <w:t>fd</w:t>
      </w:r>
      <w:proofErr w:type="spellEnd"/>
      <w:r>
        <w:rPr>
          <w:rFonts w:ascii="Georgia" w:eastAsia="Georgia" w:hAnsi="Georgia" w:cs="Georgia"/>
        </w:rPr>
        <w:t>), institutional quality (</w:t>
      </w:r>
      <w:proofErr w:type="spellStart"/>
      <w:r>
        <w:rPr>
          <w:rFonts w:ascii="Georgia" w:eastAsia="Georgia" w:hAnsi="Georgia" w:cs="Georgia"/>
        </w:rPr>
        <w:t>inst</w:t>
      </w:r>
      <w:proofErr w:type="spellEnd"/>
      <w:r>
        <w:rPr>
          <w:rFonts w:ascii="Georgia" w:eastAsia="Georgia" w:hAnsi="Georgia" w:cs="Georgia"/>
        </w:rPr>
        <w:t>), and renewable energy consumption (ren) in African countries, incorporating control variables like real GDP per capita (</w:t>
      </w:r>
      <w:proofErr w:type="spellStart"/>
      <w:r>
        <w:rPr>
          <w:rFonts w:ascii="Georgia" w:eastAsia="Georgia" w:hAnsi="Georgia" w:cs="Georgia"/>
        </w:rPr>
        <w:t>rgdppc</w:t>
      </w:r>
      <w:proofErr w:type="spellEnd"/>
      <w:r>
        <w:rPr>
          <w:rFonts w:ascii="Georgia" w:eastAsia="Georgia" w:hAnsi="Georgia" w:cs="Georgia"/>
        </w:rPr>
        <w:t>), foreign direct investment (</w:t>
      </w:r>
      <w:proofErr w:type="spellStart"/>
      <w:r>
        <w:rPr>
          <w:rFonts w:ascii="Georgia" w:eastAsia="Georgia" w:hAnsi="Georgia" w:cs="Georgia"/>
        </w:rPr>
        <w:t>fdi</w:t>
      </w:r>
      <w:proofErr w:type="spellEnd"/>
      <w:r>
        <w:rPr>
          <w:rFonts w:ascii="Georgia" w:eastAsia="Georgia" w:hAnsi="Georgia" w:cs="Georgia"/>
        </w:rPr>
        <w:t>), and population (pop). The baseline model is expressed as:</w:t>
      </w:r>
    </w:p>
    <w:p w:rsidR="00E438DA" w:rsidRDefault="00E438DA">
      <w:pPr>
        <w:jc w:val="both"/>
      </w:pPr>
    </w:p>
    <w:p w:rsidR="00E438DA" w:rsidRDefault="00000000">
      <w:pPr>
        <w:jc w:val="right"/>
      </w:pPr>
      <m:oMath>
        <m:r>
          <w:rPr>
            <w:rFonts w:ascii="Cambria Math" w:hAnsi="Cambria Math"/>
          </w:rPr>
          <m:t>re</m:t>
        </m:r>
        <m:sSub>
          <m:sSubPr>
            <m:ctrlPr>
              <w:rPr>
                <w:rFonts w:ascii="Cambria Math" w:hAnsi="Cambria Math"/>
              </w:rPr>
            </m:ctrlPr>
          </m:sSubPr>
          <m:e>
            <m:r>
              <w:rPr>
                <w:rFonts w:ascii="Cambria Math" w:hAnsi="Cambria Math"/>
              </w:rPr>
              <m:t>n</m:t>
            </m:r>
          </m:e>
          <m:sub>
            <m:r>
              <w:rPr>
                <w:rFonts w:ascii="Cambria Math" w:hAnsi="Cambria Math"/>
              </w:rPr>
              <m:t>it</m:t>
            </m:r>
          </m:sub>
        </m:sSub>
        <m:r>
          <w:rPr>
            <w:rFonts w:ascii="Cambria Math" w:hAnsi="Cambria Math"/>
          </w:rPr>
          <m:t>=∩₀+</m:t>
        </m:r>
        <m:sSub>
          <m:sSubPr>
            <m:ctrlPr>
              <w:rPr>
                <w:rFonts w:ascii="Cambria Math" w:hAnsi="Cambria Math"/>
              </w:rPr>
            </m:ctrlPr>
          </m:sSubPr>
          <m:e>
            <m:r>
              <w:rPr>
                <w:rFonts w:ascii="Cambria Math" w:hAnsi="Cambria Math"/>
              </w:rPr>
              <m:t>ϕ</m:t>
            </m:r>
          </m:e>
          <m:sub>
            <m:r>
              <w:rPr>
                <w:rFonts w:ascii="Cambria Math" w:hAnsi="Cambria Math"/>
              </w:rPr>
              <m:t>it</m:t>
            </m:r>
          </m:sub>
        </m:sSub>
        <m: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it</m:t>
            </m:r>
          </m:sub>
        </m:sSub>
        <m:r>
          <w:rPr>
            <w:rFonts w:ascii="Cambria Math" w:hAnsi="Cambria Math"/>
          </w:rPr>
          <m:t>ins</m:t>
        </m:r>
        <m:sSub>
          <m:sSubPr>
            <m:ctrlPr>
              <w:rPr>
                <w:rFonts w:ascii="Cambria Math" w:hAnsi="Cambria Math"/>
              </w:rPr>
            </m:ctrlPr>
          </m:sSubPr>
          <m:e>
            <m:r>
              <w:rPr>
                <w:rFonts w:ascii="Cambria Math" w:hAnsi="Cambria Math"/>
              </w:rPr>
              <m:t>t</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it</m:t>
            </m:r>
          </m:sub>
        </m:sSub>
        <m:r>
          <w:rPr>
            <w:rFonts w:ascii="Cambria Math" w:hAnsi="Cambria Math"/>
          </w:rPr>
          <m:t>rgdp</m:t>
        </m:r>
        <m:sSub>
          <m:sSubPr>
            <m:ctrlPr>
              <w:rPr>
                <w:rFonts w:ascii="Cambria Math" w:hAnsi="Cambria Math"/>
              </w:rPr>
            </m:ctrlPr>
          </m:sSubPr>
          <m:e>
            <m:r>
              <w:rPr>
                <w:rFonts w:ascii="Cambria Math" w:hAnsi="Cambria Math"/>
              </w:rPr>
              <m:t>c</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it</m:t>
            </m:r>
          </m:sub>
        </m:sSub>
        <m:r>
          <w:rPr>
            <w:rFonts w:ascii="Cambria Math" w:hAnsi="Cambria Math"/>
          </w:rPr>
          <m:t>fd</m:t>
        </m:r>
        <m:sSub>
          <m:sSubPr>
            <m:ctrlPr>
              <w:rPr>
                <w:rFonts w:ascii="Cambria Math" w:hAnsi="Cambria Math"/>
              </w:rPr>
            </m:ctrlPr>
          </m:sSubPr>
          <m:e>
            <m:r>
              <w:rPr>
                <w:rFonts w:ascii="Cambria Math" w:hAnsi="Cambria Math"/>
              </w:rPr>
              <m:t>i</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it</m:t>
            </m:r>
          </m:sub>
        </m:sSub>
        <m:r>
          <w:rPr>
            <w:rFonts w:ascii="Cambria Math" w:hAnsi="Cambria Math"/>
          </w:rPr>
          <m:t>po</m:t>
        </m:r>
        <m:sSub>
          <m:sSubPr>
            <m:ctrlPr>
              <w:rPr>
                <w:rFonts w:ascii="Cambria Math" w:hAnsi="Cambria Math"/>
              </w:rPr>
            </m:ctrlPr>
          </m:sSubPr>
          <m:e>
            <m:r>
              <w:rPr>
                <w:rFonts w:ascii="Cambria Math" w:hAnsi="Cambria Math"/>
              </w:rPr>
              <m:t>p</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r>
          <w:rPr>
            <w:rFonts w:ascii="Cambria Math" w:hAnsi="Cambria Math"/>
          </w:rPr>
          <m:t>.</m:t>
        </m:r>
      </m:oMath>
      <w:r>
        <w:t xml:space="preserve">          (1)                                          </w:t>
      </w:r>
    </w:p>
    <w:p w:rsidR="00E438DA" w:rsidRDefault="00000000">
      <w:r>
        <w:t xml:space="preserve">where: </w:t>
      </w:r>
    </w:p>
    <w:p w:rsidR="00E438DA" w:rsidRDefault="00000000">
      <w:pPr>
        <w:ind w:left="720"/>
      </w:pPr>
      <w:proofErr w:type="spellStart"/>
      <w:r>
        <w:t>i</w:t>
      </w:r>
      <w:proofErr w:type="spellEnd"/>
      <w:r>
        <w:t xml:space="preserve"> indexes the cross-sectional units(countries)</w:t>
      </w:r>
    </w:p>
    <w:p w:rsidR="00E438DA" w:rsidRDefault="00000000">
      <w:pPr>
        <w:ind w:left="720"/>
      </w:pPr>
      <w:r>
        <w:t>t indexes time</w:t>
      </w:r>
    </w:p>
    <w:p w:rsidR="00E438DA" w:rsidRDefault="00000000">
      <w:pPr>
        <w:ind w:left="720"/>
      </w:pPr>
      <m:oMath>
        <m:sSub>
          <m:sSubPr>
            <m:ctrlPr>
              <w:rPr>
                <w:rFonts w:ascii="Cambria Math" w:hAnsi="Cambria Math"/>
              </w:rPr>
            </m:ctrlPr>
          </m:sSubPr>
          <m:e>
            <m:r>
              <w:rPr>
                <w:rFonts w:ascii="Cambria Math" w:hAnsi="Cambria Math"/>
              </w:rPr>
              <m:t>γ</m:t>
            </m:r>
          </m:e>
          <m:sub>
            <m:r>
              <w:rPr>
                <w:rFonts w:ascii="Cambria Math" w:hAnsi="Cambria Math"/>
              </w:rPr>
              <m:t>i</m:t>
            </m:r>
          </m:sub>
        </m:sSub>
      </m:oMath>
      <w:r>
        <w:t xml:space="preserve"> is the country-specific fixed effect</w:t>
      </w:r>
    </w:p>
    <w:p w:rsidR="00E438DA" w:rsidRDefault="00000000">
      <w:pPr>
        <w:ind w:left="720"/>
      </w:pPr>
      <m:oMath>
        <m:sSub>
          <m:sSubPr>
            <m:ctrlPr>
              <w:rPr>
                <w:rFonts w:ascii="Cambria Math" w:hAnsi="Cambria Math"/>
              </w:rPr>
            </m:ctrlPr>
          </m:sSubPr>
          <m:e>
            <m:r>
              <w:rPr>
                <w:rFonts w:ascii="Cambria Math" w:hAnsi="Cambria Math"/>
              </w:rPr>
              <m:t>ε</m:t>
            </m:r>
          </m:e>
          <m:sub>
            <m:r>
              <w:rPr>
                <w:rFonts w:ascii="Cambria Math" w:hAnsi="Cambria Math"/>
              </w:rPr>
              <m:t>it</m:t>
            </m:r>
          </m:sub>
        </m:sSub>
      </m:oMath>
      <w:r>
        <w:t xml:space="preserve"> is the error term</w:t>
      </w:r>
    </w:p>
    <w:p w:rsidR="00E438DA" w:rsidRDefault="00E438DA">
      <w:pPr>
        <w:jc w:val="both"/>
      </w:pPr>
    </w:p>
    <w:p w:rsidR="00E438DA" w:rsidRDefault="00000000">
      <w:pPr>
        <w:jc w:val="both"/>
        <w:rPr>
          <w:rFonts w:ascii="Georgia" w:eastAsia="Georgia" w:hAnsi="Georgia" w:cs="Georgia"/>
        </w:rPr>
      </w:pPr>
      <w:r>
        <w:rPr>
          <w:rFonts w:ascii="Georgia" w:eastAsia="Georgia" w:hAnsi="Georgia" w:cs="Georgia"/>
        </w:rPr>
        <w:t>An interactive term(</w:t>
      </w:r>
      <w:proofErr w:type="spellStart"/>
      <w:r>
        <w:rPr>
          <w:rFonts w:ascii="Georgia" w:eastAsia="Georgia" w:hAnsi="Georgia" w:cs="Georgia"/>
        </w:rPr>
        <w:t>fd</w:t>
      </w:r>
      <w:proofErr w:type="spellEnd"/>
      <w:r>
        <w:rPr>
          <w:rFonts w:ascii="Georgia" w:eastAsia="Georgia" w:hAnsi="Georgia" w:cs="Georgia"/>
        </w:rPr>
        <w:t>*</w:t>
      </w:r>
      <w:proofErr w:type="spellStart"/>
      <w:r>
        <w:rPr>
          <w:rFonts w:ascii="Georgia" w:eastAsia="Georgia" w:hAnsi="Georgia" w:cs="Georgia"/>
        </w:rPr>
        <w:t>inst</w:t>
      </w:r>
      <w:proofErr w:type="spellEnd"/>
      <w:r>
        <w:rPr>
          <w:rFonts w:ascii="Georgia" w:eastAsia="Georgia" w:hAnsi="Georgia" w:cs="Georgia"/>
        </w:rPr>
        <w:t>) between FD and INST is added to capture the moderating effect of institutions:</w:t>
      </w:r>
    </w:p>
    <w:p w:rsidR="00E438DA" w:rsidRDefault="00E438DA">
      <w:pPr>
        <w:jc w:val="both"/>
      </w:pPr>
    </w:p>
    <w:p w:rsidR="00E438DA" w:rsidRDefault="00000000">
      <w:pPr>
        <w:jc w:val="right"/>
      </w:pPr>
      <m:oMath>
        <m:r>
          <w:rPr>
            <w:rFonts w:ascii="Cambria Math" w:hAnsi="Cambria Math"/>
          </w:rPr>
          <m:t>r</m:t>
        </m:r>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=∩₀+</m:t>
        </m:r>
        <m:sSub>
          <m:sSubPr>
            <m:ctrlPr>
              <w:rPr>
                <w:rFonts w:ascii="Cambria Math" w:hAnsi="Cambria Math"/>
              </w:rPr>
            </m:ctrlPr>
          </m:sSubPr>
          <m:e>
            <m:r>
              <w:rPr>
                <w:rFonts w:ascii="Cambria Math" w:hAnsi="Cambria Math"/>
              </w:rPr>
              <m:t>ϕ</m:t>
            </m:r>
          </m:e>
          <m:sub>
            <m:r>
              <w:rPr>
                <w:rFonts w:ascii="Cambria Math" w:hAnsi="Cambria Math"/>
              </w:rPr>
              <m:t>it</m:t>
            </m:r>
          </m:sub>
        </m:sSub>
        <m: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it</m:t>
            </m:r>
          </m:sub>
        </m:sSub>
        <m:r>
          <w:rPr>
            <w:rFonts w:ascii="Cambria Math" w:hAnsi="Cambria Math"/>
          </w:rPr>
          <m:t>ins</m:t>
        </m:r>
        <m:sSub>
          <m:sSubPr>
            <m:ctrlPr>
              <w:rPr>
                <w:rFonts w:ascii="Cambria Math" w:hAnsi="Cambria Math"/>
              </w:rPr>
            </m:ctrlPr>
          </m:sSubPr>
          <m:e>
            <m:r>
              <w:rPr>
                <w:rFonts w:ascii="Cambria Math" w:hAnsi="Cambria Math"/>
              </w:rPr>
              <m:t>t</m:t>
            </m:r>
          </m:e>
          <m:sub>
            <m:r>
              <w:rPr>
                <w:rFonts w:ascii="Cambria Math" w:hAnsi="Cambria Math"/>
              </w:rPr>
              <m:t>it</m:t>
            </m:r>
          </m:sub>
        </m:sSub>
        <m:r>
          <w:rPr>
            <w:rFonts w:ascii="Cambria Math" w:hAnsi="Cambria Math"/>
          </w:rPr>
          <m:t>+ϑf</m:t>
        </m:r>
        <m:sSub>
          <m:sSubPr>
            <m:ctrlPr>
              <w:rPr>
                <w:rFonts w:ascii="Cambria Math" w:hAnsi="Cambria Math"/>
              </w:rPr>
            </m:ctrlPr>
          </m:sSubPr>
          <m:e>
            <m:r>
              <w:rPr>
                <w:rFonts w:ascii="Cambria Math" w:hAnsi="Cambria Math"/>
              </w:rPr>
              <m:t>d</m:t>
            </m:r>
          </m:e>
          <m:sub>
            <m:r>
              <w:rPr>
                <w:rFonts w:ascii="Cambria Math" w:hAnsi="Cambria Math"/>
              </w:rPr>
              <m:t>it</m:t>
            </m:r>
          </m:sub>
        </m:sSub>
        <m:r>
          <w:rPr>
            <w:rFonts w:ascii="Cambria Math" w:hAnsi="Cambria Math"/>
          </w:rPr>
          <m:t>*ins</m:t>
        </m:r>
        <m:sSub>
          <m:sSubPr>
            <m:ctrlPr>
              <w:rPr>
                <w:rFonts w:ascii="Cambria Math" w:hAnsi="Cambria Math"/>
              </w:rPr>
            </m:ctrlPr>
          </m:sSubPr>
          <m:e>
            <m:r>
              <w:rPr>
                <w:rFonts w:ascii="Cambria Math" w:hAnsi="Cambria Math"/>
              </w:rPr>
              <m:t>t</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it</m:t>
            </m:r>
          </m:sub>
        </m:sSub>
        <m:r>
          <w:rPr>
            <w:rFonts w:ascii="Cambria Math" w:hAnsi="Cambria Math"/>
          </w:rPr>
          <m:t>rgdp</m:t>
        </m:r>
        <m:sSub>
          <m:sSubPr>
            <m:ctrlPr>
              <w:rPr>
                <w:rFonts w:ascii="Cambria Math" w:hAnsi="Cambria Math"/>
              </w:rPr>
            </m:ctrlPr>
          </m:sSubPr>
          <m:e>
            <m:r>
              <w:rPr>
                <w:rFonts w:ascii="Cambria Math" w:hAnsi="Cambria Math"/>
              </w:rPr>
              <m:t>c</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it</m:t>
            </m:r>
          </m:sub>
        </m:sSub>
        <m:r>
          <w:rPr>
            <w:rFonts w:ascii="Cambria Math" w:hAnsi="Cambria Math"/>
          </w:rPr>
          <m:t>fd</m:t>
        </m:r>
        <m:sSub>
          <m:sSubPr>
            <m:ctrlPr>
              <w:rPr>
                <w:rFonts w:ascii="Cambria Math" w:hAnsi="Cambria Math"/>
              </w:rPr>
            </m:ctrlPr>
          </m:sSubPr>
          <m:e>
            <m:r>
              <w:rPr>
                <w:rFonts w:ascii="Cambria Math" w:hAnsi="Cambria Math"/>
              </w:rPr>
              <m:t>i</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it</m:t>
            </m:r>
          </m:sub>
        </m:sSub>
        <m:r>
          <w:rPr>
            <w:rFonts w:ascii="Cambria Math" w:hAnsi="Cambria Math"/>
          </w:rPr>
          <m:t>po</m:t>
        </m:r>
        <m:sSub>
          <m:sSubPr>
            <m:ctrlPr>
              <w:rPr>
                <w:rFonts w:ascii="Cambria Math" w:hAnsi="Cambria Math"/>
              </w:rPr>
            </m:ctrlPr>
          </m:sSubPr>
          <m:e>
            <m:r>
              <w:rPr>
                <w:rFonts w:ascii="Cambria Math" w:hAnsi="Cambria Math"/>
              </w:rPr>
              <m:t>p</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r>
          <w:rPr>
            <w:rFonts w:ascii="Cambria Math" w:hAnsi="Cambria Math"/>
          </w:rPr>
          <m:t>.</m:t>
        </m:r>
      </m:oMath>
      <w:r>
        <w:t xml:space="preserve">   (2) </w:t>
      </w:r>
    </w:p>
    <w:p w:rsidR="00E438DA" w:rsidRDefault="00E438DA">
      <w:pPr>
        <w:jc w:val="both"/>
      </w:pPr>
    </w:p>
    <w:p w:rsidR="00E438DA" w:rsidRDefault="00000000">
      <w:pPr>
        <w:jc w:val="both"/>
        <w:rPr>
          <w:rFonts w:ascii="Georgia" w:eastAsia="Georgia" w:hAnsi="Georgia" w:cs="Georgia"/>
        </w:rPr>
      </w:pPr>
      <w:r>
        <w:rPr>
          <w:rFonts w:ascii="Georgia" w:eastAsia="Georgia" w:hAnsi="Georgia" w:cs="Georgia"/>
        </w:rPr>
        <w:t xml:space="preserve">The marginal effect of FD on REN given the institutional development in an economy. </w:t>
      </w:r>
    </w:p>
    <w:p w:rsidR="00E438DA" w:rsidRDefault="00000000">
      <w:pPr>
        <w:jc w:val="both"/>
        <w:rPr>
          <w:rFonts w:ascii="Georgia" w:eastAsia="Georgia" w:hAnsi="Georgia" w:cs="Georgia"/>
        </w:rPr>
      </w:pPr>
      <w:r>
        <w:rPr>
          <w:rFonts w:ascii="Georgia" w:eastAsia="Georgia" w:hAnsi="Georgia" w:cs="Georgia"/>
        </w:rPr>
        <w:t xml:space="preserve">It is determined by differentiating </w:t>
      </w:r>
      <m:oMath>
        <m:r>
          <w:rPr>
            <w:rFonts w:ascii="Cambria Math" w:hAnsi="Cambria Math"/>
          </w:rPr>
          <m:t>r</m:t>
        </m:r>
        <m:sSub>
          <m:sSubPr>
            <m:ctrlPr>
              <w:rPr>
                <w:rFonts w:ascii="Cambria Math" w:hAnsi="Cambria Math"/>
              </w:rPr>
            </m:ctrlPr>
          </m:sSubPr>
          <m:e>
            <m:r>
              <w:rPr>
                <w:rFonts w:ascii="Cambria Math" w:hAnsi="Cambria Math"/>
              </w:rPr>
              <m:t>e</m:t>
            </m:r>
          </m:e>
          <m:sub>
            <m:r>
              <w:rPr>
                <w:rFonts w:ascii="Cambria Math" w:hAnsi="Cambria Math"/>
              </w:rPr>
              <m:t>it</m:t>
            </m:r>
          </m:sub>
        </m:sSub>
      </m:oMath>
      <w:r>
        <w:rPr>
          <w:rFonts w:ascii="Georgia" w:eastAsia="Georgia" w:hAnsi="Georgia" w:cs="Georgia"/>
        </w:rPr>
        <w:t xml:space="preserve">(renewable energy) partially to </w:t>
      </w:r>
      <m:oMath>
        <m:r>
          <w:rPr>
            <w:rFonts w:ascii="Georgia" w:eastAsia="Georgia" w:hAnsi="Georgia" w:cs="Georgia"/>
          </w:rPr>
          <m:t>f</m:t>
        </m:r>
        <m:sSub>
          <m:sSubPr>
            <m:ctrlPr>
              <w:rPr>
                <w:rFonts w:ascii="Georgia" w:eastAsia="Georgia" w:hAnsi="Georgia" w:cs="Georgia"/>
              </w:rPr>
            </m:ctrlPr>
          </m:sSubPr>
          <m:e>
            <m:r>
              <w:rPr>
                <w:rFonts w:ascii="Georgia" w:eastAsia="Georgia" w:hAnsi="Georgia" w:cs="Georgia"/>
              </w:rPr>
              <m:t>d</m:t>
            </m:r>
          </m:e>
          <m:sub>
            <m:r>
              <w:rPr>
                <w:rFonts w:ascii="Georgia" w:eastAsia="Georgia" w:hAnsi="Georgia" w:cs="Georgia"/>
              </w:rPr>
              <m:t>it</m:t>
            </m:r>
          </m:sub>
        </m:sSub>
      </m:oMath>
      <w:r>
        <w:rPr>
          <w:rFonts w:ascii="Georgia" w:eastAsia="Georgia" w:hAnsi="Georgia" w:cs="Georgia"/>
        </w:rPr>
        <w:t>(financial development) as follows:</w:t>
      </w:r>
    </w:p>
    <w:p w:rsidR="00E438DA" w:rsidRDefault="00E438DA">
      <w:pPr>
        <w:jc w:val="both"/>
      </w:pPr>
    </w:p>
    <w:p w:rsidR="00E438DA" w:rsidRDefault="00000000">
      <w:pPr>
        <w:jc w:val="right"/>
      </w:pPr>
      <m:oMath>
        <m:f>
          <m:fPr>
            <m:ctrlPr>
              <w:rPr>
                <w:rFonts w:ascii="Cambria Math" w:hAnsi="Cambria Math"/>
              </w:rPr>
            </m:ctrlPr>
          </m:fPr>
          <m:num>
            <m:r>
              <w:rPr>
                <w:rFonts w:ascii="Cambria Math" w:hAnsi="Cambria Math"/>
              </w:rPr>
              <m:t>∂r</m:t>
            </m:r>
            <m:sSub>
              <m:sSubPr>
                <m:ctrlPr>
                  <w:rPr>
                    <w:rFonts w:ascii="Cambria Math" w:hAnsi="Cambria Math"/>
                  </w:rPr>
                </m:ctrlPr>
              </m:sSubPr>
              <m:e>
                <m:r>
                  <w:rPr>
                    <w:rFonts w:ascii="Cambria Math" w:hAnsi="Cambria Math"/>
                  </w:rPr>
                  <m:t>e</m:t>
                </m:r>
              </m:e>
              <m:sub>
                <m:r>
                  <w:rPr>
                    <w:rFonts w:ascii="Cambria Math" w:hAnsi="Cambria Math"/>
                  </w:rPr>
                  <m:t>it</m:t>
                </m:r>
              </m:sub>
            </m:sSub>
          </m:num>
          <m:den>
            <m: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it</m:t>
                </m:r>
              </m:sub>
            </m:sSub>
          </m:den>
        </m:f>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it</m:t>
            </m:r>
          </m:sub>
        </m:sSub>
        <m:r>
          <w:rPr>
            <w:rFonts w:ascii="Cambria Math" w:hAnsi="Cambria Math"/>
          </w:rPr>
          <m:t>+ϑins</m:t>
        </m:r>
        <m:sSub>
          <m:sSubPr>
            <m:ctrlPr>
              <w:rPr>
                <w:rFonts w:ascii="Cambria Math" w:hAnsi="Cambria Math"/>
              </w:rPr>
            </m:ctrlPr>
          </m:sSubPr>
          <m:e>
            <m:r>
              <w:rPr>
                <w:rFonts w:ascii="Cambria Math" w:hAnsi="Cambria Math"/>
              </w:rPr>
              <m:t>t</m:t>
            </m:r>
          </m:e>
          <m:sub>
            <m:r>
              <w:rPr>
                <w:rFonts w:ascii="Cambria Math" w:hAnsi="Cambria Math"/>
              </w:rPr>
              <m:t>it</m:t>
            </m:r>
          </m:sub>
        </m:sSub>
        <m:r>
          <w:rPr>
            <w:rFonts w:ascii="Cambria Math" w:hAnsi="Cambria Math"/>
          </w:rPr>
          <m:t>.</m:t>
        </m:r>
      </m:oMath>
      <w:r>
        <w:t xml:space="preserve">                                                          (3)</w:t>
      </w:r>
    </w:p>
    <w:p w:rsidR="00E438DA" w:rsidRPr="007C372D" w:rsidRDefault="00000000">
      <w:pPr>
        <w:pBdr>
          <w:top w:val="none" w:sz="0" w:space="0" w:color="E5E7EB"/>
          <w:left w:val="none" w:sz="0" w:space="0" w:color="E5E7EB"/>
          <w:bottom w:val="none" w:sz="0" w:space="0" w:color="E5E7EB"/>
          <w:right w:val="none" w:sz="0" w:space="0" w:color="E5E7EB"/>
          <w:between w:val="none" w:sz="0" w:space="0" w:color="E5E7EB"/>
        </w:pBdr>
        <w:spacing w:line="288" w:lineRule="auto"/>
        <w:rPr>
          <w:rFonts w:ascii="Georgia" w:eastAsia="Georgia" w:hAnsi="Georgia" w:cs="Georgia"/>
        </w:rPr>
      </w:pPr>
      <w:sdt>
        <w:sdtPr>
          <w:tag w:val="goog_rdk_0"/>
          <w:id w:val="-1714038273"/>
        </w:sdtPr>
        <w:sdtEndPr>
          <w:rPr>
            <w:rFonts w:ascii="Georgia" w:hAnsi="Georgia"/>
          </w:rPr>
        </w:sdtEndPr>
        <w:sdtContent>
          <w:r w:rsidRPr="007C372D">
            <w:rPr>
              <w:rFonts w:ascii="Georgia" w:eastAsia="Gungsuh" w:hAnsi="Georgia" w:cs="Gungsuh"/>
            </w:rPr>
            <w:t xml:space="preserve">The marginal effect of financial development (FD) on renewable energy (REN) is influenced by institutional quality (INST). The interpretations depend on the signs and statistical significance of the coefficients </w:t>
          </w:r>
          <w:r w:rsidRPr="007C372D">
            <w:rPr>
              <w:rFonts w:ascii="Cambria Math" w:eastAsia="Gungsuh" w:hAnsi="Cambria Math" w:cs="Cambria Math"/>
            </w:rPr>
            <w:t>∅</w:t>
          </w:r>
          <w:r w:rsidRPr="007C372D">
            <w:rPr>
              <w:rFonts w:ascii="Georgia" w:eastAsia="Gungsuh" w:hAnsi="Georgia" w:cs="Gungsuh"/>
            </w:rPr>
            <w:t xml:space="preserve"> and </w:t>
          </w:r>
          <w:r w:rsidRPr="007C372D">
            <w:rPr>
              <w:rFonts w:ascii="Cambria" w:eastAsia="Gungsuh" w:hAnsi="Cambria" w:cs="Cambria"/>
            </w:rPr>
            <w:t>ϑ</w:t>
          </w:r>
          <w:r w:rsidRPr="007C372D">
            <w:rPr>
              <w:rFonts w:ascii="Georgia" w:eastAsia="Gungsuh" w:hAnsi="Georgia" w:cs="Gungsuh"/>
            </w:rPr>
            <w:t>.</w:t>
          </w:r>
        </w:sdtContent>
      </w:sdt>
    </w:p>
    <w:p w:rsidR="00E438DA" w:rsidRDefault="00000000">
      <w:pPr>
        <w:pBdr>
          <w:top w:val="none" w:sz="0" w:space="0" w:color="E5E7EB"/>
          <w:left w:val="none" w:sz="0" w:space="0" w:color="E5E7EB"/>
          <w:bottom w:val="none" w:sz="0" w:space="0" w:color="E5E7EB"/>
          <w:right w:val="none" w:sz="0" w:space="0" w:color="E5E7EB"/>
          <w:between w:val="none" w:sz="0" w:space="0" w:color="E5E7EB"/>
        </w:pBdr>
        <w:spacing w:before="120" w:after="120" w:line="288" w:lineRule="auto"/>
        <w:rPr>
          <w:rFonts w:ascii="Georgia" w:eastAsia="Georgia" w:hAnsi="Georgia" w:cs="Georgia"/>
          <w:vertAlign w:val="subscript"/>
        </w:rPr>
      </w:pPr>
      <w:r>
        <w:rPr>
          <w:rFonts w:ascii="Georgia" w:eastAsia="Georgia" w:hAnsi="Georgia" w:cs="Georgia"/>
          <w:b/>
        </w:rPr>
        <w:t>Positive FD and Institutional Effects (</w:t>
      </w:r>
      <w:sdt>
        <w:sdtPr>
          <w:tag w:val="goog_rdk_1"/>
          <w:id w:val="1898780713"/>
        </w:sdtPr>
        <w:sdtContent>
          <w:r>
            <w:rPr>
              <w:rFonts w:ascii="Gungsuh" w:eastAsia="Gungsuh" w:hAnsi="Gungsuh" w:cs="Gungsuh"/>
            </w:rPr>
            <w:t>∅&gt;0,</w:t>
          </w:r>
        </w:sdtContent>
      </w:sdt>
      <w:r>
        <w:rPr>
          <w:rFonts w:ascii="Georgia" w:eastAsia="Georgia" w:hAnsi="Georgia" w:cs="Georgia"/>
          <w:i/>
        </w:rPr>
        <w:t>ϑ</w:t>
      </w:r>
      <w:r>
        <w:rPr>
          <w:rFonts w:ascii="Georgia" w:eastAsia="Georgia" w:hAnsi="Georgia" w:cs="Georgia"/>
        </w:rPr>
        <w:t>&gt;0</w:t>
      </w:r>
      <w:r>
        <w:rPr>
          <w:rFonts w:ascii="Georgia" w:eastAsia="Georgia" w:hAnsi="Georgia" w:cs="Georgia"/>
          <w:b/>
        </w:rPr>
        <w:t xml:space="preserve">): </w:t>
      </w:r>
      <w:r>
        <w:rPr>
          <w:rFonts w:ascii="Georgia" w:eastAsia="Georgia" w:hAnsi="Georgia" w:cs="Georgia"/>
        </w:rPr>
        <w:t>FD positively supports the transition to renewable energy. Institutional architectures complement finance, enhancing the positive impacts.</w:t>
      </w:r>
    </w:p>
    <w:p w:rsidR="00E438DA" w:rsidRDefault="00E438DA">
      <w:pPr>
        <w:pBdr>
          <w:top w:val="none" w:sz="0" w:space="0" w:color="E5E7EB"/>
          <w:left w:val="none" w:sz="0" w:space="0" w:color="E5E7EB"/>
          <w:bottom w:val="none" w:sz="0" w:space="0" w:color="E5E7EB"/>
          <w:right w:val="none" w:sz="0" w:space="0" w:color="E5E7EB"/>
          <w:between w:val="none" w:sz="0" w:space="0" w:color="E5E7EB"/>
        </w:pBdr>
        <w:spacing w:before="120" w:after="120" w:line="288" w:lineRule="auto"/>
        <w:rPr>
          <w:rFonts w:ascii="Georgia" w:eastAsia="Georgia" w:hAnsi="Georgia" w:cs="Georgia"/>
        </w:rPr>
      </w:pPr>
    </w:p>
    <w:p w:rsidR="00E438DA" w:rsidRDefault="00000000">
      <w:pPr>
        <w:pBdr>
          <w:top w:val="none" w:sz="0" w:space="0" w:color="E5E7EB"/>
          <w:left w:val="none" w:sz="0" w:space="0" w:color="E5E7EB"/>
          <w:bottom w:val="none" w:sz="0" w:space="0" w:color="E5E7EB"/>
          <w:right w:val="none" w:sz="0" w:space="0" w:color="E5E7EB"/>
          <w:between w:val="none" w:sz="0" w:space="0" w:color="E5E7EB"/>
        </w:pBdr>
        <w:spacing w:before="120" w:after="120" w:line="288" w:lineRule="auto"/>
        <w:rPr>
          <w:rFonts w:ascii="Georgia" w:eastAsia="Georgia" w:hAnsi="Georgia" w:cs="Georgia"/>
        </w:rPr>
      </w:pPr>
      <w:r>
        <w:rPr>
          <w:rFonts w:ascii="Georgia" w:eastAsia="Georgia" w:hAnsi="Georgia" w:cs="Georgia"/>
          <w:b/>
        </w:rPr>
        <w:t>Positive FD but Negative Institutional Effects (</w:t>
      </w:r>
      <w:sdt>
        <w:sdtPr>
          <w:tag w:val="goog_rdk_2"/>
          <w:id w:val="458684470"/>
        </w:sdtPr>
        <w:sdtContent>
          <w:r>
            <w:rPr>
              <w:rFonts w:ascii="Gungsuh" w:eastAsia="Gungsuh" w:hAnsi="Gungsuh" w:cs="Gungsuh"/>
            </w:rPr>
            <w:t>∅&gt;0,</w:t>
          </w:r>
        </w:sdtContent>
      </w:sdt>
      <w:r>
        <w:rPr>
          <w:rFonts w:ascii="Georgia" w:eastAsia="Georgia" w:hAnsi="Georgia" w:cs="Georgia"/>
          <w:i/>
        </w:rPr>
        <w:t>ϑ</w:t>
      </w:r>
      <w:r>
        <w:rPr>
          <w:rFonts w:ascii="Georgia" w:eastAsia="Georgia" w:hAnsi="Georgia" w:cs="Georgia"/>
        </w:rPr>
        <w:t>&lt;0</w:t>
      </w:r>
      <w:r>
        <w:rPr>
          <w:rFonts w:ascii="Georgia" w:eastAsia="Georgia" w:hAnsi="Georgia" w:cs="Georgia"/>
          <w:b/>
        </w:rPr>
        <w:t xml:space="preserve">): </w:t>
      </w:r>
      <w:r>
        <w:rPr>
          <w:rFonts w:ascii="Georgia" w:eastAsia="Georgia" w:hAnsi="Georgia" w:cs="Georgia"/>
        </w:rPr>
        <w:t>FD channels resources towards renewable energy. However, weak institutions tolerate flaws and corrupt practices, diverting resources to environmentally unfriendly technologies.</w:t>
      </w:r>
    </w:p>
    <w:p w:rsidR="00E438DA" w:rsidRDefault="00000000">
      <w:pPr>
        <w:pBdr>
          <w:top w:val="none" w:sz="0" w:space="0" w:color="E5E7EB"/>
          <w:left w:val="none" w:sz="0" w:space="0" w:color="E5E7EB"/>
          <w:bottom w:val="none" w:sz="0" w:space="0" w:color="E5E7EB"/>
          <w:right w:val="none" w:sz="0" w:space="0" w:color="E5E7EB"/>
          <w:between w:val="none" w:sz="0" w:space="0" w:color="E5E7EB"/>
        </w:pBdr>
        <w:spacing w:before="420" w:after="420"/>
        <w:rPr>
          <w:rFonts w:ascii="Georgia" w:eastAsia="Georgia" w:hAnsi="Georgia" w:cs="Georgia"/>
        </w:rPr>
      </w:pPr>
      <w:r>
        <w:rPr>
          <w:rFonts w:ascii="Georgia" w:eastAsia="Georgia" w:hAnsi="Georgia" w:cs="Georgia"/>
          <w:b/>
        </w:rPr>
        <w:lastRenderedPageBreak/>
        <w:t>Negative FD and Positive Institutional Effects (</w:t>
      </w:r>
      <w:sdt>
        <w:sdtPr>
          <w:tag w:val="goog_rdk_3"/>
          <w:id w:val="-1776395398"/>
        </w:sdtPr>
        <w:sdtContent>
          <w:r>
            <w:rPr>
              <w:rFonts w:ascii="Gungsuh" w:eastAsia="Gungsuh" w:hAnsi="Gungsuh" w:cs="Gungsuh"/>
            </w:rPr>
            <w:t>∅&lt;0,</w:t>
          </w:r>
        </w:sdtContent>
      </w:sdt>
      <w:r>
        <w:rPr>
          <w:rFonts w:ascii="Georgia" w:eastAsia="Georgia" w:hAnsi="Georgia" w:cs="Georgia"/>
          <w:i/>
        </w:rPr>
        <w:t>ϑ</w:t>
      </w:r>
      <w:r>
        <w:rPr>
          <w:rFonts w:ascii="Georgia" w:eastAsia="Georgia" w:hAnsi="Georgia" w:cs="Georgia"/>
        </w:rPr>
        <w:t>&gt;0</w:t>
      </w:r>
      <w:r>
        <w:rPr>
          <w:rFonts w:ascii="Georgia" w:eastAsia="Georgia" w:hAnsi="Georgia" w:cs="Georgia"/>
          <w:b/>
        </w:rPr>
        <w:t xml:space="preserve">): </w:t>
      </w:r>
      <w:r>
        <w:rPr>
          <w:rFonts w:ascii="Georgia" w:eastAsia="Georgia" w:hAnsi="Georgia" w:cs="Georgia"/>
        </w:rPr>
        <w:t>FD encourages dirty technologies, hindering the transition to renewables. Institutions mitigate these negative effects by restricting resources provided to unsustainable energy sources.</w:t>
      </w:r>
    </w:p>
    <w:p w:rsidR="00E438DA" w:rsidRDefault="00000000">
      <w:pPr>
        <w:pBdr>
          <w:top w:val="none" w:sz="0" w:space="0" w:color="E5E7EB"/>
          <w:left w:val="none" w:sz="0" w:space="0" w:color="E5E7EB"/>
          <w:bottom w:val="none" w:sz="0" w:space="0" w:color="E5E7EB"/>
          <w:right w:val="none" w:sz="0" w:space="0" w:color="E5E7EB"/>
          <w:between w:val="none" w:sz="0" w:space="0" w:color="E5E7EB"/>
        </w:pBdr>
        <w:spacing w:before="120" w:after="120" w:line="288" w:lineRule="auto"/>
        <w:rPr>
          <w:rFonts w:ascii="Georgia" w:eastAsia="Georgia" w:hAnsi="Georgia" w:cs="Georgia"/>
        </w:rPr>
      </w:pPr>
      <w:r>
        <w:rPr>
          <w:rFonts w:ascii="Georgia" w:eastAsia="Georgia" w:hAnsi="Georgia" w:cs="Georgia"/>
          <w:b/>
        </w:rPr>
        <w:t>Negative FD and Institutional Effects (</w:t>
      </w:r>
      <w:sdt>
        <w:sdtPr>
          <w:tag w:val="goog_rdk_4"/>
          <w:id w:val="-1553063545"/>
        </w:sdtPr>
        <w:sdtContent>
          <w:r>
            <w:rPr>
              <w:rFonts w:ascii="Gungsuh" w:eastAsia="Gungsuh" w:hAnsi="Gungsuh" w:cs="Gungsuh"/>
            </w:rPr>
            <w:t>∅&lt;0,</w:t>
          </w:r>
        </w:sdtContent>
      </w:sdt>
      <w:r>
        <w:rPr>
          <w:rFonts w:ascii="Georgia" w:eastAsia="Georgia" w:hAnsi="Georgia" w:cs="Georgia"/>
          <w:i/>
        </w:rPr>
        <w:t>ϑ</w:t>
      </w:r>
      <w:r>
        <w:rPr>
          <w:rFonts w:ascii="Georgia" w:eastAsia="Georgia" w:hAnsi="Georgia" w:cs="Georgia"/>
        </w:rPr>
        <w:t>&lt;0</w:t>
      </w:r>
      <w:r>
        <w:rPr>
          <w:rFonts w:ascii="Georgia" w:eastAsia="Georgia" w:hAnsi="Georgia" w:cs="Georgia"/>
          <w:b/>
        </w:rPr>
        <w:t xml:space="preserve">):  </w:t>
      </w:r>
      <w:r>
        <w:rPr>
          <w:rFonts w:ascii="Georgia" w:eastAsia="Georgia" w:hAnsi="Georgia" w:cs="Georgia"/>
        </w:rPr>
        <w:t>FD hinders the transition to renewable energy by financing carbon-intensive technologies. Weak institutions exacerbate this problem by tolerating opportunistic behavior and rent-seeking activities.</w:t>
      </w:r>
    </w:p>
    <w:p w:rsidR="00E438DA" w:rsidRDefault="00000000">
      <w:pPr>
        <w:pStyle w:val="Heading2"/>
        <w:keepNext w:val="0"/>
        <w:keepLines w:val="0"/>
        <w:pBdr>
          <w:top w:val="none" w:sz="0" w:space="0" w:color="E5E7EB"/>
          <w:left w:val="none" w:sz="0" w:space="0" w:color="E5E7EB"/>
          <w:bottom w:val="none" w:sz="0" w:space="0" w:color="E5E7EB"/>
          <w:right w:val="none" w:sz="0" w:space="0" w:color="E5E7EB"/>
          <w:between w:val="none" w:sz="0" w:space="0" w:color="E5E7EB"/>
        </w:pBdr>
        <w:spacing w:after="80"/>
        <w:rPr>
          <w:rFonts w:ascii="Georgia" w:eastAsia="Georgia" w:hAnsi="Georgia" w:cs="Georgia"/>
          <w:b/>
          <w:sz w:val="22"/>
          <w:szCs w:val="22"/>
        </w:rPr>
      </w:pPr>
      <w:bookmarkStart w:id="27" w:name="_heading=h.w6psnlmyf3m8" w:colFirst="0" w:colLast="0"/>
      <w:bookmarkEnd w:id="27"/>
      <w:r>
        <w:rPr>
          <w:rFonts w:ascii="Georgia" w:eastAsia="Georgia" w:hAnsi="Georgia" w:cs="Georgia"/>
          <w:b/>
          <w:sz w:val="22"/>
          <w:szCs w:val="22"/>
        </w:rPr>
        <w:t>Threshold of Institutional Quality:</w:t>
      </w:r>
    </w:p>
    <w:p w:rsidR="00B45AFD" w:rsidRDefault="00000000" w:rsidP="00B45AFD">
      <w:pPr>
        <w:pBdr>
          <w:top w:val="none" w:sz="0" w:space="0" w:color="E5E7EB"/>
          <w:left w:val="none" w:sz="0" w:space="0" w:color="E5E7EB"/>
          <w:bottom w:val="none" w:sz="0" w:space="0" w:color="E5E7EB"/>
          <w:right w:val="none" w:sz="0" w:space="0" w:color="E5E7EB"/>
          <w:between w:val="none" w:sz="0" w:space="0" w:color="E5E7EB"/>
        </w:pBdr>
        <w:rPr>
          <w:rFonts w:ascii="Georgia" w:eastAsia="Georgia" w:hAnsi="Georgia" w:cs="Georgia"/>
        </w:rPr>
      </w:pPr>
      <w:r>
        <w:rPr>
          <w:rFonts w:ascii="Georgia" w:eastAsia="Georgia" w:hAnsi="Georgia" w:cs="Georgia"/>
        </w:rPr>
        <w:t xml:space="preserve">The threshold of INST beyond which FD is stimulated to support the renewable energy transition is determined by setting the marginal effect of FD on </w:t>
      </w:r>
      <w:proofErr w:type="gramStart"/>
      <w:r>
        <w:rPr>
          <w:rFonts w:ascii="Georgia" w:eastAsia="Georgia" w:hAnsi="Georgia" w:cs="Georgia"/>
        </w:rPr>
        <w:t>REN(</w:t>
      </w:r>
      <w:proofErr w:type="gramEnd"/>
      <m:oMath>
        <m:f>
          <m:fPr>
            <m:ctrlPr>
              <w:rPr>
                <w:rFonts w:ascii="Georgia" w:eastAsia="Georgia" w:hAnsi="Georgia" w:cs="Georgia"/>
              </w:rPr>
            </m:ctrlPr>
          </m:fPr>
          <m:num>
            <m:r>
              <w:rPr>
                <w:rFonts w:ascii="Georgia" w:eastAsia="Georgia" w:hAnsi="Georgia" w:cs="Georgia"/>
              </w:rPr>
              <m:t>∂r</m:t>
            </m:r>
            <m:sSub>
              <m:sSubPr>
                <m:ctrlPr>
                  <w:rPr>
                    <w:rFonts w:ascii="Georgia" w:eastAsia="Georgia" w:hAnsi="Georgia" w:cs="Georgia"/>
                  </w:rPr>
                </m:ctrlPr>
              </m:sSubPr>
              <m:e>
                <m:r>
                  <w:rPr>
                    <w:rFonts w:ascii="Georgia" w:eastAsia="Georgia" w:hAnsi="Georgia" w:cs="Georgia"/>
                  </w:rPr>
                  <m:t>e</m:t>
                </m:r>
              </m:e>
              <m:sub>
                <m:r>
                  <w:rPr>
                    <w:rFonts w:ascii="Georgia" w:eastAsia="Georgia" w:hAnsi="Georgia" w:cs="Georgia"/>
                  </w:rPr>
                  <m:t>it</m:t>
                </m:r>
              </m:sub>
            </m:sSub>
          </m:num>
          <m:den>
            <m:r>
              <w:rPr>
                <w:rFonts w:ascii="Georgia" w:eastAsia="Georgia" w:hAnsi="Georgia" w:cs="Georgia"/>
              </w:rPr>
              <m:t>∂f</m:t>
            </m:r>
            <m:sSub>
              <m:sSubPr>
                <m:ctrlPr>
                  <w:rPr>
                    <w:rFonts w:ascii="Georgia" w:eastAsia="Georgia" w:hAnsi="Georgia" w:cs="Georgia"/>
                  </w:rPr>
                </m:ctrlPr>
              </m:sSubPr>
              <m:e>
                <m:r>
                  <w:rPr>
                    <w:rFonts w:ascii="Georgia" w:eastAsia="Georgia" w:hAnsi="Georgia" w:cs="Georgia"/>
                  </w:rPr>
                  <m:t>d</m:t>
                </m:r>
              </m:e>
              <m:sub>
                <m:r>
                  <w:rPr>
                    <w:rFonts w:ascii="Georgia" w:eastAsia="Georgia" w:hAnsi="Georgia" w:cs="Georgia"/>
                  </w:rPr>
                  <m:t>it</m:t>
                </m:r>
              </m:sub>
            </m:sSub>
          </m:den>
        </m:f>
      </m:oMath>
      <w:r>
        <w:rPr>
          <w:rFonts w:ascii="Georgia" w:eastAsia="Georgia" w:hAnsi="Georgia" w:cs="Georgia"/>
        </w:rPr>
        <w:t>) to zero:</w:t>
      </w:r>
    </w:p>
    <w:p w:rsidR="00E438DA" w:rsidRDefault="00B45AFD" w:rsidP="00B45AFD">
      <w:pPr>
        <w:pBdr>
          <w:top w:val="none" w:sz="0" w:space="0" w:color="E5E7EB"/>
          <w:left w:val="none" w:sz="0" w:space="0" w:color="E5E7EB"/>
          <w:bottom w:val="none" w:sz="0" w:space="0" w:color="E5E7EB"/>
          <w:right w:val="none" w:sz="0" w:space="0" w:color="E5E7EB"/>
          <w:between w:val="none" w:sz="0" w:space="0" w:color="E5E7EB"/>
        </w:pBdr>
        <w:rPr>
          <w:rFonts w:ascii="Georgia" w:eastAsia="Georgia" w:hAnsi="Georgia" w:cs="Georgia"/>
        </w:rPr>
      </w:pPr>
      <m:oMath>
        <m:r>
          <w:rPr>
            <w:rFonts w:ascii="Cambria Math" w:eastAsia="Georgia" w:hAnsi="Georgia" w:cs="Georgia"/>
          </w:rPr>
          <m:t xml:space="preserve">                                                                              </m:t>
        </m:r>
        <m:r>
          <w:rPr>
            <w:rFonts w:ascii="Georgia" w:eastAsia="Georgia" w:hAnsi="Georgia" w:cs="Georgia"/>
          </w:rPr>
          <m:t xml:space="preserve">inst &gt; </m:t>
        </m:r>
        <m:d>
          <m:dPr>
            <m:ctrlPr>
              <w:rPr>
                <w:rFonts w:ascii="Georgia" w:eastAsia="Georgia" w:hAnsi="Georgia" w:cs="Georgia"/>
              </w:rPr>
            </m:ctrlPr>
          </m:dPr>
          <m:e>
            <m:f>
              <m:fPr>
                <m:ctrlPr>
                  <w:rPr>
                    <w:rFonts w:ascii="Georgia" w:eastAsia="Georgia" w:hAnsi="Georgia" w:cs="Georgia"/>
                  </w:rPr>
                </m:ctrlPr>
              </m:fPr>
              <m:num>
                <m:r>
                  <w:rPr>
                    <w:rFonts w:ascii="Georgia" w:eastAsia="Georgia" w:hAnsi="Georgia" w:cs="Georgia"/>
                  </w:rPr>
                  <m:t>-ϑ</m:t>
                </m:r>
              </m:num>
              <m:den>
                <m:r>
                  <w:rPr>
                    <w:rFonts w:ascii="Georgia" w:eastAsia="Georgia" w:hAnsi="Georgia" w:cs="Georgia"/>
                  </w:rPr>
                  <m:t>ϕ</m:t>
                </m:r>
              </m:den>
            </m:f>
          </m:e>
        </m:d>
      </m:oMath>
      <w:r>
        <w:rPr>
          <w:rFonts w:ascii="Georgia" w:eastAsia="Georgia" w:hAnsi="Georgia" w:cs="Georgia"/>
        </w:rPr>
        <w:t xml:space="preserve">                                                                           </w:t>
      </w:r>
      <w:r>
        <w:rPr>
          <w:rFonts w:ascii="Georgia" w:eastAsia="Georgia" w:hAnsi="Georgia" w:cs="Georgia"/>
        </w:rPr>
        <w:t xml:space="preserve"> (4)</w:t>
      </w:r>
      <w:r w:rsidR="00000000">
        <w:rPr>
          <w:rFonts w:ascii="Georgia" w:eastAsia="Georgia" w:hAnsi="Georgia" w:cs="Georgia"/>
        </w:rPr>
        <w:t xml:space="preserve">                                                                   </w:t>
      </w:r>
    </w:p>
    <w:p w:rsidR="00E438DA" w:rsidRDefault="00000000">
      <w:pPr>
        <w:pBdr>
          <w:top w:val="none" w:sz="0" w:space="0" w:color="E5E7EB"/>
          <w:left w:val="none" w:sz="0" w:space="0" w:color="E5E7EB"/>
          <w:bottom w:val="none" w:sz="0" w:space="0" w:color="E5E7EB"/>
          <w:right w:val="none" w:sz="0" w:space="0" w:color="E5E7EB"/>
          <w:between w:val="none" w:sz="0" w:space="0" w:color="E5E7EB"/>
        </w:pBdr>
        <w:rPr>
          <w:rFonts w:ascii="Georgia" w:eastAsia="Georgia" w:hAnsi="Georgia" w:cs="Georgia"/>
        </w:rPr>
      </w:pPr>
      <w:r>
        <w:rPr>
          <w:rFonts w:ascii="Georgia" w:eastAsia="Georgia" w:hAnsi="Georgia" w:cs="Georgia"/>
        </w:rPr>
        <w:t>This threshold highlights the importance of strong institutions in leveraging financial development to accelerate the transition to renewable energy</w:t>
      </w:r>
    </w:p>
    <w:p w:rsidR="00E438DA" w:rsidRDefault="00000000">
      <w:pPr>
        <w:jc w:val="both"/>
      </w:pPr>
      <w:r>
        <w:t xml:space="preserve">A more robust variant that accommodates dynamism and endogeneity in threshold has been introduced. This approach considers econometrics' pitfalls, such as simultaneity bias and endogeneity </w:t>
      </w:r>
      <w:proofErr w:type="gramStart"/>
      <w:r>
        <w:t>concerns</w:t>
      </w:r>
      <w:proofErr w:type="gramEnd"/>
      <w:r>
        <w:t xml:space="preserve"> and carefully accounts for dynamism among the variables (Bolarinwa et al., 2021). The threshold model is presented as follows:</w:t>
      </w:r>
    </w:p>
    <w:p w:rsidR="00E438DA" w:rsidRDefault="00E438DA">
      <w:pPr>
        <w:jc w:val="both"/>
      </w:pPr>
    </w:p>
    <w:p w:rsidR="00E438DA" w:rsidRDefault="00000000">
      <w:pPr>
        <w:jc w:val="right"/>
      </w:pPr>
      <m:oMath>
        <m:r>
          <w:rPr>
            <w:rFonts w:ascii="Cambria Math" w:hAnsi="Cambria Math"/>
          </w:rPr>
          <m:t>r</m:t>
        </m:r>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m:t>
        </m:r>
        <m:d>
          <m:dPr>
            <m:ctrlPr>
              <w:rPr>
                <w:rFonts w:ascii="Cambria Math" w:hAnsi="Cambria Math"/>
              </w:rPr>
            </m:ctrlPr>
          </m:dPr>
          <m:e>
            <m:r>
              <w:rPr>
                <w:rFonts w:ascii="Cambria Math" w:hAnsi="Cambria Math"/>
              </w:rPr>
              <m:t>1,x</m:t>
            </m:r>
            <m:sSub>
              <m:sSubPr>
                <m:ctrlPr>
                  <w:rPr>
                    <w:rFonts w:ascii="Cambria Math" w:hAnsi="Cambria Math"/>
                  </w:rPr>
                </m:ctrlPr>
              </m:sSubPr>
              <m:e>
                <m:r>
                  <w:rPr>
                    <w:rFonts w:ascii="Cambria Math" w:hAnsi="Cambria Math"/>
                  </w:rPr>
                  <m:t>'</m:t>
                </m:r>
              </m:e>
              <m:sub>
                <m:r>
                  <w:rPr>
                    <w:rFonts w:ascii="Cambria Math" w:hAnsi="Cambria Math"/>
                  </w:rPr>
                  <m:t>it</m:t>
                </m:r>
              </m:sub>
            </m:sSub>
          </m:e>
        </m:d>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1</m:t>
        </m:r>
        <m:d>
          <m:dPr>
            <m:begChr m:val="{"/>
            <m:endChr m:val="}"/>
            <m:ctrlPr>
              <w:rPr>
                <w:rFonts w:ascii="Cambria Math" w:hAnsi="Cambria Math"/>
              </w:rPr>
            </m:ctrlPr>
          </m:dPr>
          <m:e>
            <m:r>
              <w:rPr>
                <w:rFonts w:ascii="Cambria Math" w:hAnsi="Cambria Math"/>
              </w:rPr>
              <m:t>ins</m:t>
            </m:r>
            <m:sSub>
              <m:sSubPr>
                <m:ctrlPr>
                  <w:rPr>
                    <w:rFonts w:ascii="Cambria Math" w:hAnsi="Cambria Math"/>
                  </w:rPr>
                </m:ctrlPr>
              </m:sSubPr>
              <m:e>
                <m:r>
                  <w:rPr>
                    <w:rFonts w:ascii="Cambria Math" w:hAnsi="Cambria Math"/>
                  </w:rPr>
                  <m:t>t</m:t>
                </m:r>
              </m:e>
              <m:sub>
                <m:r>
                  <w:rPr>
                    <w:rFonts w:ascii="Cambria Math" w:hAnsi="Cambria Math"/>
                  </w:rPr>
                  <m:t>it</m:t>
                </m:r>
              </m:sub>
            </m:sSub>
            <m:r>
              <w:rPr>
                <w:rFonts w:ascii="Cambria Math" w:hAnsi="Cambria Math"/>
              </w:rPr>
              <m:t>≤δ</m:t>
            </m:r>
          </m:e>
        </m:d>
        <m:r>
          <w:rPr>
            <w:rFonts w:ascii="Cambria Math" w:hAnsi="Cambria Math"/>
          </w:rPr>
          <m:t>+</m:t>
        </m:r>
        <m:d>
          <m:dPr>
            <m:ctrlPr>
              <w:rPr>
                <w:rFonts w:ascii="Cambria Math" w:hAnsi="Cambria Math"/>
              </w:rPr>
            </m:ctrlPr>
          </m:dPr>
          <m:e>
            <m:r>
              <w:rPr>
                <w:rFonts w:ascii="Cambria Math" w:hAnsi="Cambria Math"/>
              </w:rPr>
              <m:t>1,x</m:t>
            </m:r>
            <m:sSub>
              <m:sSubPr>
                <m:ctrlPr>
                  <w:rPr>
                    <w:rFonts w:ascii="Cambria Math" w:hAnsi="Cambria Math"/>
                  </w:rPr>
                </m:ctrlPr>
              </m:sSubPr>
              <m:e>
                <m:r>
                  <w:rPr>
                    <w:rFonts w:ascii="Cambria Math" w:hAnsi="Cambria Math"/>
                  </w:rPr>
                  <m:t>'</m:t>
                </m:r>
              </m:e>
              <m:sub>
                <m:r>
                  <w:rPr>
                    <w:rFonts w:ascii="Cambria Math" w:hAnsi="Cambria Math"/>
                  </w:rPr>
                  <m:t>it</m:t>
                </m:r>
              </m:sub>
            </m:sSub>
          </m:e>
        </m:d>
        <m:sSub>
          <m:sSubPr>
            <m:ctrlPr>
              <w:rPr>
                <w:rFonts w:ascii="Cambria Math" w:hAnsi="Cambria Math"/>
              </w:rPr>
            </m:ctrlPr>
          </m:sSubPr>
          <m:e>
            <m:r>
              <w:rPr>
                <w:rFonts w:ascii="Cambria Math" w:hAnsi="Cambria Math"/>
              </w:rPr>
              <m:t>α</m:t>
            </m:r>
          </m:e>
          <m:sub>
            <m:r>
              <w:rPr>
                <w:rFonts w:ascii="Cambria Math" w:hAnsi="Cambria Math"/>
              </w:rPr>
              <m:t>2</m:t>
            </m:r>
          </m:sub>
        </m:sSub>
        <m:r>
          <w:rPr>
            <w:rFonts w:ascii="Cambria Math" w:hAnsi="Cambria Math"/>
          </w:rPr>
          <m:t>1</m:t>
        </m:r>
        <m:d>
          <m:dPr>
            <m:begChr m:val="{"/>
            <m:endChr m:val="}"/>
            <m:ctrlPr>
              <w:rPr>
                <w:rFonts w:ascii="Cambria Math" w:hAnsi="Cambria Math"/>
              </w:rPr>
            </m:ctrlPr>
          </m:dPr>
          <m:e>
            <m:r>
              <w:rPr>
                <w:rFonts w:ascii="Cambria Math" w:hAnsi="Cambria Math"/>
              </w:rPr>
              <m:t>ins</m:t>
            </m:r>
            <m:sSub>
              <m:sSubPr>
                <m:ctrlPr>
                  <w:rPr>
                    <w:rFonts w:ascii="Cambria Math" w:hAnsi="Cambria Math"/>
                  </w:rPr>
                </m:ctrlPr>
              </m:sSubPr>
              <m:e>
                <m:r>
                  <w:rPr>
                    <w:rFonts w:ascii="Cambria Math" w:hAnsi="Cambria Math"/>
                  </w:rPr>
                  <m:t>t</m:t>
                </m:r>
              </m:e>
              <m:sub>
                <m:r>
                  <w:rPr>
                    <w:rFonts w:ascii="Cambria Math" w:hAnsi="Cambria Math"/>
                  </w:rPr>
                  <m:t>it</m:t>
                </m:r>
              </m:sub>
            </m:sSub>
            <m:r>
              <w:rPr>
                <w:rFonts w:ascii="Cambria Math" w:hAnsi="Cambria Math"/>
              </w:rPr>
              <m:t>&gt;δ</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oMath>
      <w:r>
        <w:t xml:space="preserve">                         (5)</w:t>
      </w:r>
    </w:p>
    <w:p w:rsidR="00E438DA" w:rsidRDefault="00000000">
      <w:pPr>
        <w:jc w:val="center"/>
      </w:pPr>
      <m:oMath>
        <m:sSub>
          <m:sSubPr>
            <m:ctrlPr>
              <w:rPr>
                <w:rFonts w:ascii="Cambria Math" w:hAnsi="Cambria Math"/>
              </w:rPr>
            </m:ctrlPr>
          </m:sSubPr>
          <m:e>
            <m:r>
              <w:rPr>
                <w:rFonts w:ascii="Cambria Math" w:hAnsi="Cambria Math"/>
              </w:rPr>
              <m:t>ε</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it</m:t>
            </m:r>
          </m:sub>
        </m:sSub>
        <m:r>
          <w:rPr>
            <w:rFonts w:ascii="Cambria Math" w:hAnsi="Cambria Math"/>
          </w:rPr>
          <m:t>1=1,...,n;t=1,...,T.</m:t>
        </m:r>
      </m:oMath>
      <w:r>
        <w:t xml:space="preserve">     </w:t>
      </w:r>
    </w:p>
    <w:p w:rsidR="00E438DA" w:rsidRDefault="00000000">
      <w:pPr>
        <w:jc w:val="both"/>
      </w:pPr>
      <w:r>
        <w:t xml:space="preserve">Renewable energy, </w:t>
      </w:r>
      <m:oMath>
        <m:r>
          <w:rPr>
            <w:rFonts w:ascii="Cambria Math" w:hAnsi="Cambria Math"/>
          </w:rPr>
          <m:t>r</m:t>
        </m:r>
        <m:sSub>
          <m:sSubPr>
            <m:ctrlPr>
              <w:rPr>
                <w:rFonts w:ascii="Cambria Math" w:hAnsi="Cambria Math"/>
              </w:rPr>
            </m:ctrlPr>
          </m:sSubPr>
          <m:e>
            <m:r>
              <w:rPr>
                <w:rFonts w:ascii="Cambria Math" w:hAnsi="Cambria Math"/>
              </w:rPr>
              <m:t>e</m:t>
            </m:r>
          </m:e>
          <m:sub>
            <m:r>
              <w:rPr>
                <w:rFonts w:ascii="Cambria Math" w:hAnsi="Cambria Math"/>
              </w:rPr>
              <m:t>it</m:t>
            </m:r>
          </m:sub>
        </m:sSub>
      </m:oMath>
      <w:r>
        <w:t>, is the explained variable in the above threshold equation.</w:t>
      </w:r>
    </w:p>
    <w:p w:rsidR="00E438DA" w:rsidRDefault="00000000">
      <w:pPr>
        <w:jc w:val="both"/>
      </w:pPr>
      <w:r>
        <w:t xml:space="preserve">The dependent variable's lag </w:t>
      </w:r>
      <m:oMath>
        <m:r>
          <w:rPr>
            <w:rFonts w:ascii="Cambria Math" w:hAnsi="Cambria Math"/>
          </w:rPr>
          <m:t>r</m:t>
        </m:r>
        <m:sSub>
          <m:sSubPr>
            <m:ctrlPr>
              <w:rPr>
                <w:rFonts w:ascii="Cambria Math" w:hAnsi="Cambria Math"/>
              </w:rPr>
            </m:ctrlPr>
          </m:sSubPr>
          <m:e>
            <m:r>
              <w:rPr>
                <w:rFonts w:ascii="Cambria Math" w:hAnsi="Cambria Math"/>
              </w:rPr>
              <m:t>e</m:t>
            </m:r>
          </m:e>
          <m:sub>
            <m:r>
              <w:rPr>
                <w:rFonts w:ascii="Cambria Math" w:hAnsi="Cambria Math"/>
              </w:rPr>
              <m:t>it-i</m:t>
            </m:r>
          </m:sub>
        </m:sSub>
      </m:oMath>
      <w:r>
        <w:t xml:space="preserve"> is included in the vector of control variables known as xit as an independent variable. An indication function is 1{.}. The transitional or threshold variable is </w:t>
      </w:r>
      <m:oMath>
        <m:r>
          <w:rPr>
            <w:rFonts w:ascii="Cambria Math" w:hAnsi="Cambria Math"/>
          </w:rPr>
          <m:t>ins</m:t>
        </m:r>
        <m:sSub>
          <m:sSubPr>
            <m:ctrlPr>
              <w:rPr>
                <w:rFonts w:ascii="Cambria Math" w:hAnsi="Cambria Math"/>
              </w:rPr>
            </m:ctrlPr>
          </m:sSubPr>
          <m:e>
            <m:r>
              <w:rPr>
                <w:rFonts w:ascii="Cambria Math" w:hAnsi="Cambria Math"/>
              </w:rPr>
              <m:t>t</m:t>
            </m:r>
          </m:e>
          <m:sub>
            <m:r>
              <w:rPr>
                <w:rFonts w:ascii="Cambria Math" w:hAnsi="Cambria Math"/>
              </w:rPr>
              <m:t>it</m:t>
            </m:r>
          </m:sub>
        </m:sSub>
      </m:oMath>
      <w:r>
        <w:t xml:space="preserve">, and the threshold estimate is δ. The slopes explain regimes 1 and 2. The parameters represent these α1 and α2. The error </w:t>
      </w:r>
      <w:proofErr w:type="gramStart"/>
      <w:r>
        <w:t>term(</w:t>
      </w:r>
      <w:proofErr w:type="gramEnd"/>
      <m:oMath>
        <m:sSub>
          <m:sSubPr>
            <m:ctrlPr>
              <w:rPr>
                <w:rFonts w:ascii="Cambria Math" w:hAnsi="Cambria Math"/>
              </w:rPr>
            </m:ctrlPr>
          </m:sSubPr>
          <m:e>
            <m:r>
              <w:rPr>
                <w:rFonts w:ascii="Cambria Math" w:hAnsi="Cambria Math"/>
              </w:rPr>
              <m:t>ε</m:t>
            </m:r>
          </m:e>
          <m:sub>
            <m:r>
              <w:rPr>
                <w:rFonts w:ascii="Cambria Math" w:hAnsi="Cambria Math"/>
              </w:rPr>
              <m:t>it</m:t>
            </m:r>
          </m:sub>
        </m:sSub>
      </m:oMath>
      <w:r>
        <w:t>) is made up of a zero mean idiosyncratic random disturbance (</w:t>
      </w:r>
      <m:oMath>
        <m:sSub>
          <m:sSubPr>
            <m:ctrlPr>
              <w:rPr>
                <w:rFonts w:ascii="Cambria Math" w:hAnsi="Cambria Math"/>
              </w:rPr>
            </m:ctrlPr>
          </m:sSubPr>
          <m:e>
            <m:r>
              <w:rPr>
                <w:rFonts w:ascii="Cambria Math" w:hAnsi="Cambria Math"/>
              </w:rPr>
              <m:t>ν</m:t>
            </m:r>
          </m:e>
          <m:sub>
            <m:r>
              <w:rPr>
                <w:rFonts w:ascii="Cambria Math" w:hAnsi="Cambria Math"/>
              </w:rPr>
              <m:t>it</m:t>
            </m:r>
          </m:sub>
        </m:sSub>
      </m:oMath>
      <w:r>
        <w:t xml:space="preserve">) and an unobserved individual country-specific fixed effect </w:t>
      </w:r>
      <m:oMath>
        <m:sSub>
          <m:sSubPr>
            <m:ctrlPr>
              <w:rPr>
                <w:rFonts w:ascii="Cambria Math" w:hAnsi="Cambria Math"/>
              </w:rPr>
            </m:ctrlPr>
          </m:sSubPr>
          <m:e>
            <m:r>
              <w:rPr>
                <w:rFonts w:ascii="Cambria Math" w:hAnsi="Cambria Math"/>
              </w:rPr>
              <m:t>(γ</m:t>
            </m:r>
          </m:e>
          <m:sub>
            <m:r>
              <w:rPr>
                <w:rFonts w:ascii="Cambria Math" w:hAnsi="Cambria Math"/>
              </w:rPr>
              <m:t>i</m:t>
            </m:r>
          </m:sub>
        </m:sSub>
        <m:r>
          <w:rPr>
            <w:rFonts w:ascii="Cambria Math" w:hAnsi="Cambria Math"/>
          </w:rPr>
          <m:t>)</m:t>
        </m:r>
      </m:oMath>
      <w:r>
        <w:t>.</w:t>
      </w:r>
    </w:p>
    <w:p w:rsidR="00E438DA" w:rsidRDefault="00E438DA">
      <w:pPr>
        <w:jc w:val="both"/>
      </w:pPr>
    </w:p>
    <w:p w:rsidR="00E438DA" w:rsidRDefault="00000000">
      <w:pPr>
        <w:jc w:val="both"/>
        <w:rPr>
          <w:rFonts w:ascii="Georgia" w:eastAsia="Georgia" w:hAnsi="Georgia" w:cs="Georgia"/>
          <w:color w:val="434343"/>
          <w:sz w:val="30"/>
          <w:szCs w:val="30"/>
        </w:rPr>
      </w:pPr>
      <w:r>
        <w:rPr>
          <w:rFonts w:ascii="Georgia" w:eastAsia="Georgia" w:hAnsi="Georgia" w:cs="Georgia"/>
          <w:color w:val="434343"/>
          <w:sz w:val="30"/>
          <w:szCs w:val="30"/>
        </w:rPr>
        <w:t xml:space="preserve">5.2 Data and Sources  </w:t>
      </w:r>
    </w:p>
    <w:p w:rsidR="00E438DA" w:rsidRDefault="00E438DA">
      <w:pPr>
        <w:jc w:val="both"/>
      </w:pPr>
    </w:p>
    <w:p w:rsidR="00E438DA" w:rsidRDefault="00000000">
      <w:pPr>
        <w:jc w:val="both"/>
        <w:rPr>
          <w:rFonts w:ascii="Georgia" w:eastAsia="Georgia" w:hAnsi="Georgia" w:cs="Georgia"/>
        </w:rPr>
      </w:pPr>
      <w:r>
        <w:rPr>
          <w:rFonts w:ascii="Georgia" w:eastAsia="Georgia" w:hAnsi="Georgia" w:cs="Georgia"/>
        </w:rPr>
        <w:t xml:space="preserve">The study uses panel data from 27 lower-middle-income </w:t>
      </w:r>
      <w:proofErr w:type="gramStart"/>
      <w:r>
        <w:rPr>
          <w:rFonts w:ascii="Georgia" w:eastAsia="Georgia" w:hAnsi="Georgia" w:cs="Georgia"/>
        </w:rPr>
        <w:t>countries(</w:t>
      </w:r>
      <w:proofErr w:type="gramEnd"/>
      <w:r>
        <w:rPr>
          <w:rFonts w:ascii="Georgia" w:eastAsia="Georgia" w:hAnsi="Georgia" w:cs="Georgia"/>
        </w:rPr>
        <w:t xml:space="preserve">Refer </w:t>
      </w:r>
      <w:r>
        <w:rPr>
          <w:rFonts w:ascii="Georgia" w:eastAsia="Georgia" w:hAnsi="Georgia" w:cs="Georgia"/>
          <w:b/>
        </w:rPr>
        <w:t>Table 1</w:t>
      </w:r>
      <w:r>
        <w:rPr>
          <w:rFonts w:ascii="Georgia" w:eastAsia="Georgia" w:hAnsi="Georgia" w:cs="Georgia"/>
        </w:rPr>
        <w:t xml:space="preserve"> in Appendix for more details) from 2000 to 2021, sourced from reputable </w:t>
      </w:r>
      <w:proofErr w:type="gramStart"/>
      <w:r>
        <w:rPr>
          <w:rFonts w:ascii="Georgia" w:eastAsia="Georgia" w:hAnsi="Georgia" w:cs="Georgia"/>
        </w:rPr>
        <w:t>databases(</w:t>
      </w:r>
      <w:proofErr w:type="gramEnd"/>
      <w:r>
        <w:rPr>
          <w:rFonts w:ascii="Georgia" w:eastAsia="Georgia" w:hAnsi="Georgia" w:cs="Georgia"/>
        </w:rPr>
        <w:t xml:space="preserve">Refer </w:t>
      </w:r>
      <w:r>
        <w:rPr>
          <w:rFonts w:ascii="Georgia" w:eastAsia="Georgia" w:hAnsi="Georgia" w:cs="Georgia"/>
          <w:b/>
        </w:rPr>
        <w:t xml:space="preserve">Table 2 </w:t>
      </w:r>
      <w:r>
        <w:rPr>
          <w:rFonts w:ascii="Georgia" w:eastAsia="Georgia" w:hAnsi="Georgia" w:cs="Georgia"/>
        </w:rPr>
        <w:t xml:space="preserve">in Appendix for more details). </w:t>
      </w:r>
    </w:p>
    <w:p w:rsidR="00E438DA" w:rsidRDefault="00000000">
      <w:pPr>
        <w:jc w:val="both"/>
        <w:rPr>
          <w:rFonts w:ascii="Georgia" w:eastAsia="Georgia" w:hAnsi="Georgia" w:cs="Georgia"/>
        </w:rPr>
      </w:pPr>
      <w:r>
        <w:rPr>
          <w:rFonts w:ascii="Georgia" w:eastAsia="Georgia" w:hAnsi="Georgia" w:cs="Georgia"/>
        </w:rPr>
        <w:t xml:space="preserve">Renewable energy consumption data (% of total final energy consumption) comes from the World Bank's World Development Indicators, while financial development indicators are sourced from the IMF Financial Statistics Database. </w:t>
      </w:r>
    </w:p>
    <w:p w:rsidR="00E438DA" w:rsidRDefault="00000000">
      <w:pPr>
        <w:jc w:val="both"/>
        <w:rPr>
          <w:rFonts w:ascii="Georgia" w:eastAsia="Georgia" w:hAnsi="Georgia" w:cs="Georgia"/>
        </w:rPr>
      </w:pPr>
      <w:r>
        <w:rPr>
          <w:rFonts w:ascii="Georgia" w:eastAsia="Georgia" w:hAnsi="Georgia" w:cs="Georgia"/>
        </w:rPr>
        <w:t xml:space="preserve">Institutional quality measures are derived from the International Country Risk Guide (ICRG), covering aspects like corruption control and government stability. </w:t>
      </w:r>
    </w:p>
    <w:p w:rsidR="00E438DA" w:rsidRDefault="00000000">
      <w:pPr>
        <w:jc w:val="both"/>
        <w:rPr>
          <w:rFonts w:ascii="Georgia" w:eastAsia="Georgia" w:hAnsi="Georgia" w:cs="Georgia"/>
        </w:rPr>
      </w:pPr>
      <w:r>
        <w:rPr>
          <w:rFonts w:ascii="Georgia" w:eastAsia="Georgia" w:hAnsi="Georgia" w:cs="Georgia"/>
        </w:rPr>
        <w:t>Macroeconomic variables such as RGDPPC, FDI inflows, and population are included to ensure comprehensive analysis. Variance Inflation Factor (VIF) tests confirm no severe multicollinearity among independent variables, ensuring reliable regression estimates.</w:t>
      </w:r>
    </w:p>
    <w:p w:rsidR="00E438DA" w:rsidRDefault="00E438DA">
      <w:pPr>
        <w:jc w:val="both"/>
      </w:pPr>
    </w:p>
    <w:p w:rsidR="00E438DA" w:rsidRDefault="00E438DA">
      <w:pPr>
        <w:jc w:val="both"/>
      </w:pPr>
    </w:p>
    <w:p w:rsidR="00E438DA" w:rsidRDefault="00000000">
      <w:pPr>
        <w:jc w:val="both"/>
      </w:pPr>
      <w:r>
        <w:rPr>
          <w:rFonts w:ascii="Georgia" w:eastAsia="Georgia" w:hAnsi="Georgia" w:cs="Georgia"/>
          <w:color w:val="434343"/>
          <w:sz w:val="30"/>
          <w:szCs w:val="30"/>
        </w:rPr>
        <w:t xml:space="preserve"> 5.3 Descriptive Statistics</w:t>
      </w:r>
      <w:r>
        <w:rPr>
          <w:rFonts w:ascii="Georgia" w:eastAsia="Georgia" w:hAnsi="Georgia" w:cs="Georgia"/>
          <w:b/>
          <w:sz w:val="24"/>
          <w:szCs w:val="24"/>
        </w:rPr>
        <w:t xml:space="preserve"> </w:t>
      </w:r>
      <w:r>
        <w:t xml:space="preserve"> </w:t>
      </w:r>
    </w:p>
    <w:p w:rsidR="00E438DA" w:rsidRDefault="00E438DA">
      <w:pPr>
        <w:jc w:val="both"/>
      </w:pPr>
    </w:p>
    <w:p w:rsidR="00E438DA"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6"/>
          <w:szCs w:val="26"/>
        </w:rPr>
        <w:t xml:space="preserve">Table 3: </w:t>
      </w:r>
      <w:r>
        <w:rPr>
          <w:rFonts w:ascii="Times New Roman" w:eastAsia="Times New Roman" w:hAnsi="Times New Roman" w:cs="Times New Roman"/>
          <w:b/>
          <w:sz w:val="24"/>
          <w:szCs w:val="24"/>
        </w:rPr>
        <w:t>Descriptive Statistics</w:t>
      </w:r>
    </w:p>
    <w:p w:rsidR="00E438DA" w:rsidRDefault="00E438DA">
      <w:pPr>
        <w:ind w:left="540"/>
        <w:rPr>
          <w:rFonts w:ascii="Times New Roman" w:eastAsia="Times New Roman" w:hAnsi="Times New Roman" w:cs="Times New Roman"/>
          <w:b/>
        </w:rPr>
      </w:pPr>
    </w:p>
    <w:tbl>
      <w:tblPr>
        <w:tblStyle w:val="a1"/>
        <w:tblW w:w="10170"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1"/>
        <w:gridCol w:w="1170"/>
        <w:gridCol w:w="795"/>
        <w:gridCol w:w="1005"/>
        <w:gridCol w:w="1035"/>
        <w:gridCol w:w="921"/>
        <w:gridCol w:w="758"/>
        <w:gridCol w:w="1080"/>
        <w:gridCol w:w="915"/>
        <w:gridCol w:w="1470"/>
      </w:tblGrid>
      <w:tr w:rsidR="00E438DA">
        <w:trPr>
          <w:trHeight w:val="782"/>
        </w:trPr>
        <w:tc>
          <w:tcPr>
            <w:tcW w:w="102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Notation</w:t>
            </w:r>
          </w:p>
        </w:tc>
        <w:tc>
          <w:tcPr>
            <w:tcW w:w="117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Definition</w:t>
            </w:r>
          </w:p>
        </w:tc>
        <w:tc>
          <w:tcPr>
            <w:tcW w:w="795"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Mean</w:t>
            </w:r>
          </w:p>
        </w:tc>
        <w:tc>
          <w:tcPr>
            <w:tcW w:w="1005"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Median</w:t>
            </w:r>
          </w:p>
        </w:tc>
        <w:tc>
          <w:tcPr>
            <w:tcW w:w="1035"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Maximum</w:t>
            </w:r>
          </w:p>
        </w:tc>
        <w:tc>
          <w:tcPr>
            <w:tcW w:w="921"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Minimum</w:t>
            </w:r>
          </w:p>
        </w:tc>
        <w:tc>
          <w:tcPr>
            <w:tcW w:w="758"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b/>
                <w:sz w:val="16"/>
                <w:szCs w:val="16"/>
              </w:rPr>
            </w:pPr>
            <w:proofErr w:type="spellStart"/>
            <w:r>
              <w:rPr>
                <w:rFonts w:ascii="Times New Roman" w:eastAsia="Times New Roman" w:hAnsi="Times New Roman" w:cs="Times New Roman"/>
                <w:b/>
                <w:sz w:val="16"/>
                <w:szCs w:val="16"/>
              </w:rPr>
              <w:t>Std.Dev</w:t>
            </w:r>
            <w:proofErr w:type="spellEnd"/>
          </w:p>
        </w:tc>
        <w:tc>
          <w:tcPr>
            <w:tcW w:w="108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Skewness</w:t>
            </w:r>
          </w:p>
        </w:tc>
        <w:tc>
          <w:tcPr>
            <w:tcW w:w="915"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Kurtosis</w:t>
            </w:r>
          </w:p>
        </w:tc>
        <w:tc>
          <w:tcPr>
            <w:tcW w:w="147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Sources</w:t>
            </w:r>
          </w:p>
        </w:tc>
      </w:tr>
      <w:tr w:rsidR="00E438DA">
        <w:tc>
          <w:tcPr>
            <w:tcW w:w="102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REN</w:t>
            </w:r>
          </w:p>
        </w:tc>
        <w:tc>
          <w:tcPr>
            <w:tcW w:w="117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Renewable energy consumption (% of total energy consumption)</w:t>
            </w:r>
          </w:p>
        </w:tc>
        <w:tc>
          <w:tcPr>
            <w:tcW w:w="795"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49.0998</w:t>
            </w:r>
          </w:p>
        </w:tc>
        <w:tc>
          <w:tcPr>
            <w:tcW w:w="1005"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51.15</w:t>
            </w:r>
          </w:p>
        </w:tc>
        <w:tc>
          <w:tcPr>
            <w:tcW w:w="1035"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93.6</w:t>
            </w:r>
          </w:p>
        </w:tc>
        <w:tc>
          <w:tcPr>
            <w:tcW w:w="921"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1.7</w:t>
            </w:r>
          </w:p>
        </w:tc>
        <w:tc>
          <w:tcPr>
            <w:tcW w:w="758"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26.3870775</w:t>
            </w:r>
          </w:p>
        </w:tc>
        <w:tc>
          <w:tcPr>
            <w:tcW w:w="108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-0.23188</w:t>
            </w:r>
          </w:p>
        </w:tc>
        <w:tc>
          <w:tcPr>
            <w:tcW w:w="915"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-1.06641</w:t>
            </w:r>
          </w:p>
        </w:tc>
        <w:tc>
          <w:tcPr>
            <w:tcW w:w="147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World Bank</w:t>
            </w:r>
          </w:p>
        </w:tc>
      </w:tr>
      <w:tr w:rsidR="00E438DA">
        <w:tc>
          <w:tcPr>
            <w:tcW w:w="102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FD</w:t>
            </w:r>
          </w:p>
        </w:tc>
        <w:tc>
          <w:tcPr>
            <w:tcW w:w="117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Financial Development Indicator</w:t>
            </w:r>
          </w:p>
        </w:tc>
        <w:tc>
          <w:tcPr>
            <w:tcW w:w="795"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0.2103</w:t>
            </w:r>
          </w:p>
        </w:tc>
        <w:tc>
          <w:tcPr>
            <w:tcW w:w="1005"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0.18</w:t>
            </w:r>
          </w:p>
        </w:tc>
        <w:tc>
          <w:tcPr>
            <w:tcW w:w="1035"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0.58</w:t>
            </w:r>
          </w:p>
        </w:tc>
        <w:tc>
          <w:tcPr>
            <w:tcW w:w="921"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0.03</w:t>
            </w:r>
          </w:p>
        </w:tc>
        <w:tc>
          <w:tcPr>
            <w:tcW w:w="758"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0.1124812</w:t>
            </w:r>
          </w:p>
        </w:tc>
        <w:tc>
          <w:tcPr>
            <w:tcW w:w="108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0.85760</w:t>
            </w:r>
          </w:p>
        </w:tc>
        <w:tc>
          <w:tcPr>
            <w:tcW w:w="915"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0.08017</w:t>
            </w:r>
          </w:p>
        </w:tc>
        <w:tc>
          <w:tcPr>
            <w:tcW w:w="147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International Monetary Fund (IMF) Financial Statistics Database</w:t>
            </w:r>
          </w:p>
        </w:tc>
      </w:tr>
      <w:tr w:rsidR="00E438DA">
        <w:tc>
          <w:tcPr>
            <w:tcW w:w="102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INST</w:t>
            </w:r>
          </w:p>
        </w:tc>
        <w:tc>
          <w:tcPr>
            <w:tcW w:w="117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Index of Institutional quality</w:t>
            </w:r>
          </w:p>
        </w:tc>
        <w:tc>
          <w:tcPr>
            <w:tcW w:w="795"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0.5076</w:t>
            </w:r>
          </w:p>
        </w:tc>
        <w:tc>
          <w:tcPr>
            <w:tcW w:w="1005"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0.51</w:t>
            </w:r>
          </w:p>
        </w:tc>
        <w:tc>
          <w:tcPr>
            <w:tcW w:w="1035"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0.74</w:t>
            </w:r>
          </w:p>
        </w:tc>
        <w:tc>
          <w:tcPr>
            <w:tcW w:w="921"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0.23</w:t>
            </w:r>
          </w:p>
        </w:tc>
        <w:tc>
          <w:tcPr>
            <w:tcW w:w="758"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0.0955481</w:t>
            </w:r>
          </w:p>
        </w:tc>
        <w:tc>
          <w:tcPr>
            <w:tcW w:w="108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-0.44468</w:t>
            </w:r>
          </w:p>
        </w:tc>
        <w:tc>
          <w:tcPr>
            <w:tcW w:w="915"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0.00308</w:t>
            </w:r>
          </w:p>
        </w:tc>
        <w:tc>
          <w:tcPr>
            <w:tcW w:w="147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International Country Risk Guide (ICRG) from PRS Group</w:t>
            </w:r>
          </w:p>
        </w:tc>
      </w:tr>
      <w:tr w:rsidR="00E438DA">
        <w:tc>
          <w:tcPr>
            <w:tcW w:w="102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RGDPPC</w:t>
            </w:r>
          </w:p>
        </w:tc>
        <w:tc>
          <w:tcPr>
            <w:tcW w:w="117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Real GDP per capita (USD$ 2015)</w:t>
            </w:r>
          </w:p>
        </w:tc>
        <w:tc>
          <w:tcPr>
            <w:tcW w:w="795"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6,807,845</w:t>
            </w:r>
          </w:p>
        </w:tc>
        <w:tc>
          <w:tcPr>
            <w:tcW w:w="1005"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3,622,432</w:t>
            </w:r>
          </w:p>
        </w:tc>
        <w:tc>
          <w:tcPr>
            <w:tcW w:w="1035"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80,000,000</w:t>
            </w:r>
          </w:p>
        </w:tc>
        <w:tc>
          <w:tcPr>
            <w:tcW w:w="921"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89,156.3</w:t>
            </w:r>
          </w:p>
        </w:tc>
        <w:tc>
          <w:tcPr>
            <w:tcW w:w="758"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11,131,400</w:t>
            </w:r>
          </w:p>
        </w:tc>
        <w:tc>
          <w:tcPr>
            <w:tcW w:w="108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4.25392</w:t>
            </w:r>
          </w:p>
        </w:tc>
        <w:tc>
          <w:tcPr>
            <w:tcW w:w="915"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20.4645</w:t>
            </w:r>
          </w:p>
        </w:tc>
        <w:tc>
          <w:tcPr>
            <w:tcW w:w="147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World Bank</w:t>
            </w:r>
          </w:p>
        </w:tc>
      </w:tr>
      <w:tr w:rsidR="00E438DA">
        <w:tc>
          <w:tcPr>
            <w:tcW w:w="102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FDI</w:t>
            </w:r>
          </w:p>
        </w:tc>
        <w:tc>
          <w:tcPr>
            <w:tcW w:w="117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Foreign Direct Investment inflows as a percentage of GDP</w:t>
            </w:r>
          </w:p>
        </w:tc>
        <w:tc>
          <w:tcPr>
            <w:tcW w:w="795"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2.9934</w:t>
            </w:r>
          </w:p>
        </w:tc>
        <w:tc>
          <w:tcPr>
            <w:tcW w:w="1005"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1.9922</w:t>
            </w:r>
          </w:p>
        </w:tc>
        <w:tc>
          <w:tcPr>
            <w:tcW w:w="1035"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34.4182</w:t>
            </w:r>
          </w:p>
        </w:tc>
        <w:tc>
          <w:tcPr>
            <w:tcW w:w="921"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-17.2921</w:t>
            </w:r>
          </w:p>
        </w:tc>
        <w:tc>
          <w:tcPr>
            <w:tcW w:w="758"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3.910085</w:t>
            </w:r>
          </w:p>
        </w:tc>
        <w:tc>
          <w:tcPr>
            <w:tcW w:w="108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1.92374</w:t>
            </w:r>
          </w:p>
        </w:tc>
        <w:tc>
          <w:tcPr>
            <w:tcW w:w="915"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12.1092</w:t>
            </w:r>
          </w:p>
        </w:tc>
        <w:tc>
          <w:tcPr>
            <w:tcW w:w="147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World Bank</w:t>
            </w:r>
          </w:p>
        </w:tc>
      </w:tr>
      <w:tr w:rsidR="00E438DA">
        <w:tc>
          <w:tcPr>
            <w:tcW w:w="102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POP</w:t>
            </w:r>
          </w:p>
          <w:p w:rsidR="00E438DA" w:rsidRDefault="00E438DA">
            <w:pPr>
              <w:widowControl w:val="0"/>
              <w:spacing w:line="240" w:lineRule="auto"/>
              <w:jc w:val="center"/>
              <w:rPr>
                <w:rFonts w:ascii="Times New Roman" w:eastAsia="Times New Roman" w:hAnsi="Times New Roman" w:cs="Times New Roman"/>
                <w:sz w:val="18"/>
                <w:szCs w:val="18"/>
              </w:rPr>
            </w:pPr>
          </w:p>
        </w:tc>
        <w:tc>
          <w:tcPr>
            <w:tcW w:w="117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Total population size of country</w:t>
            </w:r>
          </w:p>
        </w:tc>
        <w:tc>
          <w:tcPr>
            <w:tcW w:w="795"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89935238</w:t>
            </w:r>
          </w:p>
        </w:tc>
        <w:tc>
          <w:tcPr>
            <w:tcW w:w="1005"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2.2E+07</w:t>
            </w:r>
          </w:p>
        </w:tc>
        <w:tc>
          <w:tcPr>
            <w:tcW w:w="1035"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1.41E+09</w:t>
            </w:r>
          </w:p>
        </w:tc>
        <w:tc>
          <w:tcPr>
            <w:tcW w:w="921"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3151345</w:t>
            </w:r>
          </w:p>
        </w:tc>
        <w:tc>
          <w:tcPr>
            <w:tcW w:w="758"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234255683</w:t>
            </w:r>
          </w:p>
        </w:tc>
        <w:tc>
          <w:tcPr>
            <w:tcW w:w="108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4.58903</w:t>
            </w:r>
          </w:p>
        </w:tc>
        <w:tc>
          <w:tcPr>
            <w:tcW w:w="915"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20.4729</w:t>
            </w:r>
          </w:p>
        </w:tc>
        <w:tc>
          <w:tcPr>
            <w:tcW w:w="147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World Bank</w:t>
            </w:r>
          </w:p>
        </w:tc>
      </w:tr>
      <w:tr w:rsidR="00E438DA">
        <w:tc>
          <w:tcPr>
            <w:tcW w:w="102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FD*INST</w:t>
            </w:r>
          </w:p>
        </w:tc>
        <w:tc>
          <w:tcPr>
            <w:tcW w:w="117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Interaction term between financial development and institutional quality</w:t>
            </w:r>
          </w:p>
        </w:tc>
        <w:tc>
          <w:tcPr>
            <w:tcW w:w="795"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0.1126</w:t>
            </w:r>
          </w:p>
        </w:tc>
        <w:tc>
          <w:tcPr>
            <w:tcW w:w="1005"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0.0936</w:t>
            </w:r>
          </w:p>
        </w:tc>
        <w:tc>
          <w:tcPr>
            <w:tcW w:w="1035"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0.3828</w:t>
            </w:r>
          </w:p>
        </w:tc>
        <w:tc>
          <w:tcPr>
            <w:tcW w:w="921"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0.0129</w:t>
            </w:r>
          </w:p>
        </w:tc>
        <w:tc>
          <w:tcPr>
            <w:tcW w:w="758"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0.07526406</w:t>
            </w:r>
          </w:p>
        </w:tc>
        <w:tc>
          <w:tcPr>
            <w:tcW w:w="108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1.24582</w:t>
            </w:r>
          </w:p>
        </w:tc>
        <w:tc>
          <w:tcPr>
            <w:tcW w:w="915"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1.30817</w:t>
            </w:r>
          </w:p>
        </w:tc>
        <w:tc>
          <w:tcPr>
            <w:tcW w:w="147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World Bank</w:t>
            </w:r>
          </w:p>
        </w:tc>
      </w:tr>
    </w:tbl>
    <w:p w:rsidR="00E438DA" w:rsidRDefault="00E438DA"/>
    <w:p w:rsidR="00E438DA" w:rsidRDefault="00000000">
      <w:pPr>
        <w:spacing w:after="240"/>
        <w:jc w:val="both"/>
        <w:rPr>
          <w:rFonts w:ascii="Georgia" w:eastAsia="Georgia" w:hAnsi="Georgia" w:cs="Georgia"/>
        </w:rPr>
      </w:pPr>
      <w:r>
        <w:rPr>
          <w:rFonts w:ascii="Georgia" w:eastAsia="Georgia" w:hAnsi="Georgia" w:cs="Georgia"/>
        </w:rPr>
        <w:t xml:space="preserve">The basic descriptive statistics dataset in Appendix D is </w:t>
      </w:r>
      <w:proofErr w:type="spellStart"/>
      <w:r>
        <w:rPr>
          <w:rFonts w:ascii="Georgia" w:eastAsia="Georgia" w:hAnsi="Georgia" w:cs="Georgia"/>
        </w:rPr>
        <w:t>summarised</w:t>
      </w:r>
      <w:proofErr w:type="spellEnd"/>
      <w:r>
        <w:rPr>
          <w:rFonts w:ascii="Georgia" w:eastAsia="Georgia" w:hAnsi="Georgia" w:cs="Georgia"/>
        </w:rPr>
        <w:t>.</w:t>
      </w:r>
    </w:p>
    <w:p w:rsidR="00E438DA" w:rsidRDefault="00000000">
      <w:pPr>
        <w:numPr>
          <w:ilvl w:val="0"/>
          <w:numId w:val="10"/>
        </w:numPr>
        <w:spacing w:before="240"/>
        <w:jc w:val="both"/>
      </w:pPr>
      <w:r>
        <w:rPr>
          <w:rFonts w:ascii="Georgia" w:eastAsia="Georgia" w:hAnsi="Georgia" w:cs="Georgia"/>
          <w:b/>
        </w:rPr>
        <w:lastRenderedPageBreak/>
        <w:t>Renewable Energy Consumption (REN):</w:t>
      </w:r>
      <w:r>
        <w:rPr>
          <w:rFonts w:ascii="Georgia" w:eastAsia="Georgia" w:hAnsi="Georgia" w:cs="Georgia"/>
        </w:rPr>
        <w:t xml:space="preserve"> Mean = 49.10%, Median = 51.15%, Max = 93.6%, Min = 1.7%. The standard deviation (26.39%) indicates high variability across countries. Skewness (-0.23) and kurtosis (-1.07) suggest a slightly left-skewed and flat distribution.</w:t>
      </w:r>
      <w:r>
        <w:rPr>
          <w:rFonts w:ascii="Georgia" w:eastAsia="Georgia" w:hAnsi="Georgia" w:cs="Georgia"/>
        </w:rPr>
        <w:br/>
      </w:r>
    </w:p>
    <w:p w:rsidR="00E438DA" w:rsidRDefault="00000000">
      <w:pPr>
        <w:numPr>
          <w:ilvl w:val="0"/>
          <w:numId w:val="10"/>
        </w:numPr>
        <w:jc w:val="both"/>
      </w:pPr>
      <w:r>
        <w:rPr>
          <w:rFonts w:ascii="Georgia" w:eastAsia="Georgia" w:hAnsi="Georgia" w:cs="Georgia"/>
          <w:b/>
        </w:rPr>
        <w:t>Financial Development (FD):</w:t>
      </w:r>
      <w:r>
        <w:rPr>
          <w:rFonts w:ascii="Georgia" w:eastAsia="Georgia" w:hAnsi="Georgia" w:cs="Georgia"/>
        </w:rPr>
        <w:t xml:space="preserve"> Mean = 0.21, Median = 0.18, Max = 0.58, Min = 0.03. Moderate variability (Std. Dev. = 0.11) is observed, with a positive skew (0.86) indicating more countries with lower financial development levels.</w:t>
      </w:r>
      <w:r>
        <w:rPr>
          <w:rFonts w:ascii="Georgia" w:eastAsia="Georgia" w:hAnsi="Georgia" w:cs="Georgia"/>
        </w:rPr>
        <w:br/>
      </w:r>
    </w:p>
    <w:p w:rsidR="00E438DA" w:rsidRDefault="00000000">
      <w:pPr>
        <w:numPr>
          <w:ilvl w:val="0"/>
          <w:numId w:val="10"/>
        </w:numPr>
        <w:jc w:val="both"/>
      </w:pPr>
      <w:r>
        <w:rPr>
          <w:rFonts w:ascii="Georgia" w:eastAsia="Georgia" w:hAnsi="Georgia" w:cs="Georgia"/>
          <w:b/>
        </w:rPr>
        <w:t>Institutional Quality (INST):</w:t>
      </w:r>
      <w:r>
        <w:rPr>
          <w:rFonts w:ascii="Georgia" w:eastAsia="Georgia" w:hAnsi="Georgia" w:cs="Georgia"/>
        </w:rPr>
        <w:t xml:space="preserve"> Mean = 0.51, Median = 0.51, Max = 0.74, Min = 0.23. Low variability (Std. Dev. = 0.0955) with slight left skewness (-0.45) and near-normal kurtosis (0.01).</w:t>
      </w:r>
      <w:r>
        <w:rPr>
          <w:rFonts w:ascii="Georgia" w:eastAsia="Georgia" w:hAnsi="Georgia" w:cs="Georgia"/>
        </w:rPr>
        <w:br/>
      </w:r>
    </w:p>
    <w:p w:rsidR="00E438DA" w:rsidRDefault="00000000">
      <w:pPr>
        <w:numPr>
          <w:ilvl w:val="0"/>
          <w:numId w:val="10"/>
        </w:numPr>
        <w:jc w:val="both"/>
      </w:pPr>
      <w:r>
        <w:rPr>
          <w:rFonts w:ascii="Georgia" w:eastAsia="Georgia" w:hAnsi="Georgia" w:cs="Georgia"/>
          <w:b/>
        </w:rPr>
        <w:t>Real GDP Per Capita (RGDPPC):</w:t>
      </w:r>
      <w:r>
        <w:rPr>
          <w:rFonts w:ascii="Georgia" w:eastAsia="Georgia" w:hAnsi="Georgia" w:cs="Georgia"/>
        </w:rPr>
        <w:t xml:space="preserve"> Mean = $6,817,520, Median = $3,622,432, Max = $80,201,757, Min = $89,156. High variability (Std. Dev. = $11,138,787) with strong positive skewness (4.26) and high kurtosis (20.61), reflecting significant economic disparities.</w:t>
      </w:r>
      <w:r>
        <w:rPr>
          <w:rFonts w:ascii="Georgia" w:eastAsia="Georgia" w:hAnsi="Georgia" w:cs="Georgia"/>
        </w:rPr>
        <w:br/>
      </w:r>
    </w:p>
    <w:p w:rsidR="00E438DA" w:rsidRDefault="00000000">
      <w:pPr>
        <w:numPr>
          <w:ilvl w:val="0"/>
          <w:numId w:val="10"/>
        </w:numPr>
        <w:jc w:val="both"/>
      </w:pPr>
      <w:r>
        <w:rPr>
          <w:rFonts w:ascii="Georgia" w:eastAsia="Georgia" w:hAnsi="Georgia" w:cs="Georgia"/>
          <w:b/>
        </w:rPr>
        <w:t>FDI Inflows (FDI):</w:t>
      </w:r>
      <w:r>
        <w:rPr>
          <w:rFonts w:ascii="Georgia" w:eastAsia="Georgia" w:hAnsi="Georgia" w:cs="Georgia"/>
        </w:rPr>
        <w:t xml:space="preserve"> Mean = 2.99%, Median = 1.99%, Max = 34.42%, Min = -17.29%. High variability (Std. Dev. = 3.91%) with a right-skewed distribution (1.93) and extreme outliers (kurtosis = 12.22).</w:t>
      </w:r>
      <w:r>
        <w:rPr>
          <w:rFonts w:ascii="Georgia" w:eastAsia="Georgia" w:hAnsi="Georgia" w:cs="Georgia"/>
        </w:rPr>
        <w:br/>
      </w:r>
    </w:p>
    <w:p w:rsidR="00E438DA" w:rsidRDefault="00000000">
      <w:pPr>
        <w:numPr>
          <w:ilvl w:val="0"/>
          <w:numId w:val="10"/>
        </w:numPr>
        <w:jc w:val="both"/>
      </w:pPr>
      <w:r>
        <w:rPr>
          <w:rFonts w:ascii="Georgia" w:eastAsia="Georgia" w:hAnsi="Georgia" w:cs="Georgia"/>
          <w:b/>
        </w:rPr>
        <w:t>Population Size (POP):</w:t>
      </w:r>
      <w:r>
        <w:rPr>
          <w:rFonts w:ascii="Georgia" w:eastAsia="Georgia" w:hAnsi="Georgia" w:cs="Georgia"/>
        </w:rPr>
        <w:t xml:space="preserve"> Mean = ~89 million, Median = ~21 million, Max = ~1.41 billion, Min = ~3 million. Extremely high variability (Std. Dev. = ~234 million), positive skewness (4.59), and high kurtosis (20.47).</w:t>
      </w:r>
      <w:r>
        <w:rPr>
          <w:rFonts w:ascii="Georgia" w:eastAsia="Georgia" w:hAnsi="Georgia" w:cs="Georgia"/>
        </w:rPr>
        <w:br/>
      </w:r>
    </w:p>
    <w:p w:rsidR="00E438DA" w:rsidRDefault="00000000">
      <w:pPr>
        <w:numPr>
          <w:ilvl w:val="0"/>
          <w:numId w:val="10"/>
        </w:numPr>
        <w:spacing w:after="240"/>
        <w:jc w:val="both"/>
      </w:pPr>
      <w:r>
        <w:rPr>
          <w:rFonts w:ascii="Georgia" w:eastAsia="Georgia" w:hAnsi="Georgia" w:cs="Georgia"/>
          <w:b/>
        </w:rPr>
        <w:t>Interaction Term (FD*INST):</w:t>
      </w:r>
      <w:r>
        <w:rPr>
          <w:rFonts w:ascii="Georgia" w:eastAsia="Georgia" w:hAnsi="Georgia" w:cs="Georgia"/>
        </w:rPr>
        <w:t xml:space="preserve"> Mean = 0.11, Median = 0.0936, Max = 0.3828, Min = 0.0129; moderate variability (Std. Dev.=0.0753), positive skewness (1.25), and mild outliers (kurtosis=1.31).</w:t>
      </w:r>
      <w:r>
        <w:rPr>
          <w:rFonts w:ascii="Georgia" w:eastAsia="Georgia" w:hAnsi="Georgia" w:cs="Georgia"/>
        </w:rPr>
        <w:br/>
      </w:r>
    </w:p>
    <w:p w:rsidR="00E438DA" w:rsidRDefault="00000000">
      <w:pPr>
        <w:pStyle w:val="Heading2"/>
        <w:keepNext w:val="0"/>
        <w:keepLines w:val="0"/>
        <w:spacing w:after="80"/>
        <w:rPr>
          <w:b/>
          <w:sz w:val="26"/>
          <w:szCs w:val="26"/>
        </w:rPr>
      </w:pPr>
      <w:bookmarkStart w:id="28" w:name="_heading=h.lri925280uk6" w:colFirst="0" w:colLast="0"/>
      <w:bookmarkEnd w:id="28"/>
      <w:r>
        <w:rPr>
          <w:b/>
          <w:noProof/>
          <w:sz w:val="26"/>
          <w:szCs w:val="26"/>
        </w:rPr>
        <w:drawing>
          <wp:inline distT="114300" distB="114300" distL="114300" distR="114300">
            <wp:extent cx="5943600" cy="24511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7"/>
                    <a:srcRect/>
                    <a:stretch>
                      <a:fillRect/>
                    </a:stretch>
                  </pic:blipFill>
                  <pic:spPr>
                    <a:xfrm>
                      <a:off x="0" y="0"/>
                      <a:ext cx="5943600" cy="2451100"/>
                    </a:xfrm>
                    <a:prstGeom prst="rect">
                      <a:avLst/>
                    </a:prstGeom>
                    <a:ln/>
                  </pic:spPr>
                </pic:pic>
              </a:graphicData>
            </a:graphic>
          </wp:inline>
        </w:drawing>
      </w:r>
    </w:p>
    <w:p w:rsidR="00E438DA" w:rsidRDefault="00E438DA"/>
    <w:p w:rsidR="00E438DA" w:rsidRDefault="00000000">
      <w:pPr>
        <w:jc w:val="center"/>
      </w:pPr>
      <w:r>
        <w:t xml:space="preserve">Figure 1: Average value of Financial </w:t>
      </w:r>
      <w:proofErr w:type="gramStart"/>
      <w:r>
        <w:t>Development(</w:t>
      </w:r>
      <w:proofErr w:type="gramEnd"/>
      <w:r>
        <w:t>FD) Index in Lower Middle-Income Countries</w:t>
      </w:r>
    </w:p>
    <w:p w:rsidR="00E438DA" w:rsidRDefault="00E438DA">
      <w:pPr>
        <w:jc w:val="center"/>
      </w:pPr>
    </w:p>
    <w:p w:rsidR="00E438DA" w:rsidRDefault="00E438DA">
      <w:pPr>
        <w:jc w:val="center"/>
      </w:pPr>
    </w:p>
    <w:p w:rsidR="00E438DA" w:rsidRDefault="00E438DA"/>
    <w:p w:rsidR="00E438DA" w:rsidRDefault="00E438DA">
      <w:pPr>
        <w:jc w:val="center"/>
      </w:pPr>
    </w:p>
    <w:p w:rsidR="00E438DA" w:rsidRDefault="00E438DA">
      <w:pPr>
        <w:jc w:val="center"/>
      </w:pPr>
    </w:p>
    <w:p w:rsidR="00E438DA" w:rsidRDefault="00000000">
      <w:r>
        <w:rPr>
          <w:noProof/>
        </w:rPr>
        <w:drawing>
          <wp:inline distT="114300" distB="114300" distL="114300" distR="114300">
            <wp:extent cx="5943600" cy="31496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8"/>
                    <a:srcRect/>
                    <a:stretch>
                      <a:fillRect/>
                    </a:stretch>
                  </pic:blipFill>
                  <pic:spPr>
                    <a:xfrm>
                      <a:off x="0" y="0"/>
                      <a:ext cx="5943600" cy="3149600"/>
                    </a:xfrm>
                    <a:prstGeom prst="rect">
                      <a:avLst/>
                    </a:prstGeom>
                    <a:ln/>
                  </pic:spPr>
                </pic:pic>
              </a:graphicData>
            </a:graphic>
          </wp:inline>
        </w:drawing>
      </w:r>
    </w:p>
    <w:p w:rsidR="00E438DA" w:rsidRDefault="00E438DA"/>
    <w:p w:rsidR="00E438DA" w:rsidRDefault="00000000">
      <w:pPr>
        <w:jc w:val="center"/>
      </w:pPr>
      <w:r>
        <w:t xml:space="preserve">Figure 2: Average value of Institutional </w:t>
      </w:r>
      <w:proofErr w:type="gramStart"/>
      <w:r>
        <w:t>quality(</w:t>
      </w:r>
      <w:proofErr w:type="gramEnd"/>
      <w:r>
        <w:t>INST) in Lower Middle-Income Countries</w:t>
      </w:r>
    </w:p>
    <w:p w:rsidR="00E438DA" w:rsidRDefault="00E438DA">
      <w:pPr>
        <w:jc w:val="center"/>
      </w:pPr>
    </w:p>
    <w:p w:rsidR="00E438DA" w:rsidRDefault="00E438DA">
      <w:pPr>
        <w:pStyle w:val="Heading2"/>
        <w:keepNext w:val="0"/>
        <w:keepLines w:val="0"/>
        <w:spacing w:after="80"/>
        <w:jc w:val="both"/>
        <w:rPr>
          <w:rFonts w:ascii="Georgia" w:eastAsia="Georgia" w:hAnsi="Georgia" w:cs="Georgia"/>
          <w:b/>
          <w:sz w:val="26"/>
          <w:szCs w:val="26"/>
        </w:rPr>
      </w:pPr>
      <w:bookmarkStart w:id="29" w:name="_heading=h.312zakooq3hy" w:colFirst="0" w:colLast="0"/>
      <w:bookmarkEnd w:id="29"/>
    </w:p>
    <w:p w:rsidR="00E438DA" w:rsidRDefault="00000000">
      <w:pPr>
        <w:pStyle w:val="Heading2"/>
        <w:keepNext w:val="0"/>
        <w:keepLines w:val="0"/>
        <w:spacing w:after="80"/>
        <w:jc w:val="both"/>
        <w:rPr>
          <w:rFonts w:ascii="Georgia" w:eastAsia="Georgia" w:hAnsi="Georgia" w:cs="Georgia"/>
          <w:color w:val="434343"/>
          <w:sz w:val="30"/>
          <w:szCs w:val="30"/>
        </w:rPr>
      </w:pPr>
      <w:bookmarkStart w:id="30" w:name="_heading=h.rp4z4jodfdyv" w:colFirst="0" w:colLast="0"/>
      <w:bookmarkEnd w:id="30"/>
      <w:r>
        <w:rPr>
          <w:rFonts w:ascii="Georgia" w:eastAsia="Georgia" w:hAnsi="Georgia" w:cs="Georgia"/>
          <w:color w:val="434343"/>
          <w:sz w:val="30"/>
          <w:szCs w:val="30"/>
        </w:rPr>
        <w:t>Correlation Matrix:</w:t>
      </w:r>
    </w:p>
    <w:p w:rsidR="00E438DA" w:rsidRDefault="00000000">
      <w:pPr>
        <w:rPr>
          <w:rFonts w:ascii="Georgia" w:eastAsia="Georgia" w:hAnsi="Georgia" w:cs="Georgia"/>
          <w:b/>
          <w:sz w:val="26"/>
          <w:szCs w:val="26"/>
        </w:rPr>
      </w:pPr>
      <w:r>
        <w:rPr>
          <w:rFonts w:ascii="Times New Roman" w:eastAsia="Times New Roman" w:hAnsi="Times New Roman" w:cs="Times New Roman"/>
          <w:b/>
          <w:sz w:val="26"/>
          <w:szCs w:val="26"/>
        </w:rPr>
        <w:t>Table 4: Correlation Matrix</w:t>
      </w:r>
    </w:p>
    <w:p w:rsidR="00E438DA" w:rsidRDefault="00E438DA">
      <w:pPr>
        <w:ind w:left="900"/>
      </w:pPr>
    </w:p>
    <w:sdt>
      <w:sdtPr>
        <w:tag w:val="goog_rdk_5"/>
        <w:id w:val="723874907"/>
        <w:lock w:val="contentLocked"/>
      </w:sdtPr>
      <w:sdtContent>
        <w:tbl>
          <w:tblPr>
            <w:tblStyle w:val="a2"/>
            <w:tblW w:w="9585" w:type="dxa"/>
            <w:tblInd w:w="-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50"/>
            <w:gridCol w:w="1380"/>
            <w:gridCol w:w="1380"/>
            <w:gridCol w:w="1305"/>
            <w:gridCol w:w="1350"/>
            <w:gridCol w:w="1440"/>
            <w:gridCol w:w="1380"/>
          </w:tblGrid>
          <w:tr w:rsidR="00E438DA">
            <w:tc>
              <w:tcPr>
                <w:tcW w:w="1350" w:type="dxa"/>
                <w:tcMar>
                  <w:top w:w="100" w:type="dxa"/>
                  <w:left w:w="100" w:type="dxa"/>
                  <w:bottom w:w="100" w:type="dxa"/>
                  <w:right w:w="100" w:type="dxa"/>
                </w:tcMar>
              </w:tcPr>
              <w:p w:rsidR="00E438DA" w:rsidRDefault="00E438DA">
                <w:pPr>
                  <w:widowControl w:val="0"/>
                  <w:spacing w:line="240" w:lineRule="auto"/>
                  <w:rPr>
                    <w:rFonts w:ascii="Times New Roman" w:eastAsia="Times New Roman" w:hAnsi="Times New Roman" w:cs="Times New Roman"/>
                    <w:b/>
                  </w:rPr>
                </w:pPr>
              </w:p>
            </w:tc>
            <w:tc>
              <w:tcPr>
                <w:tcW w:w="138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REN</w:t>
                </w:r>
              </w:p>
            </w:tc>
            <w:tc>
              <w:tcPr>
                <w:tcW w:w="138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FD</w:t>
                </w:r>
              </w:p>
            </w:tc>
            <w:tc>
              <w:tcPr>
                <w:tcW w:w="1305"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INST</w:t>
                </w:r>
              </w:p>
            </w:tc>
            <w:tc>
              <w:tcPr>
                <w:tcW w:w="135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RGDPPC</w:t>
                </w:r>
              </w:p>
            </w:tc>
            <w:tc>
              <w:tcPr>
                <w:tcW w:w="144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FDI</w:t>
                </w:r>
              </w:p>
            </w:tc>
            <w:tc>
              <w:tcPr>
                <w:tcW w:w="138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POP</w:t>
                </w:r>
              </w:p>
            </w:tc>
          </w:tr>
          <w:tr w:rsidR="00E438DA">
            <w:tc>
              <w:tcPr>
                <w:tcW w:w="135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REN</w:t>
                </w:r>
              </w:p>
            </w:tc>
            <w:tc>
              <w:tcPr>
                <w:tcW w:w="13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1</w:t>
                </w:r>
              </w:p>
            </w:tc>
            <w:tc>
              <w:tcPr>
                <w:tcW w:w="1380" w:type="dxa"/>
                <w:tcBorders>
                  <w:top w:val="single" w:sz="6" w:space="0" w:color="000000"/>
                  <w:bottom w:val="single" w:sz="6" w:space="0" w:color="000000"/>
                  <w:right w:val="single" w:sz="6" w:space="0" w:color="000000"/>
                </w:tcBorders>
                <w:tcMar>
                  <w:top w:w="0" w:type="dxa"/>
                  <w:left w:w="40" w:type="dxa"/>
                  <w:bottom w:w="0" w:type="dxa"/>
                  <w:right w:w="40" w:type="dxa"/>
                </w:tcMar>
                <w:vAlign w:val="bottom"/>
              </w:tcPr>
              <w:p w:rsidR="00E438DA" w:rsidRDefault="00E438DA">
                <w:pPr>
                  <w:widowControl w:val="0"/>
                  <w:jc w:val="center"/>
                  <w:rPr>
                    <w:rFonts w:ascii="Times New Roman" w:eastAsia="Times New Roman" w:hAnsi="Times New Roman" w:cs="Times New Roman"/>
                  </w:rPr>
                </w:pPr>
              </w:p>
            </w:tc>
            <w:tc>
              <w:tcPr>
                <w:tcW w:w="1305" w:type="dxa"/>
                <w:tcBorders>
                  <w:top w:val="single" w:sz="6" w:space="0" w:color="000000"/>
                  <w:bottom w:val="single" w:sz="6" w:space="0" w:color="000000"/>
                  <w:right w:val="single" w:sz="6" w:space="0" w:color="000000"/>
                </w:tcBorders>
                <w:tcMar>
                  <w:top w:w="0" w:type="dxa"/>
                  <w:left w:w="40" w:type="dxa"/>
                  <w:bottom w:w="0" w:type="dxa"/>
                  <w:right w:w="40" w:type="dxa"/>
                </w:tcMar>
                <w:vAlign w:val="bottom"/>
              </w:tcPr>
              <w:p w:rsidR="00E438DA" w:rsidRDefault="00E438DA">
                <w:pPr>
                  <w:widowControl w:val="0"/>
                  <w:jc w:val="center"/>
                  <w:rPr>
                    <w:rFonts w:ascii="Times New Roman" w:eastAsia="Times New Roman" w:hAnsi="Times New Roman" w:cs="Times New Roman"/>
                  </w:rPr>
                </w:pPr>
              </w:p>
            </w:tc>
            <w:tc>
              <w:tcPr>
                <w:tcW w:w="1350" w:type="dxa"/>
                <w:tcBorders>
                  <w:top w:val="single" w:sz="6" w:space="0" w:color="000000"/>
                  <w:bottom w:val="single" w:sz="6" w:space="0" w:color="000000"/>
                  <w:right w:val="single" w:sz="6" w:space="0" w:color="000000"/>
                </w:tcBorders>
                <w:tcMar>
                  <w:top w:w="0" w:type="dxa"/>
                  <w:left w:w="40" w:type="dxa"/>
                  <w:bottom w:w="0" w:type="dxa"/>
                  <w:right w:w="40" w:type="dxa"/>
                </w:tcMar>
                <w:vAlign w:val="bottom"/>
              </w:tcPr>
              <w:p w:rsidR="00E438DA" w:rsidRDefault="00E438DA">
                <w:pPr>
                  <w:widowControl w:val="0"/>
                  <w:jc w:val="center"/>
                  <w:rPr>
                    <w:rFonts w:ascii="Times New Roman" w:eastAsia="Times New Roman" w:hAnsi="Times New Roman" w:cs="Times New Roman"/>
                  </w:rPr>
                </w:pPr>
              </w:p>
            </w:tc>
            <w:tc>
              <w:tcPr>
                <w:tcW w:w="1440" w:type="dxa"/>
                <w:tcBorders>
                  <w:top w:val="single" w:sz="6" w:space="0" w:color="000000"/>
                  <w:bottom w:val="single" w:sz="6" w:space="0" w:color="000000"/>
                  <w:right w:val="single" w:sz="6" w:space="0" w:color="000000"/>
                </w:tcBorders>
                <w:tcMar>
                  <w:top w:w="0" w:type="dxa"/>
                  <w:left w:w="40" w:type="dxa"/>
                  <w:bottom w:w="0" w:type="dxa"/>
                  <w:right w:w="40" w:type="dxa"/>
                </w:tcMar>
                <w:vAlign w:val="bottom"/>
              </w:tcPr>
              <w:p w:rsidR="00E438DA" w:rsidRDefault="00E438DA">
                <w:pPr>
                  <w:widowControl w:val="0"/>
                  <w:jc w:val="center"/>
                  <w:rPr>
                    <w:rFonts w:ascii="Times New Roman" w:eastAsia="Times New Roman" w:hAnsi="Times New Roman" w:cs="Times New Roman"/>
                  </w:rPr>
                </w:pPr>
              </w:p>
            </w:tc>
            <w:tc>
              <w:tcPr>
                <w:tcW w:w="1380" w:type="dxa"/>
                <w:tcBorders>
                  <w:top w:val="single" w:sz="6" w:space="0" w:color="000000"/>
                  <w:bottom w:val="single" w:sz="6" w:space="0" w:color="000000"/>
                  <w:right w:val="single" w:sz="6" w:space="0" w:color="000000"/>
                </w:tcBorders>
                <w:tcMar>
                  <w:top w:w="0" w:type="dxa"/>
                  <w:left w:w="40" w:type="dxa"/>
                  <w:bottom w:w="0" w:type="dxa"/>
                  <w:right w:w="40" w:type="dxa"/>
                </w:tcMar>
                <w:vAlign w:val="bottom"/>
              </w:tcPr>
              <w:p w:rsidR="00E438DA" w:rsidRDefault="00E438DA">
                <w:pPr>
                  <w:widowControl w:val="0"/>
                  <w:ind w:right="30"/>
                  <w:jc w:val="center"/>
                  <w:rPr>
                    <w:rFonts w:ascii="Times New Roman" w:eastAsia="Times New Roman" w:hAnsi="Times New Roman" w:cs="Times New Roman"/>
                  </w:rPr>
                </w:pPr>
              </w:p>
            </w:tc>
          </w:tr>
          <w:tr w:rsidR="00E438DA">
            <w:tc>
              <w:tcPr>
                <w:tcW w:w="135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FD</w:t>
                </w:r>
              </w:p>
            </w:tc>
            <w:tc>
              <w:tcPr>
                <w:tcW w:w="138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-0.69228</w:t>
                </w:r>
              </w:p>
            </w:tc>
            <w:tc>
              <w:tcPr>
                <w:tcW w:w="1380" w:type="dxa"/>
                <w:tcBorders>
                  <w:bottom w:val="single" w:sz="6" w:space="0" w:color="000000"/>
                  <w:right w:val="single" w:sz="6" w:space="0" w:color="000000"/>
                </w:tcBorders>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1</w:t>
                </w:r>
              </w:p>
            </w:tc>
            <w:tc>
              <w:tcPr>
                <w:tcW w:w="1305" w:type="dxa"/>
                <w:tcBorders>
                  <w:bottom w:val="single" w:sz="6" w:space="0" w:color="000000"/>
                  <w:right w:val="single" w:sz="6" w:space="0" w:color="000000"/>
                </w:tcBorders>
                <w:tcMar>
                  <w:top w:w="0" w:type="dxa"/>
                  <w:left w:w="40" w:type="dxa"/>
                  <w:bottom w:w="0" w:type="dxa"/>
                  <w:right w:w="40" w:type="dxa"/>
                </w:tcMar>
                <w:vAlign w:val="bottom"/>
              </w:tcPr>
              <w:p w:rsidR="00E438DA" w:rsidRDefault="00E438DA">
                <w:pPr>
                  <w:widowControl w:val="0"/>
                  <w:jc w:val="center"/>
                  <w:rPr>
                    <w:rFonts w:ascii="Times New Roman" w:eastAsia="Times New Roman" w:hAnsi="Times New Roman" w:cs="Times New Roman"/>
                  </w:rPr>
                </w:pPr>
              </w:p>
            </w:tc>
            <w:tc>
              <w:tcPr>
                <w:tcW w:w="1350" w:type="dxa"/>
                <w:tcBorders>
                  <w:bottom w:val="single" w:sz="6" w:space="0" w:color="000000"/>
                  <w:right w:val="single" w:sz="6" w:space="0" w:color="000000"/>
                </w:tcBorders>
                <w:tcMar>
                  <w:top w:w="0" w:type="dxa"/>
                  <w:left w:w="40" w:type="dxa"/>
                  <w:bottom w:w="0" w:type="dxa"/>
                  <w:right w:w="40" w:type="dxa"/>
                </w:tcMar>
                <w:vAlign w:val="bottom"/>
              </w:tcPr>
              <w:p w:rsidR="00E438DA" w:rsidRDefault="00E438DA">
                <w:pPr>
                  <w:widowControl w:val="0"/>
                  <w:jc w:val="center"/>
                  <w:rPr>
                    <w:rFonts w:ascii="Times New Roman" w:eastAsia="Times New Roman" w:hAnsi="Times New Roman" w:cs="Times New Roman"/>
                  </w:rPr>
                </w:pPr>
              </w:p>
            </w:tc>
            <w:tc>
              <w:tcPr>
                <w:tcW w:w="1440" w:type="dxa"/>
                <w:tcBorders>
                  <w:bottom w:val="single" w:sz="6" w:space="0" w:color="000000"/>
                  <w:right w:val="single" w:sz="6" w:space="0" w:color="000000"/>
                </w:tcBorders>
                <w:tcMar>
                  <w:top w:w="0" w:type="dxa"/>
                  <w:left w:w="40" w:type="dxa"/>
                  <w:bottom w:w="0" w:type="dxa"/>
                  <w:right w:w="40" w:type="dxa"/>
                </w:tcMar>
                <w:vAlign w:val="bottom"/>
              </w:tcPr>
              <w:p w:rsidR="00E438DA" w:rsidRDefault="00E438DA">
                <w:pPr>
                  <w:widowControl w:val="0"/>
                  <w:jc w:val="center"/>
                  <w:rPr>
                    <w:rFonts w:ascii="Times New Roman" w:eastAsia="Times New Roman" w:hAnsi="Times New Roman" w:cs="Times New Roman"/>
                  </w:rPr>
                </w:pPr>
              </w:p>
            </w:tc>
            <w:tc>
              <w:tcPr>
                <w:tcW w:w="1380" w:type="dxa"/>
                <w:tcBorders>
                  <w:bottom w:val="single" w:sz="6" w:space="0" w:color="000000"/>
                  <w:right w:val="single" w:sz="6" w:space="0" w:color="000000"/>
                </w:tcBorders>
                <w:tcMar>
                  <w:top w:w="0" w:type="dxa"/>
                  <w:left w:w="40" w:type="dxa"/>
                  <w:bottom w:w="0" w:type="dxa"/>
                  <w:right w:w="40" w:type="dxa"/>
                </w:tcMar>
                <w:vAlign w:val="bottom"/>
              </w:tcPr>
              <w:p w:rsidR="00E438DA" w:rsidRDefault="00E438DA">
                <w:pPr>
                  <w:widowControl w:val="0"/>
                  <w:jc w:val="center"/>
                  <w:rPr>
                    <w:rFonts w:ascii="Times New Roman" w:eastAsia="Times New Roman" w:hAnsi="Times New Roman" w:cs="Times New Roman"/>
                  </w:rPr>
                </w:pPr>
              </w:p>
            </w:tc>
          </w:tr>
          <w:tr w:rsidR="00E438DA">
            <w:tc>
              <w:tcPr>
                <w:tcW w:w="135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INST</w:t>
                </w:r>
              </w:p>
            </w:tc>
            <w:tc>
              <w:tcPr>
                <w:tcW w:w="138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-0.55463</w:t>
                </w:r>
              </w:p>
            </w:tc>
            <w:tc>
              <w:tcPr>
                <w:tcW w:w="1380" w:type="dxa"/>
                <w:tcBorders>
                  <w:bottom w:val="single" w:sz="6" w:space="0" w:color="000000"/>
                  <w:right w:val="single" w:sz="6" w:space="0" w:color="000000"/>
                </w:tcBorders>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0.618414</w:t>
                </w:r>
              </w:p>
            </w:tc>
            <w:tc>
              <w:tcPr>
                <w:tcW w:w="1305" w:type="dxa"/>
                <w:tcBorders>
                  <w:bottom w:val="single" w:sz="6" w:space="0" w:color="000000"/>
                  <w:right w:val="single" w:sz="6" w:space="0" w:color="000000"/>
                </w:tcBorders>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1</w:t>
                </w:r>
              </w:p>
            </w:tc>
            <w:tc>
              <w:tcPr>
                <w:tcW w:w="1350" w:type="dxa"/>
                <w:tcBorders>
                  <w:bottom w:val="single" w:sz="6" w:space="0" w:color="000000"/>
                  <w:right w:val="single" w:sz="6" w:space="0" w:color="000000"/>
                </w:tcBorders>
                <w:tcMar>
                  <w:top w:w="0" w:type="dxa"/>
                  <w:left w:w="40" w:type="dxa"/>
                  <w:bottom w:w="0" w:type="dxa"/>
                  <w:right w:w="40" w:type="dxa"/>
                </w:tcMar>
                <w:vAlign w:val="bottom"/>
              </w:tcPr>
              <w:p w:rsidR="00E438DA" w:rsidRDefault="00E438DA">
                <w:pPr>
                  <w:widowControl w:val="0"/>
                  <w:jc w:val="center"/>
                  <w:rPr>
                    <w:rFonts w:ascii="Times New Roman" w:eastAsia="Times New Roman" w:hAnsi="Times New Roman" w:cs="Times New Roman"/>
                  </w:rPr>
                </w:pPr>
              </w:p>
            </w:tc>
            <w:tc>
              <w:tcPr>
                <w:tcW w:w="1440" w:type="dxa"/>
                <w:tcBorders>
                  <w:bottom w:val="single" w:sz="6" w:space="0" w:color="000000"/>
                  <w:right w:val="single" w:sz="6" w:space="0" w:color="000000"/>
                </w:tcBorders>
                <w:tcMar>
                  <w:top w:w="0" w:type="dxa"/>
                  <w:left w:w="40" w:type="dxa"/>
                  <w:bottom w:w="0" w:type="dxa"/>
                  <w:right w:w="40" w:type="dxa"/>
                </w:tcMar>
                <w:vAlign w:val="bottom"/>
              </w:tcPr>
              <w:p w:rsidR="00E438DA" w:rsidRDefault="00E438DA">
                <w:pPr>
                  <w:widowControl w:val="0"/>
                  <w:jc w:val="center"/>
                  <w:rPr>
                    <w:rFonts w:ascii="Times New Roman" w:eastAsia="Times New Roman" w:hAnsi="Times New Roman" w:cs="Times New Roman"/>
                  </w:rPr>
                </w:pPr>
              </w:p>
            </w:tc>
            <w:tc>
              <w:tcPr>
                <w:tcW w:w="1380" w:type="dxa"/>
                <w:tcBorders>
                  <w:bottom w:val="single" w:sz="6" w:space="0" w:color="000000"/>
                  <w:right w:val="single" w:sz="6" w:space="0" w:color="000000"/>
                </w:tcBorders>
                <w:tcMar>
                  <w:top w:w="0" w:type="dxa"/>
                  <w:left w:w="40" w:type="dxa"/>
                  <w:bottom w:w="0" w:type="dxa"/>
                  <w:right w:w="40" w:type="dxa"/>
                </w:tcMar>
                <w:vAlign w:val="bottom"/>
              </w:tcPr>
              <w:p w:rsidR="00E438DA" w:rsidRDefault="00E438DA">
                <w:pPr>
                  <w:widowControl w:val="0"/>
                  <w:jc w:val="center"/>
                  <w:rPr>
                    <w:rFonts w:ascii="Times New Roman" w:eastAsia="Times New Roman" w:hAnsi="Times New Roman" w:cs="Times New Roman"/>
                  </w:rPr>
                </w:pPr>
              </w:p>
            </w:tc>
          </w:tr>
          <w:tr w:rsidR="00E438DA">
            <w:tc>
              <w:tcPr>
                <w:tcW w:w="135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RGDPPC</w:t>
                </w:r>
              </w:p>
            </w:tc>
            <w:tc>
              <w:tcPr>
                <w:tcW w:w="138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-0.55541</w:t>
                </w:r>
              </w:p>
            </w:tc>
            <w:tc>
              <w:tcPr>
                <w:tcW w:w="1380" w:type="dxa"/>
                <w:tcBorders>
                  <w:bottom w:val="single" w:sz="6" w:space="0" w:color="000000"/>
                  <w:right w:val="single" w:sz="6" w:space="0" w:color="000000"/>
                </w:tcBorders>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0.344573</w:t>
                </w:r>
              </w:p>
            </w:tc>
            <w:tc>
              <w:tcPr>
                <w:tcW w:w="1305" w:type="dxa"/>
                <w:tcBorders>
                  <w:bottom w:val="single" w:sz="6" w:space="0" w:color="000000"/>
                  <w:right w:val="single" w:sz="6" w:space="0" w:color="000000"/>
                </w:tcBorders>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0.214412</w:t>
                </w:r>
              </w:p>
            </w:tc>
            <w:tc>
              <w:tcPr>
                <w:tcW w:w="1350" w:type="dxa"/>
                <w:tcBorders>
                  <w:bottom w:val="single" w:sz="6" w:space="0" w:color="000000"/>
                  <w:right w:val="single" w:sz="6" w:space="0" w:color="000000"/>
                </w:tcBorders>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1</w:t>
                </w:r>
              </w:p>
            </w:tc>
            <w:tc>
              <w:tcPr>
                <w:tcW w:w="1440" w:type="dxa"/>
                <w:tcBorders>
                  <w:bottom w:val="single" w:sz="6" w:space="0" w:color="000000"/>
                  <w:right w:val="single" w:sz="6" w:space="0" w:color="000000"/>
                </w:tcBorders>
                <w:tcMar>
                  <w:top w:w="0" w:type="dxa"/>
                  <w:left w:w="40" w:type="dxa"/>
                  <w:bottom w:w="0" w:type="dxa"/>
                  <w:right w:w="40" w:type="dxa"/>
                </w:tcMar>
                <w:vAlign w:val="bottom"/>
              </w:tcPr>
              <w:p w:rsidR="00E438DA" w:rsidRDefault="00E438DA">
                <w:pPr>
                  <w:widowControl w:val="0"/>
                  <w:jc w:val="center"/>
                  <w:rPr>
                    <w:rFonts w:ascii="Times New Roman" w:eastAsia="Times New Roman" w:hAnsi="Times New Roman" w:cs="Times New Roman"/>
                  </w:rPr>
                </w:pPr>
              </w:p>
            </w:tc>
            <w:tc>
              <w:tcPr>
                <w:tcW w:w="1380" w:type="dxa"/>
                <w:tcBorders>
                  <w:bottom w:val="single" w:sz="6" w:space="0" w:color="000000"/>
                  <w:right w:val="single" w:sz="6" w:space="0" w:color="000000"/>
                </w:tcBorders>
                <w:tcMar>
                  <w:top w:w="0" w:type="dxa"/>
                  <w:left w:w="40" w:type="dxa"/>
                  <w:bottom w:w="0" w:type="dxa"/>
                  <w:right w:w="40" w:type="dxa"/>
                </w:tcMar>
                <w:vAlign w:val="bottom"/>
              </w:tcPr>
              <w:p w:rsidR="00E438DA" w:rsidRDefault="00E438DA">
                <w:pPr>
                  <w:widowControl w:val="0"/>
                  <w:jc w:val="center"/>
                  <w:rPr>
                    <w:rFonts w:ascii="Times New Roman" w:eastAsia="Times New Roman" w:hAnsi="Times New Roman" w:cs="Times New Roman"/>
                  </w:rPr>
                </w:pPr>
              </w:p>
            </w:tc>
          </w:tr>
          <w:tr w:rsidR="00E438DA">
            <w:tc>
              <w:tcPr>
                <w:tcW w:w="135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FDI</w:t>
                </w:r>
              </w:p>
            </w:tc>
            <w:tc>
              <w:tcPr>
                <w:tcW w:w="138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-0.31259</w:t>
                </w:r>
              </w:p>
            </w:tc>
            <w:tc>
              <w:tcPr>
                <w:tcW w:w="1380" w:type="dxa"/>
                <w:tcBorders>
                  <w:bottom w:val="single" w:sz="6" w:space="0" w:color="000000"/>
                  <w:right w:val="single" w:sz="6" w:space="0" w:color="000000"/>
                </w:tcBorders>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0.1518</w:t>
                </w:r>
              </w:p>
            </w:tc>
            <w:tc>
              <w:tcPr>
                <w:tcW w:w="1305" w:type="dxa"/>
                <w:tcBorders>
                  <w:bottom w:val="single" w:sz="6" w:space="0" w:color="000000"/>
                  <w:right w:val="single" w:sz="6" w:space="0" w:color="000000"/>
                </w:tcBorders>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0.308414</w:t>
                </w:r>
              </w:p>
            </w:tc>
            <w:tc>
              <w:tcPr>
                <w:tcW w:w="1350" w:type="dxa"/>
                <w:tcBorders>
                  <w:bottom w:val="single" w:sz="6" w:space="0" w:color="000000"/>
                  <w:right w:val="single" w:sz="6" w:space="0" w:color="000000"/>
                </w:tcBorders>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0.491474</w:t>
                </w:r>
              </w:p>
            </w:tc>
            <w:tc>
              <w:tcPr>
                <w:tcW w:w="1440" w:type="dxa"/>
                <w:tcBorders>
                  <w:bottom w:val="single" w:sz="6" w:space="0" w:color="000000"/>
                  <w:right w:val="single" w:sz="6" w:space="0" w:color="000000"/>
                </w:tcBorders>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1</w:t>
                </w:r>
              </w:p>
            </w:tc>
            <w:tc>
              <w:tcPr>
                <w:tcW w:w="1380" w:type="dxa"/>
                <w:tcBorders>
                  <w:bottom w:val="single" w:sz="6" w:space="0" w:color="000000"/>
                  <w:right w:val="single" w:sz="6" w:space="0" w:color="000000"/>
                </w:tcBorders>
                <w:tcMar>
                  <w:top w:w="0" w:type="dxa"/>
                  <w:left w:w="40" w:type="dxa"/>
                  <w:bottom w:w="0" w:type="dxa"/>
                  <w:right w:w="40" w:type="dxa"/>
                </w:tcMar>
                <w:vAlign w:val="bottom"/>
              </w:tcPr>
              <w:p w:rsidR="00E438DA" w:rsidRDefault="00E438DA">
                <w:pPr>
                  <w:widowControl w:val="0"/>
                  <w:jc w:val="center"/>
                  <w:rPr>
                    <w:rFonts w:ascii="Times New Roman" w:eastAsia="Times New Roman" w:hAnsi="Times New Roman" w:cs="Times New Roman"/>
                  </w:rPr>
                </w:pPr>
              </w:p>
            </w:tc>
          </w:tr>
          <w:tr w:rsidR="00E438DA">
            <w:tc>
              <w:tcPr>
                <w:tcW w:w="1350"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POP</w:t>
                </w:r>
              </w:p>
            </w:tc>
            <w:tc>
              <w:tcPr>
                <w:tcW w:w="138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-0.07196</w:t>
                </w:r>
              </w:p>
            </w:tc>
            <w:tc>
              <w:tcPr>
                <w:tcW w:w="1380" w:type="dxa"/>
                <w:tcBorders>
                  <w:bottom w:val="single" w:sz="6" w:space="0" w:color="000000"/>
                  <w:right w:val="single" w:sz="6" w:space="0" w:color="000000"/>
                </w:tcBorders>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0.501693</w:t>
                </w:r>
              </w:p>
            </w:tc>
            <w:tc>
              <w:tcPr>
                <w:tcW w:w="1305" w:type="dxa"/>
                <w:tcBorders>
                  <w:bottom w:val="single" w:sz="6" w:space="0" w:color="000000"/>
                  <w:right w:val="single" w:sz="6" w:space="0" w:color="000000"/>
                </w:tcBorders>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0.269713</w:t>
                </w:r>
              </w:p>
            </w:tc>
            <w:tc>
              <w:tcPr>
                <w:tcW w:w="1350" w:type="dxa"/>
                <w:tcBorders>
                  <w:bottom w:val="single" w:sz="6" w:space="0" w:color="000000"/>
                  <w:right w:val="single" w:sz="6" w:space="0" w:color="000000"/>
                </w:tcBorders>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-0.13671</w:t>
                </w:r>
              </w:p>
            </w:tc>
            <w:tc>
              <w:tcPr>
                <w:tcW w:w="1440" w:type="dxa"/>
                <w:tcBorders>
                  <w:bottom w:val="single" w:sz="6" w:space="0" w:color="000000"/>
                  <w:right w:val="single" w:sz="6" w:space="0" w:color="000000"/>
                </w:tcBorders>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-0.21591</w:t>
                </w:r>
              </w:p>
            </w:tc>
            <w:tc>
              <w:tcPr>
                <w:tcW w:w="1380" w:type="dxa"/>
                <w:tcBorders>
                  <w:bottom w:val="single" w:sz="6" w:space="0" w:color="000000"/>
                  <w:right w:val="single" w:sz="6" w:space="0" w:color="000000"/>
                </w:tcBorders>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1</w:t>
                </w:r>
              </w:p>
            </w:tc>
          </w:tr>
        </w:tbl>
      </w:sdtContent>
    </w:sdt>
    <w:p w:rsidR="00E438DA" w:rsidRDefault="00E438DA">
      <w:pPr>
        <w:ind w:left="900"/>
      </w:pPr>
    </w:p>
    <w:p w:rsidR="00E438DA" w:rsidRDefault="00000000">
      <w:pPr>
        <w:numPr>
          <w:ilvl w:val="0"/>
          <w:numId w:val="11"/>
        </w:numPr>
        <w:spacing w:before="240"/>
        <w:jc w:val="both"/>
        <w:rPr>
          <w:rFonts w:ascii="Georgia" w:eastAsia="Georgia" w:hAnsi="Georgia" w:cs="Georgia"/>
        </w:rPr>
      </w:pPr>
      <w:r>
        <w:rPr>
          <w:rFonts w:ascii="Georgia" w:eastAsia="Georgia" w:hAnsi="Georgia" w:cs="Georgia"/>
        </w:rPr>
        <w:t>Renewable energy consumption negatively correlates with financial development (-0.69), institutional quality (-0.55), real GDP per capita (-0.56), FDI inflows (-0.31), and population size (-0.07).</w:t>
      </w:r>
      <w:r>
        <w:rPr>
          <w:rFonts w:ascii="Georgia" w:eastAsia="Georgia" w:hAnsi="Georgia" w:cs="Georgia"/>
        </w:rPr>
        <w:br/>
      </w:r>
    </w:p>
    <w:p w:rsidR="00E438DA" w:rsidRDefault="00000000">
      <w:pPr>
        <w:numPr>
          <w:ilvl w:val="0"/>
          <w:numId w:val="11"/>
        </w:numPr>
        <w:jc w:val="both"/>
        <w:rPr>
          <w:rFonts w:ascii="Georgia" w:eastAsia="Georgia" w:hAnsi="Georgia" w:cs="Georgia"/>
        </w:rPr>
      </w:pPr>
      <w:r>
        <w:rPr>
          <w:rFonts w:ascii="Georgia" w:eastAsia="Georgia" w:hAnsi="Georgia" w:cs="Georgia"/>
        </w:rPr>
        <w:t>Financial development positively correlates with institutional quality (0.62), real GDP per capita (0.34), and population size (0.50).</w:t>
      </w:r>
      <w:r>
        <w:rPr>
          <w:rFonts w:ascii="Georgia" w:eastAsia="Georgia" w:hAnsi="Georgia" w:cs="Georgia"/>
        </w:rPr>
        <w:br/>
      </w:r>
    </w:p>
    <w:p w:rsidR="00E438DA" w:rsidRDefault="00000000">
      <w:pPr>
        <w:numPr>
          <w:ilvl w:val="0"/>
          <w:numId w:val="11"/>
        </w:numPr>
        <w:spacing w:after="240"/>
        <w:jc w:val="both"/>
        <w:rPr>
          <w:rFonts w:ascii="Georgia" w:eastAsia="Georgia" w:hAnsi="Georgia" w:cs="Georgia"/>
        </w:rPr>
      </w:pPr>
      <w:r>
        <w:rPr>
          <w:rFonts w:ascii="Georgia" w:eastAsia="Georgia" w:hAnsi="Georgia" w:cs="Georgia"/>
        </w:rPr>
        <w:t>Institutional quality shows moderate positive correlations with GDP per capita (0.21) and FDI inflows (0.31).</w:t>
      </w:r>
      <w:r>
        <w:rPr>
          <w:rFonts w:ascii="Georgia" w:eastAsia="Georgia" w:hAnsi="Georgia" w:cs="Georgia"/>
        </w:rPr>
        <w:br/>
      </w:r>
    </w:p>
    <w:p w:rsidR="00E438DA" w:rsidRDefault="00000000">
      <w:pPr>
        <w:spacing w:before="240" w:after="240"/>
        <w:jc w:val="both"/>
        <w:rPr>
          <w:rFonts w:ascii="Georgia" w:eastAsia="Georgia" w:hAnsi="Georgia" w:cs="Georgia"/>
        </w:rPr>
      </w:pPr>
      <w:r>
        <w:rPr>
          <w:rFonts w:ascii="Georgia" w:eastAsia="Georgia" w:hAnsi="Georgia" w:cs="Georgia"/>
        </w:rPr>
        <w:t>This descriptive analysis provides foundational insights into the interdependencies among these variables but underscores the need for further empirical investigation to explore causality and policy implications comprehensively.</w:t>
      </w:r>
    </w:p>
    <w:p w:rsidR="00E438DA" w:rsidRDefault="00E438DA">
      <w:pPr>
        <w:jc w:val="both"/>
      </w:pPr>
    </w:p>
    <w:p w:rsidR="00E438DA" w:rsidRDefault="00E438DA">
      <w:pPr>
        <w:jc w:val="both"/>
      </w:pPr>
    </w:p>
    <w:p w:rsidR="00E438DA" w:rsidRDefault="00E438DA">
      <w:pPr>
        <w:jc w:val="both"/>
      </w:pPr>
    </w:p>
    <w:p w:rsidR="00E438DA" w:rsidRDefault="00000000">
      <w:pPr>
        <w:jc w:val="both"/>
      </w:pPr>
      <w:r>
        <w:rPr>
          <w:rFonts w:ascii="Georgia" w:eastAsia="Georgia" w:hAnsi="Georgia" w:cs="Georgia"/>
          <w:color w:val="434343"/>
          <w:sz w:val="30"/>
          <w:szCs w:val="30"/>
        </w:rPr>
        <w:t xml:space="preserve"> 5.4 Estimation Technique </w:t>
      </w:r>
      <w:r>
        <w:t xml:space="preserve"> </w:t>
      </w:r>
    </w:p>
    <w:p w:rsidR="00E438DA" w:rsidRDefault="00E438DA">
      <w:pPr>
        <w:jc w:val="both"/>
      </w:pPr>
    </w:p>
    <w:p w:rsidR="00E438DA" w:rsidRDefault="00000000">
      <w:pPr>
        <w:jc w:val="both"/>
        <w:rPr>
          <w:rFonts w:ascii="Georgia" w:eastAsia="Georgia" w:hAnsi="Georgia" w:cs="Georgia"/>
        </w:rPr>
      </w:pPr>
      <w:r>
        <w:rPr>
          <w:rFonts w:ascii="Georgia" w:eastAsia="Georgia" w:hAnsi="Georgia" w:cs="Georgia"/>
        </w:rPr>
        <w:t>The study employs advanced econometric methods to address cross-sectional dependence (CD) and heterogeneity:</w:t>
      </w:r>
    </w:p>
    <w:p w:rsidR="00E438DA" w:rsidRDefault="00E438DA">
      <w:pPr>
        <w:jc w:val="both"/>
        <w:rPr>
          <w:rFonts w:ascii="Georgia" w:eastAsia="Georgia" w:hAnsi="Georgia" w:cs="Georgia"/>
        </w:rPr>
      </w:pPr>
    </w:p>
    <w:p w:rsidR="00E438DA" w:rsidRDefault="00000000">
      <w:pPr>
        <w:numPr>
          <w:ilvl w:val="0"/>
          <w:numId w:val="12"/>
        </w:numPr>
        <w:jc w:val="both"/>
      </w:pPr>
      <w:r>
        <w:rPr>
          <w:rFonts w:ascii="Georgia" w:eastAsia="Georgia" w:hAnsi="Georgia" w:cs="Georgia"/>
          <w:b/>
          <w:u w:val="single"/>
        </w:rPr>
        <w:t>Cross-Sectional Dependence Tests:</w:t>
      </w:r>
      <w:r>
        <w:rPr>
          <w:rFonts w:ascii="Georgia" w:eastAsia="Georgia" w:hAnsi="Georgia" w:cs="Georgia"/>
        </w:rPr>
        <w:t xml:space="preserve"> Tests such as Breusch-Pagan LM and </w:t>
      </w:r>
      <w:proofErr w:type="spellStart"/>
      <w:r>
        <w:rPr>
          <w:rFonts w:ascii="Georgia" w:eastAsia="Georgia" w:hAnsi="Georgia" w:cs="Georgia"/>
        </w:rPr>
        <w:t>Pesaran</w:t>
      </w:r>
      <w:proofErr w:type="spellEnd"/>
      <w:r>
        <w:rPr>
          <w:rFonts w:ascii="Georgia" w:eastAsia="Georgia" w:hAnsi="Georgia" w:cs="Georgia"/>
        </w:rPr>
        <w:t xml:space="preserve"> CD validate interdependence among countries:</w:t>
      </w:r>
    </w:p>
    <w:p w:rsidR="00E438DA" w:rsidRDefault="00E438DA">
      <w:pPr>
        <w:jc w:val="both"/>
        <w:rPr>
          <w:rFonts w:ascii="Georgia" w:eastAsia="Georgia" w:hAnsi="Georgia" w:cs="Georgia"/>
        </w:rPr>
      </w:pPr>
    </w:p>
    <w:p w:rsidR="00E438DA" w:rsidRDefault="00000000">
      <w:pPr>
        <w:jc w:val="right"/>
      </w:pPr>
      <w:r>
        <w:t xml:space="preserve">   </w:t>
      </w:r>
      <m:oMath>
        <m:r>
          <w:rPr>
            <w:rFonts w:ascii="Cambria Math" w:hAnsi="Cambria Math"/>
          </w:rPr>
          <m:t>CD=</m:t>
        </m:r>
        <m:rad>
          <m:radPr>
            <m:degHide m:val="1"/>
            <m:ctrlPr>
              <w:rPr>
                <w:rFonts w:ascii="Cambria Math" w:hAnsi="Cambria Math"/>
              </w:rPr>
            </m:ctrlPr>
          </m:radPr>
          <m:deg/>
          <m:e>
            <m:f>
              <m:fPr>
                <m:ctrlPr>
                  <w:rPr>
                    <w:rFonts w:ascii="Cambria Math" w:hAnsi="Cambria Math"/>
                  </w:rPr>
                </m:ctrlPr>
              </m:fPr>
              <m:num>
                <m:r>
                  <w:rPr>
                    <w:rFonts w:ascii="Cambria Math" w:hAnsi="Cambria Math"/>
                  </w:rPr>
                  <m:t>2T</m:t>
                </m:r>
              </m:num>
              <m:den>
                <m:r>
                  <w:rPr>
                    <w:rFonts w:ascii="Cambria Math" w:hAnsi="Cambria Math"/>
                  </w:rPr>
                  <m:t>(N(N - 1)</m:t>
                </m:r>
              </m:den>
            </m:f>
          </m:e>
        </m:rad>
        <m:r>
          <w:rPr>
            <w:rFonts w:ascii="Cambria Math" w:hAnsi="Cambria Math"/>
          </w:rPr>
          <m:t xml:space="preserve"> </m:t>
        </m:r>
        <m:d>
          <m:dPr>
            <m:ctrlPr>
              <w:rPr>
                <w:rFonts w:ascii="Cambria Math" w:hAnsi="Cambria Math"/>
              </w:rPr>
            </m:ctrlPr>
          </m:dPr>
          <m:e>
            <m:nary>
              <m:naryPr>
                <m:chr m:val="∑"/>
                <m:ctrlPr>
                  <w:rPr>
                    <w:rFonts w:ascii="Cambria Math" w:hAnsi="Cambria Math"/>
                  </w:rPr>
                </m:ctrlPr>
              </m:naryPr>
              <m:sub>
                <m:r>
                  <w:rPr>
                    <w:rFonts w:ascii="Cambria Math" w:hAnsi="Cambria Math"/>
                  </w:rPr>
                  <m:t>i=0</m:t>
                </m:r>
              </m:sub>
              <m:sup>
                <m:r>
                  <w:rPr>
                    <w:rFonts w:ascii="Cambria Math" w:hAnsi="Cambria Math"/>
                  </w:rPr>
                  <m:t>N-1</m:t>
                </m:r>
              </m:sup>
              <m:e/>
            </m:nary>
            <m:nary>
              <m:naryPr>
                <m:chr m:val="∑"/>
                <m:ctrlPr>
                  <w:rPr>
                    <w:rFonts w:ascii="Cambria Math" w:hAnsi="Cambria Math"/>
                  </w:rPr>
                </m:ctrlPr>
              </m:naryPr>
              <m:sub>
                <m:r>
                  <w:rPr>
                    <w:rFonts w:ascii="Cambria Math" w:hAnsi="Cambria Math"/>
                  </w:rPr>
                  <m:t>j=i+1</m:t>
                </m:r>
              </m:sub>
              <m:sup>
                <m:r>
                  <w:rPr>
                    <w:rFonts w:ascii="Cambria Math" w:hAnsi="Cambria Math"/>
                  </w:rPr>
                  <m:t>N-1</m:t>
                </m:r>
              </m:sup>
              <m:e/>
            </m:nary>
            <m:r>
              <w:rPr>
                <w:rFonts w:ascii="Cambria Math" w:hAnsi="Cambria Math"/>
              </w:rPr>
              <m:t>ρᵢⱼ</m:t>
            </m:r>
          </m:e>
        </m:d>
        <m:r>
          <w:rPr>
            <w:rFonts w:ascii="Cambria Math" w:hAnsi="Cambria Math"/>
          </w:rPr>
          <m:t>N(0,1).</m:t>
        </m:r>
      </m:oMath>
      <w:r>
        <w:t xml:space="preserve">                                        (6)  </w:t>
      </w:r>
    </w:p>
    <w:p w:rsidR="00E438DA" w:rsidRDefault="00000000">
      <w:pPr>
        <w:jc w:val="center"/>
      </w:pPr>
      <w:r>
        <w:t xml:space="preserve">where </w:t>
      </w:r>
      <w:proofErr w:type="spellStart"/>
      <w:r>
        <w:t>ρij</w:t>
      </w:r>
      <w:proofErr w:type="spellEnd"/>
      <w:r>
        <w:t xml:space="preserve"> denotes the correlation of errors between cross sections </w:t>
      </w:r>
      <w:proofErr w:type="spellStart"/>
      <w:r>
        <w:t>i</w:t>
      </w:r>
      <w:proofErr w:type="spellEnd"/>
      <w:r>
        <w:t xml:space="preserve"> and j</w:t>
      </w:r>
    </w:p>
    <w:p w:rsidR="00E438DA" w:rsidRDefault="00000000">
      <w:pPr>
        <w:jc w:val="both"/>
      </w:pPr>
      <w:r>
        <w:t xml:space="preserve">   </w:t>
      </w:r>
    </w:p>
    <w:p w:rsidR="00E438DA" w:rsidRDefault="00E438DA">
      <w:pPr>
        <w:jc w:val="center"/>
      </w:pPr>
    </w:p>
    <w:p w:rsidR="00E438DA" w:rsidRDefault="00E438DA">
      <w:pPr>
        <w:jc w:val="center"/>
      </w:pPr>
    </w:p>
    <w:p w:rsidR="00E438DA" w:rsidRDefault="00000000">
      <w:pPr>
        <w:numPr>
          <w:ilvl w:val="0"/>
          <w:numId w:val="1"/>
        </w:numPr>
        <w:jc w:val="both"/>
      </w:pPr>
      <w:r>
        <w:rPr>
          <w:rFonts w:ascii="Georgia" w:eastAsia="Georgia" w:hAnsi="Georgia" w:cs="Georgia"/>
          <w:b/>
          <w:u w:val="single"/>
        </w:rPr>
        <w:t>Cointegration Tests:</w:t>
      </w:r>
      <w:r>
        <w:rPr>
          <w:rFonts w:ascii="Georgia" w:eastAsia="Georgia" w:hAnsi="Georgia" w:cs="Georgia"/>
        </w:rPr>
        <w:t xml:space="preserve"> Westerlund </w:t>
      </w:r>
      <w:proofErr w:type="gramStart"/>
      <w:r>
        <w:rPr>
          <w:rFonts w:ascii="Georgia" w:eastAsia="Georgia" w:hAnsi="Georgia" w:cs="Georgia"/>
        </w:rPr>
        <w:t>ECM(</w:t>
      </w:r>
      <w:proofErr w:type="gramEnd"/>
      <w:r>
        <w:rPr>
          <w:rFonts w:ascii="Georgia" w:eastAsia="Georgia" w:hAnsi="Georgia" w:cs="Georgia"/>
        </w:rPr>
        <w:t>Error Correction Model) panel cointegration test ensures long-run convergence:</w:t>
      </w:r>
    </w:p>
    <w:p w:rsidR="00E438DA" w:rsidRDefault="00E438DA">
      <w:pPr>
        <w:jc w:val="both"/>
      </w:pPr>
    </w:p>
    <w:p w:rsidR="00E438DA" w:rsidRDefault="00000000">
      <w:pPr>
        <w:jc w:val="right"/>
      </w:pPr>
      <w:r>
        <w:t xml:space="preserve">   </w:t>
      </w:r>
      <m:oMath>
        <m:sSub>
          <m:sSubPr>
            <m:ctrlPr>
              <w:rPr>
                <w:rFonts w:ascii="Cambria Math" w:hAnsi="Cambria Math"/>
              </w:rPr>
            </m:ctrlPr>
          </m:sSubPr>
          <m:e>
            <m:r>
              <w:rPr>
                <w:rFonts w:ascii="Cambria Math" w:hAnsi="Cambria Math"/>
              </w:rPr>
              <m:t>G</m:t>
            </m:r>
          </m:e>
          <m:sub>
            <m:r>
              <w:rPr>
                <w:rFonts w:ascii="Cambria Math" w:hAnsi="Cambria Math"/>
              </w:rPr>
              <m:t>τ</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i=1</m:t>
            </m:r>
          </m:sub>
          <m:sup>
            <m:r>
              <w:rPr>
                <w:rFonts w:ascii="Cambria Math" w:hAnsi="Cambria Math"/>
              </w:rPr>
              <m:t>N</m:t>
            </m:r>
          </m:sup>
          <m:e/>
        </m:nary>
        <m:f>
          <m:fPr>
            <m:ctrlPr>
              <w:rPr>
                <w:rFonts w:ascii="Cambria Math" w:hAnsi="Cambria Math"/>
              </w:rPr>
            </m:ctrlPr>
          </m:fPr>
          <m:num>
            <m:acc>
              <m:accPr>
                <m:ctrlPr>
                  <w:rPr>
                    <w:rFonts w:ascii="Cambria Math" w:hAnsi="Cambria Math"/>
                  </w:rPr>
                </m:ctrlPr>
              </m:accPr>
              <m:e>
                <m:sSub>
                  <m:sSubPr>
                    <m:ctrlPr>
                      <w:rPr>
                        <w:rFonts w:ascii="Cambria Math" w:hAnsi="Cambria Math"/>
                      </w:rPr>
                    </m:ctrlPr>
                  </m:sSubPr>
                  <m:e>
                    <m:r>
                      <w:rPr>
                        <w:rFonts w:ascii="Cambria Math" w:hAnsi="Cambria Math"/>
                      </w:rPr>
                      <m:t>β</m:t>
                    </m:r>
                  </m:e>
                  <m:sub>
                    <m:r>
                      <w:rPr>
                        <w:rFonts w:ascii="Cambria Math" w:hAnsi="Cambria Math"/>
                      </w:rPr>
                      <m:t>i</m:t>
                    </m:r>
                  </m:sub>
                </m:sSub>
              </m:e>
            </m:acc>
          </m:num>
          <m:den>
            <m:r>
              <w:rPr>
                <w:rFonts w:ascii="Cambria Math" w:hAnsi="Cambria Math"/>
              </w:rPr>
              <m:t>SE</m:t>
            </m:r>
            <m:d>
              <m:dPr>
                <m:ctrlPr>
                  <w:rPr>
                    <w:rFonts w:ascii="Cambria Math" w:hAnsi="Cambria Math"/>
                  </w:rPr>
                </m:ctrlPr>
              </m:dPr>
              <m:e>
                <m:acc>
                  <m:accPr>
                    <m:ctrlPr>
                      <w:rPr>
                        <w:rFonts w:ascii="Cambria Math" w:hAnsi="Cambria Math"/>
                      </w:rPr>
                    </m:ctrlPr>
                  </m:accPr>
                  <m:e>
                    <m:sSub>
                      <m:sSubPr>
                        <m:ctrlPr>
                          <w:rPr>
                            <w:rFonts w:ascii="Cambria Math" w:hAnsi="Cambria Math"/>
                          </w:rPr>
                        </m:ctrlPr>
                      </m:sSubPr>
                      <m:e>
                        <m:r>
                          <w:rPr>
                            <w:rFonts w:ascii="Cambria Math" w:hAnsi="Cambria Math"/>
                          </w:rPr>
                          <m:t>β</m:t>
                        </m:r>
                      </m:e>
                      <m:sub>
                        <m:r>
                          <w:rPr>
                            <w:rFonts w:ascii="Cambria Math" w:hAnsi="Cambria Math"/>
                          </w:rPr>
                          <m:t>i</m:t>
                        </m:r>
                      </m:sub>
                    </m:sSub>
                  </m:e>
                </m:acc>
              </m:e>
            </m:d>
          </m:den>
        </m:f>
        <m:r>
          <w:rPr>
            <w:rFonts w:ascii="Cambria Math" w:hAnsi="Cambria Math"/>
          </w:rPr>
          <m:t xml:space="preserve"> and </m:t>
        </m:r>
        <m:sSub>
          <m:sSubPr>
            <m:ctrlPr>
              <w:rPr>
                <w:rFonts w:ascii="Cambria Math" w:hAnsi="Cambria Math"/>
              </w:rPr>
            </m:ctrlPr>
          </m:sSubPr>
          <m:e>
            <m:r>
              <w:rPr>
                <w:rFonts w:ascii="Cambria Math" w:hAnsi="Cambria Math"/>
              </w:rPr>
              <m:t>G</m:t>
            </m:r>
          </m:e>
          <m:sub>
            <m:r>
              <w:rPr>
                <w:rFonts w:ascii="Cambria Math" w:hAnsi="Cambria Math"/>
              </w:rPr>
              <m:t>α</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i=1</m:t>
            </m:r>
          </m:sub>
          <m:sup>
            <m:r>
              <w:rPr>
                <w:rFonts w:ascii="Cambria Math" w:hAnsi="Cambria Math"/>
              </w:rPr>
              <m:t>N</m:t>
            </m:r>
          </m:sup>
          <m:e/>
        </m:nary>
        <m:f>
          <m:fPr>
            <m:ctrlPr>
              <w:rPr>
                <w:rFonts w:ascii="Cambria Math" w:hAnsi="Cambria Math"/>
              </w:rPr>
            </m:ctrlPr>
          </m:fPr>
          <m:num>
            <m:r>
              <w:rPr>
                <w:rFonts w:ascii="Cambria Math" w:hAnsi="Cambria Math"/>
              </w:rPr>
              <m:t>T</m:t>
            </m:r>
            <m:acc>
              <m:accPr>
                <m:ctrlPr>
                  <w:rPr>
                    <w:rFonts w:ascii="Cambria Math" w:hAnsi="Cambria Math"/>
                  </w:rPr>
                </m:ctrlPr>
              </m:accPr>
              <m:e>
                <m:sSub>
                  <m:sSubPr>
                    <m:ctrlPr>
                      <w:rPr>
                        <w:rFonts w:ascii="Cambria Math" w:hAnsi="Cambria Math"/>
                      </w:rPr>
                    </m:ctrlPr>
                  </m:sSubPr>
                  <m:e>
                    <m:r>
                      <w:rPr>
                        <w:rFonts w:ascii="Cambria Math" w:hAnsi="Cambria Math"/>
                      </w:rPr>
                      <m:t>β</m:t>
                    </m:r>
                  </m:e>
                  <m:sub>
                    <m:r>
                      <w:rPr>
                        <w:rFonts w:ascii="Cambria Math" w:hAnsi="Cambria Math"/>
                      </w:rPr>
                      <m:t>i</m:t>
                    </m:r>
                  </m:sub>
                </m:sSub>
              </m:e>
            </m:acc>
          </m:num>
          <m:den>
            <m:sSub>
              <m:sSubPr>
                <m:ctrlPr>
                  <w:rPr>
                    <w:rFonts w:ascii="Cambria Math" w:hAnsi="Cambria Math"/>
                  </w:rPr>
                </m:ctrlPr>
              </m:sSubPr>
              <m:e>
                <m:r>
                  <w:rPr>
                    <w:rFonts w:ascii="Cambria Math" w:hAnsi="Cambria Math"/>
                  </w:rPr>
                  <m:t>β</m:t>
                </m:r>
              </m:e>
              <m:sub>
                <m:r>
                  <w:rPr>
                    <w:rFonts w:ascii="Cambria Math" w:hAnsi="Cambria Math"/>
                  </w:rPr>
                  <m:t>i</m:t>
                </m:r>
              </m:sub>
            </m:sSub>
            <m:d>
              <m:dPr>
                <m:ctrlPr>
                  <w:rPr>
                    <w:rFonts w:ascii="Cambria Math" w:hAnsi="Cambria Math"/>
                  </w:rPr>
                </m:ctrlPr>
              </m:dPr>
              <m:e>
                <m:r>
                  <w:rPr>
                    <w:rFonts w:ascii="Cambria Math" w:hAnsi="Cambria Math"/>
                  </w:rPr>
                  <m:t>1</m:t>
                </m:r>
              </m:e>
            </m:d>
          </m:den>
        </m:f>
      </m:oMath>
      <w:r>
        <w:t xml:space="preserve">                                       (7).</w:t>
      </w:r>
    </w:p>
    <w:p w:rsidR="00E438DA" w:rsidRDefault="00E438DA">
      <w:pPr>
        <w:jc w:val="center"/>
      </w:pPr>
    </w:p>
    <w:p w:rsidR="00E438DA" w:rsidRDefault="00000000">
      <w:pPr>
        <w:numPr>
          <w:ilvl w:val="0"/>
          <w:numId w:val="2"/>
        </w:numPr>
        <w:jc w:val="both"/>
      </w:pPr>
      <w:r>
        <w:rPr>
          <w:b/>
          <w:u w:val="single"/>
        </w:rPr>
        <w:lastRenderedPageBreak/>
        <w:t>Dynamic Estimation:</w:t>
      </w:r>
      <w:r>
        <w:rPr>
          <w:b/>
        </w:rPr>
        <w:t xml:space="preserve"> </w:t>
      </w:r>
      <w:r>
        <w:rPr>
          <w:rFonts w:ascii="Georgia" w:eastAsia="Georgia" w:hAnsi="Georgia" w:cs="Georgia"/>
        </w:rPr>
        <w:t xml:space="preserve">System </w:t>
      </w:r>
      <w:proofErr w:type="gramStart"/>
      <w:r>
        <w:rPr>
          <w:rFonts w:ascii="Georgia" w:eastAsia="Georgia" w:hAnsi="Georgia" w:cs="Georgia"/>
        </w:rPr>
        <w:t>GMM(</w:t>
      </w:r>
      <w:proofErr w:type="gramEnd"/>
      <w:r>
        <w:rPr>
          <w:rFonts w:ascii="Georgia" w:eastAsia="Georgia" w:hAnsi="Georgia" w:cs="Georgia"/>
        </w:rPr>
        <w:t>Generalized Method of Moments) and Driscoll-Kraay estimators address endogeneity and serial correlation:</w:t>
      </w:r>
    </w:p>
    <w:p w:rsidR="00E438DA" w:rsidRDefault="00E438DA">
      <w:pPr>
        <w:jc w:val="both"/>
      </w:pPr>
    </w:p>
    <w:p w:rsidR="00E438DA" w:rsidRDefault="00000000">
      <w:pPr>
        <w:jc w:val="right"/>
      </w:pPr>
      <w:r>
        <w:t xml:space="preserve">   </w:t>
      </w:r>
      <m:oMath>
        <m:r>
          <w:rPr>
            <w:rFonts w:ascii="Cambria Math" w:hAnsi="Cambria Math"/>
          </w:rPr>
          <m:t>re</m:t>
        </m:r>
        <m:sSub>
          <m:sSubPr>
            <m:ctrlPr>
              <w:rPr>
                <w:rFonts w:ascii="Cambria Math" w:hAnsi="Cambria Math"/>
              </w:rPr>
            </m:ctrlPr>
          </m:sSubPr>
          <m:e>
            <m:r>
              <w:rPr>
                <w:rFonts w:ascii="Cambria Math" w:hAnsi="Cambria Math"/>
              </w:rPr>
              <m:t>n</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re</m:t>
        </m:r>
        <m:sSub>
          <m:sSubPr>
            <m:ctrlPr>
              <w:rPr>
                <w:rFonts w:ascii="Cambria Math" w:hAnsi="Cambria Math"/>
              </w:rPr>
            </m:ctrlPr>
          </m:sSubPr>
          <m:e>
            <m:r>
              <w:rPr>
                <w:rFonts w:ascii="Cambria Math" w:hAnsi="Cambria Math"/>
              </w:rPr>
              <m:t>n</m:t>
            </m:r>
          </m:e>
          <m:sub>
            <m:r>
              <w:rPr>
                <w:rFonts w:ascii="Cambria Math" w:hAnsi="Cambria Math"/>
              </w:rPr>
              <m:t>i,t-1</m:t>
            </m:r>
          </m:sub>
        </m:sSub>
        <m:r>
          <w:rPr>
            <w:rFonts w:ascii="Cambria Math" w:hAnsi="Cambria Math"/>
          </w:rPr>
          <m:t>+X</m:t>
        </m:r>
        <m:sSub>
          <m:sSubPr>
            <m:ctrlPr>
              <w:rPr>
                <w:rFonts w:ascii="Cambria Math" w:hAnsi="Cambria Math"/>
              </w:rPr>
            </m:ctrlPr>
          </m:sSubPr>
          <m:e>
            <m:r>
              <w:rPr>
                <w:rFonts w:ascii="Cambria Math" w:hAnsi="Cambria Math"/>
              </w:rPr>
              <m:t>'</m:t>
            </m:r>
          </m:e>
          <m:sub>
            <m:r>
              <w:rPr>
                <w:rFonts w:ascii="Cambria Math" w:hAnsi="Cambria Math"/>
              </w:rPr>
              <m:t>it</m:t>
            </m:r>
          </m:sub>
        </m:sSub>
        <m:r>
          <w:rPr>
            <w:rFonts w:ascii="Cambria Math" w:hAnsi="Cambria Math"/>
          </w:rPr>
          <m:t>β+</m:t>
        </m:r>
        <m:sSub>
          <m:sSubPr>
            <m:ctrlPr>
              <w:rPr>
                <w:rFonts w:ascii="Cambria Math" w:hAnsi="Cambria Math"/>
              </w:rPr>
            </m:ctrlPr>
          </m:sSubPr>
          <m:e>
            <m:r>
              <w:rPr>
                <w:rFonts w:ascii="Cambria Math" w:hAnsi="Cambria Math"/>
              </w:rPr>
              <m:t>μ</m:t>
            </m:r>
          </m:e>
          <m:sub>
            <m:r>
              <w:rPr>
                <w:rFonts w:ascii="Cambria Math" w:hAnsi="Cambria Math"/>
              </w:rPr>
              <m:t>it</m:t>
            </m:r>
          </m:sub>
        </m:sSub>
        <m:r>
          <w:rPr>
            <w:rFonts w:ascii="Cambria Math" w:hAnsi="Cambria Math"/>
          </w:rPr>
          <m:t xml:space="preserve">. </m:t>
        </m:r>
      </m:oMath>
      <w:r>
        <w:t xml:space="preserve">                                      (8)</w:t>
      </w:r>
    </w:p>
    <w:p w:rsidR="00E438DA" w:rsidRDefault="00E438DA">
      <w:pPr>
        <w:jc w:val="both"/>
      </w:pPr>
    </w:p>
    <w:p w:rsidR="00E438DA" w:rsidRDefault="00000000">
      <w:pPr>
        <w:jc w:val="both"/>
        <w:rPr>
          <w:rFonts w:ascii="Georgia" w:eastAsia="Georgia" w:hAnsi="Georgia" w:cs="Georgia"/>
        </w:rPr>
      </w:pPr>
      <w:r>
        <w:rPr>
          <w:rFonts w:ascii="Georgia" w:eastAsia="Georgia" w:hAnsi="Georgia" w:cs="Georgia"/>
        </w:rPr>
        <w:t>These techniques ensure robust empirical findings while addressing econometric challenges like CD and slope heterogeneity.</w:t>
      </w:r>
    </w:p>
    <w:p w:rsidR="00E438DA" w:rsidRDefault="00E438DA">
      <w:pPr>
        <w:jc w:val="both"/>
      </w:pPr>
    </w:p>
    <w:p w:rsidR="00E438DA" w:rsidRDefault="00E438DA">
      <w:pPr>
        <w:jc w:val="both"/>
        <w:rPr>
          <w:rFonts w:ascii="Georgia" w:eastAsia="Georgia" w:hAnsi="Georgia" w:cs="Georgia"/>
          <w:sz w:val="30"/>
          <w:szCs w:val="30"/>
        </w:rPr>
      </w:pPr>
    </w:p>
    <w:p w:rsidR="00E438DA" w:rsidRDefault="00000000">
      <w:pPr>
        <w:jc w:val="both"/>
        <w:rPr>
          <w:rFonts w:ascii="Georgia" w:eastAsia="Georgia" w:hAnsi="Georgia" w:cs="Georgia"/>
          <w:b/>
          <w:sz w:val="46"/>
          <w:szCs w:val="46"/>
        </w:rPr>
      </w:pPr>
      <w:r>
        <w:rPr>
          <w:rFonts w:ascii="Georgia" w:eastAsia="Georgia" w:hAnsi="Georgia" w:cs="Georgia"/>
          <w:sz w:val="40"/>
          <w:szCs w:val="40"/>
        </w:rPr>
        <w:t>6. Empirical Results and Discussion</w:t>
      </w:r>
    </w:p>
    <w:p w:rsidR="00E438DA" w:rsidRDefault="00000000">
      <w:pPr>
        <w:pBdr>
          <w:top w:val="nil"/>
          <w:left w:val="nil"/>
          <w:bottom w:val="nil"/>
          <w:right w:val="nil"/>
          <w:between w:val="nil"/>
        </w:pBdr>
        <w:jc w:val="both"/>
        <w:rPr>
          <w:rFonts w:ascii="Georgia" w:eastAsia="Georgia" w:hAnsi="Georgia" w:cs="Georgia"/>
        </w:rPr>
      </w:pPr>
      <w:r>
        <w:rPr>
          <w:rFonts w:ascii="Georgia" w:eastAsia="Georgia" w:hAnsi="Georgia" w:cs="Georgia"/>
        </w:rPr>
        <w:t>This section explains and discusses the empirical evidence concerning the impact of finance development and institutional quality on the use of renewable energy in lower-middle-income countries. The analysis uses a valid methodology, starting with diagnostic tests, and then probing the relationship using various panel data estimation methods.</w:t>
      </w:r>
    </w:p>
    <w:p w:rsidR="00E438DA" w:rsidRDefault="00000000">
      <w:pPr>
        <w:pStyle w:val="Heading2"/>
        <w:keepNext w:val="0"/>
        <w:keepLines w:val="0"/>
        <w:spacing w:after="80"/>
        <w:jc w:val="both"/>
        <w:rPr>
          <w:rFonts w:ascii="Georgia" w:eastAsia="Georgia" w:hAnsi="Georgia" w:cs="Georgia"/>
          <w:color w:val="434343"/>
          <w:sz w:val="30"/>
          <w:szCs w:val="30"/>
        </w:rPr>
      </w:pPr>
      <w:bookmarkStart w:id="31" w:name="_heading=h.c671uigyo3rz" w:colFirst="0" w:colLast="0"/>
      <w:bookmarkEnd w:id="31"/>
      <w:r>
        <w:rPr>
          <w:rFonts w:ascii="Georgia" w:eastAsia="Georgia" w:hAnsi="Georgia" w:cs="Georgia"/>
          <w:color w:val="434343"/>
          <w:sz w:val="30"/>
          <w:szCs w:val="30"/>
        </w:rPr>
        <w:t>6.1 Diagnostic Tests</w:t>
      </w:r>
    </w:p>
    <w:p w:rsidR="00E438DA" w:rsidRDefault="00000000">
      <w:pPr>
        <w:pStyle w:val="Heading3"/>
        <w:keepNext w:val="0"/>
        <w:keepLines w:val="0"/>
        <w:pBdr>
          <w:top w:val="nil"/>
          <w:left w:val="nil"/>
          <w:bottom w:val="nil"/>
          <w:right w:val="nil"/>
          <w:between w:val="nil"/>
        </w:pBdr>
        <w:spacing w:before="280"/>
        <w:jc w:val="both"/>
        <w:rPr>
          <w:rFonts w:ascii="Georgia" w:eastAsia="Georgia" w:hAnsi="Georgia" w:cs="Georgia"/>
          <w:color w:val="000000"/>
        </w:rPr>
      </w:pPr>
      <w:bookmarkStart w:id="32" w:name="_heading=h.opik5j528e7w" w:colFirst="0" w:colLast="0"/>
      <w:bookmarkEnd w:id="32"/>
      <w:r>
        <w:rPr>
          <w:rFonts w:ascii="Georgia" w:eastAsia="Georgia" w:hAnsi="Georgia" w:cs="Georgia"/>
          <w:color w:val="000000"/>
        </w:rPr>
        <w:t>6.1.1 Variance Inflation Factor Test</w:t>
      </w:r>
    </w:p>
    <w:p w:rsidR="00E438DA" w:rsidRDefault="00000000">
      <w:pPr>
        <w:pBdr>
          <w:top w:val="nil"/>
          <w:left w:val="nil"/>
          <w:bottom w:val="nil"/>
          <w:right w:val="nil"/>
          <w:between w:val="nil"/>
        </w:pBdr>
        <w:jc w:val="both"/>
        <w:rPr>
          <w:rFonts w:ascii="Georgia" w:eastAsia="Georgia" w:hAnsi="Georgia" w:cs="Georgia"/>
        </w:rPr>
      </w:pPr>
      <w:r>
        <w:rPr>
          <w:rFonts w:ascii="Times New Roman" w:eastAsia="Times New Roman" w:hAnsi="Times New Roman" w:cs="Times New Roman"/>
          <w:b/>
          <w:sz w:val="26"/>
          <w:szCs w:val="26"/>
        </w:rPr>
        <w:t xml:space="preserve">Table 5: Variance Inflation </w:t>
      </w:r>
      <w:proofErr w:type="gramStart"/>
      <w:r>
        <w:rPr>
          <w:rFonts w:ascii="Times New Roman" w:eastAsia="Times New Roman" w:hAnsi="Times New Roman" w:cs="Times New Roman"/>
          <w:b/>
          <w:sz w:val="26"/>
          <w:szCs w:val="26"/>
        </w:rPr>
        <w:t>Factor(</w:t>
      </w:r>
      <w:proofErr w:type="gramEnd"/>
      <w:r>
        <w:rPr>
          <w:rFonts w:ascii="Times New Roman" w:eastAsia="Times New Roman" w:hAnsi="Times New Roman" w:cs="Times New Roman"/>
          <w:b/>
          <w:sz w:val="26"/>
          <w:szCs w:val="26"/>
        </w:rPr>
        <w:t>VIF) Results</w:t>
      </w:r>
    </w:p>
    <w:p w:rsidR="00E438DA" w:rsidRDefault="00E438DA"/>
    <w:bookmarkStart w:id="33" w:name="_heading=h.3v25svmvkj4u" w:colFirst="0" w:colLast="0" w:displacedByCustomXml="next"/>
    <w:bookmarkEnd w:id="33" w:displacedByCustomXml="next"/>
    <w:sdt>
      <w:sdtPr>
        <w:tag w:val="goog_rdk_6"/>
        <w:id w:val="-1886861831"/>
        <w:lock w:val="contentLocked"/>
      </w:sdtPr>
      <w:sdtContent>
        <w:tbl>
          <w:tblPr>
            <w:tblStyle w:val="a3"/>
            <w:tblW w:w="88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985"/>
            <w:gridCol w:w="2895"/>
            <w:gridCol w:w="2985"/>
          </w:tblGrid>
          <w:tr w:rsidR="00E438DA">
            <w:trPr>
              <w:trHeight w:val="555"/>
            </w:trPr>
            <w:tc>
              <w:tcPr>
                <w:tcW w:w="29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pStyle w:val="Heading1"/>
                  <w:keepNext w:val="0"/>
                  <w:keepLines w:val="0"/>
                  <w:spacing w:before="240" w:after="0"/>
                  <w:rPr>
                    <w:rFonts w:ascii="Times New Roman" w:eastAsia="Times New Roman" w:hAnsi="Times New Roman" w:cs="Times New Roman"/>
                    <w:b/>
                    <w:sz w:val="22"/>
                    <w:szCs w:val="22"/>
                  </w:rPr>
                </w:pPr>
                <w:r>
                  <w:rPr>
                    <w:rFonts w:ascii="Times New Roman" w:eastAsia="Times New Roman" w:hAnsi="Times New Roman" w:cs="Times New Roman"/>
                    <w:b/>
                    <w:sz w:val="22"/>
                    <w:szCs w:val="22"/>
                  </w:rPr>
                  <w:t>Variable</w:t>
                </w:r>
              </w:p>
            </w:tc>
            <w:tc>
              <w:tcPr>
                <w:tcW w:w="2895" w:type="dxa"/>
                <w:tcBorders>
                  <w:top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pStyle w:val="Heading1"/>
                  <w:keepNext w:val="0"/>
                  <w:keepLines w:val="0"/>
                  <w:spacing w:before="240" w:after="0"/>
                  <w:rPr>
                    <w:rFonts w:ascii="Times New Roman" w:eastAsia="Times New Roman" w:hAnsi="Times New Roman" w:cs="Times New Roman"/>
                    <w:b/>
                    <w:sz w:val="22"/>
                    <w:szCs w:val="22"/>
                  </w:rPr>
                </w:pPr>
                <w:bookmarkStart w:id="34" w:name="_heading=h.r1dcpng6tuvl" w:colFirst="0" w:colLast="0"/>
                <w:bookmarkEnd w:id="34"/>
                <w:r>
                  <w:rPr>
                    <w:rFonts w:ascii="Times New Roman" w:eastAsia="Times New Roman" w:hAnsi="Times New Roman" w:cs="Times New Roman"/>
                    <w:b/>
                    <w:sz w:val="22"/>
                    <w:szCs w:val="22"/>
                  </w:rPr>
                  <w:t>VIF</w:t>
                </w:r>
              </w:p>
            </w:tc>
            <w:tc>
              <w:tcPr>
                <w:tcW w:w="2985" w:type="dxa"/>
                <w:tcBorders>
                  <w:top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pStyle w:val="Heading1"/>
                  <w:keepNext w:val="0"/>
                  <w:keepLines w:val="0"/>
                  <w:spacing w:before="240" w:after="0"/>
                  <w:rPr>
                    <w:rFonts w:ascii="Times New Roman" w:eastAsia="Times New Roman" w:hAnsi="Times New Roman" w:cs="Times New Roman"/>
                    <w:b/>
                    <w:sz w:val="22"/>
                    <w:szCs w:val="22"/>
                  </w:rPr>
                </w:pPr>
                <w:bookmarkStart w:id="35" w:name="_heading=h.expwhb6epta1" w:colFirst="0" w:colLast="0"/>
                <w:bookmarkEnd w:id="35"/>
                <w:r>
                  <w:rPr>
                    <w:rFonts w:ascii="Times New Roman" w:eastAsia="Times New Roman" w:hAnsi="Times New Roman" w:cs="Times New Roman"/>
                    <w:b/>
                    <w:sz w:val="22"/>
                    <w:szCs w:val="22"/>
                  </w:rPr>
                  <w:t>1/VIF</w:t>
                </w:r>
              </w:p>
            </w:tc>
          </w:tr>
          <w:tr w:rsidR="00E438DA">
            <w:trPr>
              <w:trHeight w:val="555"/>
            </w:trPr>
            <w:tc>
              <w:tcPr>
                <w:tcW w:w="2985"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pStyle w:val="Heading1"/>
                  <w:keepNext w:val="0"/>
                  <w:keepLines w:val="0"/>
                  <w:spacing w:before="240" w:after="0"/>
                  <w:rPr>
                    <w:rFonts w:ascii="Times New Roman" w:eastAsia="Times New Roman" w:hAnsi="Times New Roman" w:cs="Times New Roman"/>
                    <w:b/>
                    <w:sz w:val="22"/>
                    <w:szCs w:val="22"/>
                  </w:rPr>
                </w:pPr>
                <w:bookmarkStart w:id="36" w:name="_heading=h.1zcetnsxci6k" w:colFirst="0" w:colLast="0"/>
                <w:bookmarkEnd w:id="36"/>
                <w:r>
                  <w:rPr>
                    <w:rFonts w:ascii="Times New Roman" w:eastAsia="Times New Roman" w:hAnsi="Times New Roman" w:cs="Times New Roman"/>
                    <w:b/>
                    <w:sz w:val="22"/>
                    <w:szCs w:val="22"/>
                  </w:rPr>
                  <w:t>fd_inst</w:t>
                </w:r>
              </w:p>
            </w:tc>
            <w:tc>
              <w:tcPr>
                <w:tcW w:w="2895" w:type="dxa"/>
                <w:tcBorders>
                  <w:bottom w:val="single" w:sz="8" w:space="0" w:color="000000"/>
                  <w:right w:val="single" w:sz="8" w:space="0" w:color="000000"/>
                </w:tcBorders>
                <w:tcMar>
                  <w:top w:w="0" w:type="dxa"/>
                  <w:left w:w="100" w:type="dxa"/>
                  <w:bottom w:w="0" w:type="dxa"/>
                  <w:right w:w="100" w:type="dxa"/>
                </w:tcMar>
              </w:tcPr>
              <w:p w:rsidR="00E438DA" w:rsidRDefault="00000000">
                <w:pPr>
                  <w:pStyle w:val="Heading1"/>
                  <w:keepNext w:val="0"/>
                  <w:keepLines w:val="0"/>
                  <w:spacing w:before="240" w:after="0"/>
                  <w:rPr>
                    <w:rFonts w:ascii="Times New Roman" w:eastAsia="Times New Roman" w:hAnsi="Times New Roman" w:cs="Times New Roman"/>
                    <w:sz w:val="22"/>
                    <w:szCs w:val="22"/>
                  </w:rPr>
                </w:pPr>
                <w:bookmarkStart w:id="37" w:name="_heading=h.eu4bp7gxku5g" w:colFirst="0" w:colLast="0"/>
                <w:bookmarkEnd w:id="37"/>
                <w:r>
                  <w:rPr>
                    <w:rFonts w:ascii="Times New Roman" w:eastAsia="Times New Roman" w:hAnsi="Times New Roman" w:cs="Times New Roman"/>
                    <w:sz w:val="22"/>
                    <w:szCs w:val="22"/>
                  </w:rPr>
                  <w:t>54.71</w:t>
                </w:r>
              </w:p>
            </w:tc>
            <w:tc>
              <w:tcPr>
                <w:tcW w:w="2985" w:type="dxa"/>
                <w:tcBorders>
                  <w:bottom w:val="single" w:sz="8" w:space="0" w:color="000000"/>
                  <w:right w:val="single" w:sz="8" w:space="0" w:color="000000"/>
                </w:tcBorders>
                <w:tcMar>
                  <w:top w:w="0" w:type="dxa"/>
                  <w:left w:w="100" w:type="dxa"/>
                  <w:bottom w:w="0" w:type="dxa"/>
                  <w:right w:w="100" w:type="dxa"/>
                </w:tcMar>
              </w:tcPr>
              <w:p w:rsidR="00E438DA" w:rsidRDefault="00000000">
                <w:pPr>
                  <w:pStyle w:val="Heading1"/>
                  <w:keepNext w:val="0"/>
                  <w:keepLines w:val="0"/>
                  <w:spacing w:before="240" w:after="0"/>
                  <w:rPr>
                    <w:rFonts w:ascii="Times New Roman" w:eastAsia="Times New Roman" w:hAnsi="Times New Roman" w:cs="Times New Roman"/>
                    <w:sz w:val="22"/>
                    <w:szCs w:val="22"/>
                  </w:rPr>
                </w:pPr>
                <w:bookmarkStart w:id="38" w:name="_heading=h.yh3rfuha49f0" w:colFirst="0" w:colLast="0"/>
                <w:bookmarkEnd w:id="38"/>
                <w:r>
                  <w:rPr>
                    <w:rFonts w:ascii="Times New Roman" w:eastAsia="Times New Roman" w:hAnsi="Times New Roman" w:cs="Times New Roman"/>
                    <w:sz w:val="22"/>
                    <w:szCs w:val="22"/>
                  </w:rPr>
                  <w:t>0.018280</w:t>
                </w:r>
              </w:p>
            </w:tc>
          </w:tr>
          <w:tr w:rsidR="00E438DA">
            <w:trPr>
              <w:trHeight w:val="555"/>
            </w:trPr>
            <w:tc>
              <w:tcPr>
                <w:tcW w:w="2985"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pStyle w:val="Heading1"/>
                  <w:keepNext w:val="0"/>
                  <w:keepLines w:val="0"/>
                  <w:spacing w:before="240" w:after="0"/>
                  <w:rPr>
                    <w:rFonts w:ascii="Times New Roman" w:eastAsia="Times New Roman" w:hAnsi="Times New Roman" w:cs="Times New Roman"/>
                    <w:b/>
                    <w:sz w:val="22"/>
                    <w:szCs w:val="22"/>
                  </w:rPr>
                </w:pPr>
                <w:bookmarkStart w:id="39" w:name="_heading=h.2nhclhu8w1so" w:colFirst="0" w:colLast="0"/>
                <w:bookmarkEnd w:id="39"/>
                <w:r>
                  <w:rPr>
                    <w:rFonts w:ascii="Times New Roman" w:eastAsia="Times New Roman" w:hAnsi="Times New Roman" w:cs="Times New Roman"/>
                    <w:b/>
                    <w:sz w:val="22"/>
                    <w:szCs w:val="22"/>
                  </w:rPr>
                  <w:t>fd</w:t>
                </w:r>
              </w:p>
            </w:tc>
            <w:tc>
              <w:tcPr>
                <w:tcW w:w="2895" w:type="dxa"/>
                <w:tcBorders>
                  <w:bottom w:val="single" w:sz="8" w:space="0" w:color="000000"/>
                  <w:right w:val="single" w:sz="8" w:space="0" w:color="000000"/>
                </w:tcBorders>
                <w:tcMar>
                  <w:top w:w="0" w:type="dxa"/>
                  <w:left w:w="100" w:type="dxa"/>
                  <w:bottom w:w="0" w:type="dxa"/>
                  <w:right w:w="100" w:type="dxa"/>
                </w:tcMar>
              </w:tcPr>
              <w:p w:rsidR="00E438DA" w:rsidRDefault="00000000">
                <w:pPr>
                  <w:pStyle w:val="Heading1"/>
                  <w:keepNext w:val="0"/>
                  <w:keepLines w:val="0"/>
                  <w:spacing w:before="240" w:after="0"/>
                  <w:rPr>
                    <w:rFonts w:ascii="Times New Roman" w:eastAsia="Times New Roman" w:hAnsi="Times New Roman" w:cs="Times New Roman"/>
                    <w:sz w:val="22"/>
                    <w:szCs w:val="22"/>
                  </w:rPr>
                </w:pPr>
                <w:bookmarkStart w:id="40" w:name="_heading=h.5vt7dqjopnt0" w:colFirst="0" w:colLast="0"/>
                <w:bookmarkEnd w:id="40"/>
                <w:r>
                  <w:rPr>
                    <w:rFonts w:ascii="Times New Roman" w:eastAsia="Times New Roman" w:hAnsi="Times New Roman" w:cs="Times New Roman"/>
                    <w:sz w:val="22"/>
                    <w:szCs w:val="22"/>
                  </w:rPr>
                  <w:t>47.62</w:t>
                </w:r>
              </w:p>
            </w:tc>
            <w:tc>
              <w:tcPr>
                <w:tcW w:w="2985" w:type="dxa"/>
                <w:tcBorders>
                  <w:bottom w:val="single" w:sz="8" w:space="0" w:color="000000"/>
                  <w:right w:val="single" w:sz="8" w:space="0" w:color="000000"/>
                </w:tcBorders>
                <w:tcMar>
                  <w:top w:w="0" w:type="dxa"/>
                  <w:left w:w="100" w:type="dxa"/>
                  <w:bottom w:w="0" w:type="dxa"/>
                  <w:right w:w="100" w:type="dxa"/>
                </w:tcMar>
              </w:tcPr>
              <w:p w:rsidR="00E438DA" w:rsidRDefault="00000000">
                <w:pPr>
                  <w:pStyle w:val="Heading1"/>
                  <w:keepNext w:val="0"/>
                  <w:keepLines w:val="0"/>
                  <w:spacing w:before="240" w:after="0"/>
                  <w:rPr>
                    <w:rFonts w:ascii="Times New Roman" w:eastAsia="Times New Roman" w:hAnsi="Times New Roman" w:cs="Times New Roman"/>
                    <w:sz w:val="22"/>
                    <w:szCs w:val="22"/>
                  </w:rPr>
                </w:pPr>
                <w:bookmarkStart w:id="41" w:name="_heading=h.or3js5jr6vvb" w:colFirst="0" w:colLast="0"/>
                <w:bookmarkEnd w:id="41"/>
                <w:r>
                  <w:rPr>
                    <w:rFonts w:ascii="Times New Roman" w:eastAsia="Times New Roman" w:hAnsi="Times New Roman" w:cs="Times New Roman"/>
                    <w:sz w:val="22"/>
                    <w:szCs w:val="22"/>
                  </w:rPr>
                  <w:t>0.020999</w:t>
                </w:r>
              </w:p>
            </w:tc>
          </w:tr>
          <w:tr w:rsidR="00E438DA">
            <w:trPr>
              <w:trHeight w:val="555"/>
            </w:trPr>
            <w:tc>
              <w:tcPr>
                <w:tcW w:w="2985"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pStyle w:val="Heading1"/>
                  <w:keepNext w:val="0"/>
                  <w:keepLines w:val="0"/>
                  <w:spacing w:before="240" w:after="0"/>
                  <w:rPr>
                    <w:rFonts w:ascii="Times New Roman" w:eastAsia="Times New Roman" w:hAnsi="Times New Roman" w:cs="Times New Roman"/>
                    <w:b/>
                    <w:sz w:val="22"/>
                    <w:szCs w:val="22"/>
                  </w:rPr>
                </w:pPr>
                <w:bookmarkStart w:id="42" w:name="_heading=h.o8is8171kfzx" w:colFirst="0" w:colLast="0"/>
                <w:bookmarkEnd w:id="42"/>
                <w:r>
                  <w:rPr>
                    <w:rFonts w:ascii="Times New Roman" w:eastAsia="Times New Roman" w:hAnsi="Times New Roman" w:cs="Times New Roman"/>
                    <w:b/>
                    <w:sz w:val="22"/>
                    <w:szCs w:val="22"/>
                  </w:rPr>
                  <w:t>inst</w:t>
                </w:r>
              </w:p>
            </w:tc>
            <w:tc>
              <w:tcPr>
                <w:tcW w:w="2895" w:type="dxa"/>
                <w:tcBorders>
                  <w:bottom w:val="single" w:sz="8" w:space="0" w:color="000000"/>
                  <w:right w:val="single" w:sz="8" w:space="0" w:color="000000"/>
                </w:tcBorders>
                <w:tcMar>
                  <w:top w:w="0" w:type="dxa"/>
                  <w:left w:w="100" w:type="dxa"/>
                  <w:bottom w:w="0" w:type="dxa"/>
                  <w:right w:w="100" w:type="dxa"/>
                </w:tcMar>
              </w:tcPr>
              <w:p w:rsidR="00E438DA" w:rsidRDefault="00000000">
                <w:pPr>
                  <w:pStyle w:val="Heading1"/>
                  <w:keepNext w:val="0"/>
                  <w:keepLines w:val="0"/>
                  <w:spacing w:before="240" w:after="0"/>
                  <w:rPr>
                    <w:rFonts w:ascii="Times New Roman" w:eastAsia="Times New Roman" w:hAnsi="Times New Roman" w:cs="Times New Roman"/>
                    <w:sz w:val="22"/>
                    <w:szCs w:val="22"/>
                  </w:rPr>
                </w:pPr>
                <w:bookmarkStart w:id="43" w:name="_heading=h.ixfltcp6z4pr" w:colFirst="0" w:colLast="0"/>
                <w:bookmarkEnd w:id="43"/>
                <w:r>
                  <w:rPr>
                    <w:rFonts w:ascii="Times New Roman" w:eastAsia="Times New Roman" w:hAnsi="Times New Roman" w:cs="Times New Roman"/>
                    <w:sz w:val="22"/>
                    <w:szCs w:val="22"/>
                  </w:rPr>
                  <w:t>3.94</w:t>
                </w:r>
              </w:p>
            </w:tc>
            <w:tc>
              <w:tcPr>
                <w:tcW w:w="2985" w:type="dxa"/>
                <w:tcBorders>
                  <w:bottom w:val="single" w:sz="8" w:space="0" w:color="000000"/>
                  <w:right w:val="single" w:sz="8" w:space="0" w:color="000000"/>
                </w:tcBorders>
                <w:tcMar>
                  <w:top w:w="0" w:type="dxa"/>
                  <w:left w:w="100" w:type="dxa"/>
                  <w:bottom w:w="0" w:type="dxa"/>
                  <w:right w:w="100" w:type="dxa"/>
                </w:tcMar>
              </w:tcPr>
              <w:p w:rsidR="00E438DA" w:rsidRDefault="00000000">
                <w:pPr>
                  <w:pStyle w:val="Heading1"/>
                  <w:keepNext w:val="0"/>
                  <w:keepLines w:val="0"/>
                  <w:spacing w:before="240" w:after="0"/>
                  <w:rPr>
                    <w:rFonts w:ascii="Times New Roman" w:eastAsia="Times New Roman" w:hAnsi="Times New Roman" w:cs="Times New Roman"/>
                    <w:sz w:val="22"/>
                    <w:szCs w:val="22"/>
                  </w:rPr>
                </w:pPr>
                <w:bookmarkStart w:id="44" w:name="_heading=h.yjp482ap4orz" w:colFirst="0" w:colLast="0"/>
                <w:bookmarkEnd w:id="44"/>
                <w:r>
                  <w:rPr>
                    <w:rFonts w:ascii="Times New Roman" w:eastAsia="Times New Roman" w:hAnsi="Times New Roman" w:cs="Times New Roman"/>
                    <w:sz w:val="22"/>
                    <w:szCs w:val="22"/>
                  </w:rPr>
                  <w:t>0.254125</w:t>
                </w:r>
              </w:p>
            </w:tc>
          </w:tr>
          <w:tr w:rsidR="00E438DA">
            <w:trPr>
              <w:trHeight w:val="555"/>
            </w:trPr>
            <w:tc>
              <w:tcPr>
                <w:tcW w:w="2985"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pStyle w:val="Heading1"/>
                  <w:keepNext w:val="0"/>
                  <w:keepLines w:val="0"/>
                  <w:spacing w:before="240" w:after="0"/>
                  <w:rPr>
                    <w:rFonts w:ascii="Times New Roman" w:eastAsia="Times New Roman" w:hAnsi="Times New Roman" w:cs="Times New Roman"/>
                    <w:b/>
                    <w:sz w:val="22"/>
                    <w:szCs w:val="22"/>
                  </w:rPr>
                </w:pPr>
                <w:bookmarkStart w:id="45" w:name="_heading=h.k0lakxcgx264" w:colFirst="0" w:colLast="0"/>
                <w:bookmarkEnd w:id="45"/>
                <w:r>
                  <w:rPr>
                    <w:rFonts w:ascii="Times New Roman" w:eastAsia="Times New Roman" w:hAnsi="Times New Roman" w:cs="Times New Roman"/>
                    <w:b/>
                    <w:sz w:val="22"/>
                    <w:szCs w:val="22"/>
                  </w:rPr>
                  <w:t>lpop</w:t>
                </w:r>
              </w:p>
            </w:tc>
            <w:tc>
              <w:tcPr>
                <w:tcW w:w="2895" w:type="dxa"/>
                <w:tcBorders>
                  <w:bottom w:val="single" w:sz="8" w:space="0" w:color="000000"/>
                  <w:right w:val="single" w:sz="8" w:space="0" w:color="000000"/>
                </w:tcBorders>
                <w:tcMar>
                  <w:top w:w="0" w:type="dxa"/>
                  <w:left w:w="100" w:type="dxa"/>
                  <w:bottom w:w="0" w:type="dxa"/>
                  <w:right w:w="100" w:type="dxa"/>
                </w:tcMar>
              </w:tcPr>
              <w:p w:rsidR="00E438DA" w:rsidRDefault="00000000">
                <w:pPr>
                  <w:pStyle w:val="Heading1"/>
                  <w:keepNext w:val="0"/>
                  <w:keepLines w:val="0"/>
                  <w:spacing w:before="240" w:after="0"/>
                  <w:rPr>
                    <w:rFonts w:ascii="Times New Roman" w:eastAsia="Times New Roman" w:hAnsi="Times New Roman" w:cs="Times New Roman"/>
                    <w:sz w:val="22"/>
                    <w:szCs w:val="22"/>
                  </w:rPr>
                </w:pPr>
                <w:bookmarkStart w:id="46" w:name="_heading=h.8dfb9iqd9rfz" w:colFirst="0" w:colLast="0"/>
                <w:bookmarkEnd w:id="46"/>
                <w:r>
                  <w:rPr>
                    <w:rFonts w:ascii="Times New Roman" w:eastAsia="Times New Roman" w:hAnsi="Times New Roman" w:cs="Times New Roman"/>
                    <w:sz w:val="22"/>
                    <w:szCs w:val="22"/>
                  </w:rPr>
                  <w:t>2.38</w:t>
                </w:r>
              </w:p>
            </w:tc>
            <w:tc>
              <w:tcPr>
                <w:tcW w:w="2985" w:type="dxa"/>
                <w:tcBorders>
                  <w:bottom w:val="single" w:sz="8" w:space="0" w:color="000000"/>
                  <w:right w:val="single" w:sz="8" w:space="0" w:color="000000"/>
                </w:tcBorders>
                <w:tcMar>
                  <w:top w:w="0" w:type="dxa"/>
                  <w:left w:w="100" w:type="dxa"/>
                  <w:bottom w:w="0" w:type="dxa"/>
                  <w:right w:w="100" w:type="dxa"/>
                </w:tcMar>
              </w:tcPr>
              <w:p w:rsidR="00E438DA" w:rsidRDefault="00000000">
                <w:pPr>
                  <w:pStyle w:val="Heading1"/>
                  <w:keepNext w:val="0"/>
                  <w:keepLines w:val="0"/>
                  <w:spacing w:before="240" w:after="0"/>
                  <w:rPr>
                    <w:rFonts w:ascii="Times New Roman" w:eastAsia="Times New Roman" w:hAnsi="Times New Roman" w:cs="Times New Roman"/>
                    <w:sz w:val="22"/>
                    <w:szCs w:val="22"/>
                  </w:rPr>
                </w:pPr>
                <w:bookmarkStart w:id="47" w:name="_heading=h.vta5z2ve34cq" w:colFirst="0" w:colLast="0"/>
                <w:bookmarkEnd w:id="47"/>
                <w:r>
                  <w:rPr>
                    <w:rFonts w:ascii="Times New Roman" w:eastAsia="Times New Roman" w:hAnsi="Times New Roman" w:cs="Times New Roman"/>
                    <w:sz w:val="22"/>
                    <w:szCs w:val="22"/>
                  </w:rPr>
                  <w:t>0.420453</w:t>
                </w:r>
              </w:p>
            </w:tc>
          </w:tr>
          <w:tr w:rsidR="00E438DA">
            <w:trPr>
              <w:trHeight w:val="555"/>
            </w:trPr>
            <w:tc>
              <w:tcPr>
                <w:tcW w:w="2985"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pStyle w:val="Heading1"/>
                  <w:keepNext w:val="0"/>
                  <w:keepLines w:val="0"/>
                  <w:spacing w:before="240" w:after="0"/>
                  <w:rPr>
                    <w:rFonts w:ascii="Times New Roman" w:eastAsia="Times New Roman" w:hAnsi="Times New Roman" w:cs="Times New Roman"/>
                    <w:b/>
                    <w:sz w:val="22"/>
                    <w:szCs w:val="22"/>
                  </w:rPr>
                </w:pPr>
                <w:bookmarkStart w:id="48" w:name="_heading=h.fg8mow2sweqh" w:colFirst="0" w:colLast="0"/>
                <w:bookmarkEnd w:id="48"/>
                <w:r>
                  <w:rPr>
                    <w:rFonts w:ascii="Times New Roman" w:eastAsia="Times New Roman" w:hAnsi="Times New Roman" w:cs="Times New Roman"/>
                    <w:b/>
                    <w:sz w:val="22"/>
                    <w:szCs w:val="22"/>
                  </w:rPr>
                  <w:t>lrgdppc</w:t>
                </w:r>
              </w:p>
            </w:tc>
            <w:tc>
              <w:tcPr>
                <w:tcW w:w="2895" w:type="dxa"/>
                <w:tcBorders>
                  <w:bottom w:val="single" w:sz="8" w:space="0" w:color="000000"/>
                  <w:right w:val="single" w:sz="8" w:space="0" w:color="000000"/>
                </w:tcBorders>
                <w:tcMar>
                  <w:top w:w="0" w:type="dxa"/>
                  <w:left w:w="100" w:type="dxa"/>
                  <w:bottom w:w="0" w:type="dxa"/>
                  <w:right w:w="100" w:type="dxa"/>
                </w:tcMar>
              </w:tcPr>
              <w:p w:rsidR="00E438DA" w:rsidRDefault="00000000">
                <w:pPr>
                  <w:pStyle w:val="Heading1"/>
                  <w:keepNext w:val="0"/>
                  <w:keepLines w:val="0"/>
                  <w:spacing w:before="240" w:after="0"/>
                  <w:rPr>
                    <w:rFonts w:ascii="Times New Roman" w:eastAsia="Times New Roman" w:hAnsi="Times New Roman" w:cs="Times New Roman"/>
                    <w:sz w:val="22"/>
                    <w:szCs w:val="22"/>
                  </w:rPr>
                </w:pPr>
                <w:bookmarkStart w:id="49" w:name="_heading=h.dk9orms2k8mf" w:colFirst="0" w:colLast="0"/>
                <w:bookmarkEnd w:id="49"/>
                <w:r>
                  <w:rPr>
                    <w:rFonts w:ascii="Times New Roman" w:eastAsia="Times New Roman" w:hAnsi="Times New Roman" w:cs="Times New Roman"/>
                    <w:sz w:val="22"/>
                    <w:szCs w:val="22"/>
                  </w:rPr>
                  <w:t>2.22</w:t>
                </w:r>
              </w:p>
            </w:tc>
            <w:tc>
              <w:tcPr>
                <w:tcW w:w="2985" w:type="dxa"/>
                <w:tcBorders>
                  <w:bottom w:val="single" w:sz="8" w:space="0" w:color="000000"/>
                  <w:right w:val="single" w:sz="8" w:space="0" w:color="000000"/>
                </w:tcBorders>
                <w:tcMar>
                  <w:top w:w="0" w:type="dxa"/>
                  <w:left w:w="100" w:type="dxa"/>
                  <w:bottom w:w="0" w:type="dxa"/>
                  <w:right w:w="100" w:type="dxa"/>
                </w:tcMar>
              </w:tcPr>
              <w:p w:rsidR="00E438DA" w:rsidRDefault="00000000">
                <w:pPr>
                  <w:pStyle w:val="Heading1"/>
                  <w:keepNext w:val="0"/>
                  <w:keepLines w:val="0"/>
                  <w:spacing w:before="240" w:after="0"/>
                  <w:rPr>
                    <w:rFonts w:ascii="Times New Roman" w:eastAsia="Times New Roman" w:hAnsi="Times New Roman" w:cs="Times New Roman"/>
                    <w:sz w:val="22"/>
                    <w:szCs w:val="22"/>
                  </w:rPr>
                </w:pPr>
                <w:bookmarkStart w:id="50" w:name="_heading=h.f66vqku27bgr" w:colFirst="0" w:colLast="0"/>
                <w:bookmarkEnd w:id="50"/>
                <w:r>
                  <w:rPr>
                    <w:rFonts w:ascii="Times New Roman" w:eastAsia="Times New Roman" w:hAnsi="Times New Roman" w:cs="Times New Roman"/>
                    <w:sz w:val="22"/>
                    <w:szCs w:val="22"/>
                  </w:rPr>
                  <w:t>0.450419</w:t>
                </w:r>
              </w:p>
            </w:tc>
          </w:tr>
          <w:tr w:rsidR="00E438DA">
            <w:trPr>
              <w:trHeight w:val="555"/>
            </w:trPr>
            <w:tc>
              <w:tcPr>
                <w:tcW w:w="2985"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pStyle w:val="Heading1"/>
                  <w:keepNext w:val="0"/>
                  <w:keepLines w:val="0"/>
                  <w:spacing w:before="240" w:after="0"/>
                  <w:rPr>
                    <w:rFonts w:ascii="Times New Roman" w:eastAsia="Times New Roman" w:hAnsi="Times New Roman" w:cs="Times New Roman"/>
                    <w:b/>
                    <w:sz w:val="22"/>
                    <w:szCs w:val="22"/>
                  </w:rPr>
                </w:pPr>
                <w:bookmarkStart w:id="51" w:name="_heading=h.qetn61abgk0k" w:colFirst="0" w:colLast="0"/>
                <w:bookmarkEnd w:id="51"/>
                <w:r>
                  <w:rPr>
                    <w:rFonts w:ascii="Times New Roman" w:eastAsia="Times New Roman" w:hAnsi="Times New Roman" w:cs="Times New Roman"/>
                    <w:b/>
                    <w:sz w:val="22"/>
                    <w:szCs w:val="22"/>
                  </w:rPr>
                  <w:t>fdi</w:t>
                </w:r>
              </w:p>
            </w:tc>
            <w:tc>
              <w:tcPr>
                <w:tcW w:w="2895" w:type="dxa"/>
                <w:tcBorders>
                  <w:bottom w:val="single" w:sz="8" w:space="0" w:color="000000"/>
                  <w:right w:val="single" w:sz="8" w:space="0" w:color="000000"/>
                </w:tcBorders>
                <w:tcMar>
                  <w:top w:w="0" w:type="dxa"/>
                  <w:left w:w="100" w:type="dxa"/>
                  <w:bottom w:w="0" w:type="dxa"/>
                  <w:right w:w="100" w:type="dxa"/>
                </w:tcMar>
              </w:tcPr>
              <w:p w:rsidR="00E438DA" w:rsidRDefault="00000000">
                <w:pPr>
                  <w:pStyle w:val="Heading1"/>
                  <w:keepNext w:val="0"/>
                  <w:keepLines w:val="0"/>
                  <w:spacing w:before="240" w:after="0"/>
                  <w:rPr>
                    <w:rFonts w:ascii="Times New Roman" w:eastAsia="Times New Roman" w:hAnsi="Times New Roman" w:cs="Times New Roman"/>
                    <w:sz w:val="22"/>
                    <w:szCs w:val="22"/>
                  </w:rPr>
                </w:pPr>
                <w:bookmarkStart w:id="52" w:name="_heading=h.grvi7xcfu328" w:colFirst="0" w:colLast="0"/>
                <w:bookmarkEnd w:id="52"/>
                <w:r>
                  <w:rPr>
                    <w:rFonts w:ascii="Times New Roman" w:eastAsia="Times New Roman" w:hAnsi="Times New Roman" w:cs="Times New Roman"/>
                    <w:sz w:val="22"/>
                    <w:szCs w:val="22"/>
                  </w:rPr>
                  <w:t>1.18</w:t>
                </w:r>
              </w:p>
            </w:tc>
            <w:tc>
              <w:tcPr>
                <w:tcW w:w="2985" w:type="dxa"/>
                <w:tcBorders>
                  <w:bottom w:val="single" w:sz="8" w:space="0" w:color="000000"/>
                  <w:right w:val="single" w:sz="8" w:space="0" w:color="000000"/>
                </w:tcBorders>
                <w:tcMar>
                  <w:top w:w="0" w:type="dxa"/>
                  <w:left w:w="100" w:type="dxa"/>
                  <w:bottom w:w="0" w:type="dxa"/>
                  <w:right w:w="100" w:type="dxa"/>
                </w:tcMar>
              </w:tcPr>
              <w:p w:rsidR="00E438DA" w:rsidRDefault="00000000">
                <w:pPr>
                  <w:pStyle w:val="Heading1"/>
                  <w:keepNext w:val="0"/>
                  <w:keepLines w:val="0"/>
                  <w:spacing w:before="240" w:after="0"/>
                  <w:rPr>
                    <w:rFonts w:ascii="Times New Roman" w:eastAsia="Times New Roman" w:hAnsi="Times New Roman" w:cs="Times New Roman"/>
                    <w:sz w:val="22"/>
                    <w:szCs w:val="22"/>
                  </w:rPr>
                </w:pPr>
                <w:bookmarkStart w:id="53" w:name="_heading=h.bdfzw5ob9g7b" w:colFirst="0" w:colLast="0"/>
                <w:bookmarkEnd w:id="53"/>
                <w:r>
                  <w:rPr>
                    <w:rFonts w:ascii="Times New Roman" w:eastAsia="Times New Roman" w:hAnsi="Times New Roman" w:cs="Times New Roman"/>
                    <w:sz w:val="22"/>
                    <w:szCs w:val="22"/>
                  </w:rPr>
                  <w:t>0.847878</w:t>
                </w:r>
              </w:p>
            </w:tc>
          </w:tr>
          <w:tr w:rsidR="00E438DA">
            <w:trPr>
              <w:trHeight w:val="538"/>
            </w:trPr>
            <w:tc>
              <w:tcPr>
                <w:tcW w:w="2985"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pStyle w:val="Heading1"/>
                  <w:keepNext w:val="0"/>
                  <w:keepLines w:val="0"/>
                  <w:spacing w:before="240" w:after="0"/>
                  <w:rPr>
                    <w:rFonts w:ascii="Times New Roman" w:eastAsia="Times New Roman" w:hAnsi="Times New Roman" w:cs="Times New Roman"/>
                    <w:b/>
                    <w:sz w:val="22"/>
                    <w:szCs w:val="22"/>
                  </w:rPr>
                </w:pPr>
                <w:bookmarkStart w:id="54" w:name="_heading=h.fpy9zlxbfp4c" w:colFirst="0" w:colLast="0"/>
                <w:bookmarkEnd w:id="54"/>
                <w:r>
                  <w:rPr>
                    <w:rFonts w:ascii="Times New Roman" w:eastAsia="Times New Roman" w:hAnsi="Times New Roman" w:cs="Times New Roman"/>
                    <w:b/>
                    <w:sz w:val="22"/>
                    <w:szCs w:val="22"/>
                  </w:rPr>
                  <w:t>Mean VIF</w:t>
                </w:r>
              </w:p>
            </w:tc>
            <w:tc>
              <w:tcPr>
                <w:tcW w:w="2895" w:type="dxa"/>
                <w:tcBorders>
                  <w:bottom w:val="single" w:sz="8" w:space="0" w:color="000000"/>
                  <w:right w:val="single" w:sz="8" w:space="0" w:color="000000"/>
                </w:tcBorders>
                <w:tcMar>
                  <w:top w:w="0" w:type="dxa"/>
                  <w:left w:w="100" w:type="dxa"/>
                  <w:bottom w:w="0" w:type="dxa"/>
                  <w:right w:w="100" w:type="dxa"/>
                </w:tcMar>
              </w:tcPr>
              <w:p w:rsidR="00E438DA" w:rsidRDefault="00000000">
                <w:pPr>
                  <w:pStyle w:val="Heading1"/>
                  <w:keepNext w:val="0"/>
                  <w:keepLines w:val="0"/>
                  <w:spacing w:before="240" w:after="0"/>
                  <w:rPr>
                    <w:rFonts w:ascii="Times New Roman" w:eastAsia="Times New Roman" w:hAnsi="Times New Roman" w:cs="Times New Roman"/>
                    <w:sz w:val="22"/>
                    <w:szCs w:val="22"/>
                  </w:rPr>
                </w:pPr>
                <w:bookmarkStart w:id="55" w:name="_heading=h.szf4szl72hi2" w:colFirst="0" w:colLast="0"/>
                <w:bookmarkEnd w:id="55"/>
                <w:r>
                  <w:rPr>
                    <w:rFonts w:ascii="Times New Roman" w:eastAsia="Times New Roman" w:hAnsi="Times New Roman" w:cs="Times New Roman"/>
                    <w:sz w:val="22"/>
                    <w:szCs w:val="22"/>
                  </w:rPr>
                  <w:t>18.67</w:t>
                </w:r>
              </w:p>
            </w:tc>
            <w:tc>
              <w:tcPr>
                <w:tcW w:w="2985" w:type="dxa"/>
                <w:tcBorders>
                  <w:bottom w:val="single" w:sz="8" w:space="0" w:color="000000"/>
                  <w:right w:val="single" w:sz="8" w:space="0" w:color="000000"/>
                </w:tcBorders>
                <w:tcMar>
                  <w:top w:w="0" w:type="dxa"/>
                  <w:left w:w="100" w:type="dxa"/>
                  <w:bottom w:w="0" w:type="dxa"/>
                  <w:right w:w="100" w:type="dxa"/>
                </w:tcMar>
              </w:tcPr>
              <w:p w:rsidR="00E438DA" w:rsidRDefault="00000000">
                <w:pPr>
                  <w:pStyle w:val="Heading1"/>
                  <w:keepNext w:val="0"/>
                  <w:keepLines w:val="0"/>
                  <w:spacing w:before="240" w:after="0"/>
                  <w:rPr>
                    <w:rFonts w:ascii="Times New Roman" w:eastAsia="Times New Roman" w:hAnsi="Times New Roman" w:cs="Times New Roman"/>
                    <w:sz w:val="22"/>
                    <w:szCs w:val="22"/>
                  </w:rPr>
                </w:pPr>
                <w:bookmarkStart w:id="56" w:name="_heading=h.l6knacmhk05y" w:colFirst="0" w:colLast="0"/>
                <w:bookmarkEnd w:id="56"/>
                <w:r>
                  <w:rPr>
                    <w:rFonts w:ascii="Times New Roman" w:eastAsia="Times New Roman" w:hAnsi="Times New Roman" w:cs="Times New Roman"/>
                    <w:sz w:val="22"/>
                    <w:szCs w:val="22"/>
                  </w:rPr>
                  <w:t xml:space="preserve"> </w:t>
                </w:r>
              </w:p>
            </w:tc>
          </w:tr>
        </w:tbl>
      </w:sdtContent>
    </w:sdt>
    <w:p w:rsidR="00E438DA" w:rsidRDefault="00E438DA">
      <w:pPr>
        <w:rPr>
          <w:i/>
          <w:sz w:val="16"/>
          <w:szCs w:val="16"/>
        </w:rPr>
      </w:pPr>
    </w:p>
    <w:p w:rsidR="00E438DA" w:rsidRDefault="00000000">
      <w:pPr>
        <w:jc w:val="both"/>
        <w:rPr>
          <w:i/>
          <w:sz w:val="16"/>
          <w:szCs w:val="16"/>
        </w:rPr>
      </w:pPr>
      <w:proofErr w:type="spellStart"/>
      <w:r>
        <w:rPr>
          <w:i/>
          <w:sz w:val="16"/>
          <w:szCs w:val="16"/>
        </w:rPr>
        <w:t>fd</w:t>
      </w:r>
      <w:proofErr w:type="spellEnd"/>
      <w:r>
        <w:rPr>
          <w:i/>
          <w:sz w:val="16"/>
          <w:szCs w:val="16"/>
        </w:rPr>
        <w:t xml:space="preserve"> = Financial Development; </w:t>
      </w:r>
      <w:proofErr w:type="spellStart"/>
      <w:r>
        <w:rPr>
          <w:i/>
          <w:sz w:val="16"/>
          <w:szCs w:val="16"/>
        </w:rPr>
        <w:t>inst</w:t>
      </w:r>
      <w:proofErr w:type="spellEnd"/>
      <w:r>
        <w:rPr>
          <w:i/>
          <w:sz w:val="16"/>
          <w:szCs w:val="16"/>
        </w:rPr>
        <w:t xml:space="preserve"> = Institutional Quality; </w:t>
      </w:r>
      <w:proofErr w:type="spellStart"/>
      <w:r>
        <w:rPr>
          <w:i/>
          <w:sz w:val="16"/>
          <w:szCs w:val="16"/>
        </w:rPr>
        <w:t>fd_inst</w:t>
      </w:r>
      <w:proofErr w:type="spellEnd"/>
      <w:r>
        <w:rPr>
          <w:i/>
          <w:sz w:val="16"/>
          <w:szCs w:val="16"/>
        </w:rPr>
        <w:t xml:space="preserve"> = Interaction term between Financial Development and Institutional Quality; </w:t>
      </w:r>
      <w:proofErr w:type="spellStart"/>
      <w:r>
        <w:rPr>
          <w:i/>
          <w:sz w:val="16"/>
          <w:szCs w:val="16"/>
        </w:rPr>
        <w:t>lpop</w:t>
      </w:r>
      <w:proofErr w:type="spellEnd"/>
      <w:r>
        <w:rPr>
          <w:i/>
          <w:sz w:val="16"/>
          <w:szCs w:val="16"/>
        </w:rPr>
        <w:t xml:space="preserve"> = Log of Population; </w:t>
      </w:r>
      <w:proofErr w:type="spellStart"/>
      <w:r>
        <w:rPr>
          <w:i/>
          <w:sz w:val="16"/>
          <w:szCs w:val="16"/>
        </w:rPr>
        <w:t>lrgdppc</w:t>
      </w:r>
      <w:proofErr w:type="spellEnd"/>
      <w:r>
        <w:rPr>
          <w:i/>
          <w:sz w:val="16"/>
          <w:szCs w:val="16"/>
        </w:rPr>
        <w:t xml:space="preserve"> = Log of Real GDP per capita; </w:t>
      </w:r>
      <w:proofErr w:type="spellStart"/>
      <w:r>
        <w:rPr>
          <w:i/>
          <w:sz w:val="16"/>
          <w:szCs w:val="16"/>
        </w:rPr>
        <w:t>fdi</w:t>
      </w:r>
      <w:proofErr w:type="spellEnd"/>
      <w:r>
        <w:rPr>
          <w:i/>
          <w:sz w:val="16"/>
          <w:szCs w:val="16"/>
        </w:rPr>
        <w:t xml:space="preserve"> = Foreign Direct Investment; VIF = Variance Inflation Factor (measures multicollinearity)</w:t>
      </w:r>
    </w:p>
    <w:p w:rsidR="00E438DA" w:rsidRDefault="00000000">
      <w:pPr>
        <w:pBdr>
          <w:top w:val="nil"/>
          <w:left w:val="nil"/>
          <w:bottom w:val="nil"/>
          <w:right w:val="nil"/>
          <w:between w:val="nil"/>
        </w:pBdr>
        <w:jc w:val="both"/>
        <w:rPr>
          <w:rFonts w:ascii="Georgia" w:eastAsia="Georgia" w:hAnsi="Georgia" w:cs="Georgia"/>
        </w:rPr>
      </w:pPr>
      <w:r>
        <w:rPr>
          <w:rFonts w:ascii="Georgia" w:eastAsia="Georgia" w:hAnsi="Georgia" w:cs="Georgia"/>
        </w:rPr>
        <w:t>Table 5 shows the outcome of the Variance Inflation Factor (VIF) test for identifying multicollinearity in the regression model. The interaction variable (</w:t>
      </w:r>
      <w:proofErr w:type="spellStart"/>
      <w:r>
        <w:rPr>
          <w:rFonts w:ascii="Georgia" w:eastAsia="Georgia" w:hAnsi="Georgia" w:cs="Georgia"/>
        </w:rPr>
        <w:t>fd_inst</w:t>
      </w:r>
      <w:proofErr w:type="spellEnd"/>
      <w:r>
        <w:rPr>
          <w:rFonts w:ascii="Georgia" w:eastAsia="Georgia" w:hAnsi="Georgia" w:cs="Georgia"/>
        </w:rPr>
        <w:t>) and financial development (</w:t>
      </w:r>
      <w:proofErr w:type="spellStart"/>
      <w:r>
        <w:rPr>
          <w:rFonts w:ascii="Georgia" w:eastAsia="Georgia" w:hAnsi="Georgia" w:cs="Georgia"/>
        </w:rPr>
        <w:t>fd</w:t>
      </w:r>
      <w:proofErr w:type="spellEnd"/>
      <w:r>
        <w:rPr>
          <w:rFonts w:ascii="Georgia" w:eastAsia="Georgia" w:hAnsi="Georgia" w:cs="Georgia"/>
        </w:rPr>
        <w:t xml:space="preserve">) are strongly multicollinear with VIF values of 54.71 and 47.62, respectively. </w:t>
      </w:r>
      <w:r>
        <w:rPr>
          <w:rFonts w:ascii="Georgia" w:eastAsia="Georgia" w:hAnsi="Georgia" w:cs="Georgia"/>
        </w:rPr>
        <w:lastRenderedPageBreak/>
        <w:t>Institutional quality (</w:t>
      </w:r>
      <w:proofErr w:type="spellStart"/>
      <w:r>
        <w:rPr>
          <w:rFonts w:ascii="Georgia" w:eastAsia="Georgia" w:hAnsi="Georgia" w:cs="Georgia"/>
        </w:rPr>
        <w:t>inst</w:t>
      </w:r>
      <w:proofErr w:type="spellEnd"/>
      <w:r>
        <w:rPr>
          <w:rFonts w:ascii="Georgia" w:eastAsia="Georgia" w:hAnsi="Georgia" w:cs="Georgia"/>
        </w:rPr>
        <w:t>) is moderately collinear (VIF = 3.94), while the other variables are low or no collinearity. The average VIF of 18.67 suggests high overall collinearity, which implies possible problems of coefficient unreliability.</w:t>
      </w:r>
    </w:p>
    <w:p w:rsidR="00E438DA" w:rsidRDefault="00E438DA">
      <w:pPr>
        <w:spacing w:before="240" w:after="240"/>
      </w:pPr>
    </w:p>
    <w:p w:rsidR="00E438DA" w:rsidRDefault="00E438DA">
      <w:pPr>
        <w:spacing w:before="240" w:after="240"/>
      </w:pPr>
    </w:p>
    <w:p w:rsidR="00E438DA" w:rsidRDefault="00000000">
      <w:pPr>
        <w:pStyle w:val="Heading3"/>
        <w:keepNext w:val="0"/>
        <w:keepLines w:val="0"/>
        <w:pBdr>
          <w:top w:val="nil"/>
          <w:left w:val="nil"/>
          <w:bottom w:val="nil"/>
          <w:right w:val="nil"/>
          <w:between w:val="nil"/>
        </w:pBdr>
        <w:spacing w:before="280"/>
        <w:jc w:val="both"/>
        <w:rPr>
          <w:rFonts w:ascii="Georgia" w:eastAsia="Georgia" w:hAnsi="Georgia" w:cs="Georgia"/>
          <w:color w:val="000000"/>
        </w:rPr>
      </w:pPr>
      <w:bookmarkStart w:id="57" w:name="_heading=h.yhh5mf8lh32d" w:colFirst="0" w:colLast="0"/>
      <w:bookmarkEnd w:id="57"/>
      <w:r>
        <w:rPr>
          <w:rFonts w:ascii="Georgia" w:eastAsia="Georgia" w:hAnsi="Georgia" w:cs="Georgia"/>
          <w:color w:val="000000"/>
        </w:rPr>
        <w:t>6.1.2 Cross-Sectional Dependence Tests</w:t>
      </w:r>
    </w:p>
    <w:p w:rsidR="00E438DA" w:rsidRDefault="00000000">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Table </w:t>
      </w:r>
      <w:proofErr w:type="gramStart"/>
      <w:r>
        <w:rPr>
          <w:rFonts w:ascii="Times New Roman" w:eastAsia="Times New Roman" w:hAnsi="Times New Roman" w:cs="Times New Roman"/>
          <w:b/>
          <w:sz w:val="26"/>
          <w:szCs w:val="26"/>
        </w:rPr>
        <w:t>6:Cross</w:t>
      </w:r>
      <w:proofErr w:type="gramEnd"/>
      <w:r>
        <w:rPr>
          <w:rFonts w:ascii="Times New Roman" w:eastAsia="Times New Roman" w:hAnsi="Times New Roman" w:cs="Times New Roman"/>
          <w:b/>
          <w:sz w:val="26"/>
          <w:szCs w:val="26"/>
        </w:rPr>
        <w:t>-Sectional Dependence Test</w:t>
      </w:r>
    </w:p>
    <w:p w:rsidR="00E438DA" w:rsidRDefault="00E438DA"/>
    <w:sdt>
      <w:sdtPr>
        <w:tag w:val="goog_rdk_7"/>
        <w:id w:val="1147318773"/>
        <w:lock w:val="contentLocked"/>
      </w:sdtPr>
      <w:sdtContent>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E438DA">
            <w:tc>
              <w:tcPr>
                <w:tcW w:w="1872"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b/>
                  </w:rPr>
                  <w:t>Variable</w:t>
                </w:r>
              </w:p>
            </w:tc>
            <w:tc>
              <w:tcPr>
                <w:tcW w:w="1872"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b/>
                  </w:rPr>
                  <w:t>CD-test</w:t>
                </w:r>
              </w:p>
            </w:tc>
            <w:tc>
              <w:tcPr>
                <w:tcW w:w="1872"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b/>
                  </w:rPr>
                  <w:t>p-value</w:t>
                </w:r>
              </w:p>
            </w:tc>
            <w:tc>
              <w:tcPr>
                <w:tcW w:w="1872"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b/>
                  </w:rPr>
                  <w:t>corr</w:t>
                </w:r>
              </w:p>
            </w:tc>
            <w:tc>
              <w:tcPr>
                <w:tcW w:w="1872" w:type="dxa"/>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b/>
                  </w:rPr>
                  <w:t>abs(corr)</w:t>
                </w:r>
              </w:p>
            </w:tc>
          </w:tr>
          <w:tr w:rsidR="00E438DA">
            <w:tc>
              <w:tcPr>
                <w:tcW w:w="1872" w:type="dxa"/>
                <w:tcMar>
                  <w:top w:w="100" w:type="dxa"/>
                  <w:left w:w="100" w:type="dxa"/>
                  <w:bottom w:w="100" w:type="dxa"/>
                  <w:right w:w="100" w:type="dxa"/>
                </w:tcMar>
              </w:tcPr>
              <w:p w:rsidR="00E438DA"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ren</w:t>
                </w:r>
              </w:p>
            </w:tc>
            <w:tc>
              <w:tcPr>
                <w:tcW w:w="1872" w:type="dxa"/>
                <w:tcMar>
                  <w:top w:w="100" w:type="dxa"/>
                  <w:left w:w="100" w:type="dxa"/>
                  <w:bottom w:w="100" w:type="dxa"/>
                  <w:right w:w="100" w:type="dxa"/>
                </w:tcMar>
              </w:tcPr>
              <w:p w:rsidR="00E438DA"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7.13</w:t>
                </w:r>
              </w:p>
            </w:tc>
            <w:tc>
              <w:tcPr>
                <w:tcW w:w="1872" w:type="dxa"/>
                <w:tcMar>
                  <w:top w:w="100" w:type="dxa"/>
                  <w:left w:w="100" w:type="dxa"/>
                  <w:bottom w:w="100" w:type="dxa"/>
                  <w:right w:w="100" w:type="dxa"/>
                </w:tcMar>
              </w:tcPr>
              <w:p w:rsidR="00E438DA"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0.000</w:t>
                </w:r>
              </w:p>
            </w:tc>
            <w:tc>
              <w:tcPr>
                <w:tcW w:w="1872" w:type="dxa"/>
                <w:tcMar>
                  <w:top w:w="100" w:type="dxa"/>
                  <w:left w:w="100" w:type="dxa"/>
                  <w:bottom w:w="100" w:type="dxa"/>
                  <w:right w:w="100" w:type="dxa"/>
                </w:tcMar>
              </w:tcPr>
              <w:p w:rsidR="00E438DA"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0.083</w:t>
                </w:r>
              </w:p>
            </w:tc>
            <w:tc>
              <w:tcPr>
                <w:tcW w:w="1872" w:type="dxa"/>
                <w:tcMar>
                  <w:top w:w="100" w:type="dxa"/>
                  <w:left w:w="100" w:type="dxa"/>
                  <w:bottom w:w="100" w:type="dxa"/>
                  <w:right w:w="100" w:type="dxa"/>
                </w:tcMar>
              </w:tcPr>
              <w:p w:rsidR="00E438DA"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0.188</w:t>
                </w:r>
              </w:p>
            </w:tc>
          </w:tr>
          <w:tr w:rsidR="00E438DA">
            <w:tc>
              <w:tcPr>
                <w:tcW w:w="1872" w:type="dxa"/>
                <w:tcMar>
                  <w:top w:w="100" w:type="dxa"/>
                  <w:left w:w="100" w:type="dxa"/>
                  <w:bottom w:w="100" w:type="dxa"/>
                  <w:right w:w="100" w:type="dxa"/>
                </w:tcMar>
              </w:tcPr>
              <w:p w:rsidR="00E438DA"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fd</w:t>
                </w:r>
              </w:p>
            </w:tc>
            <w:tc>
              <w:tcPr>
                <w:tcW w:w="1872" w:type="dxa"/>
                <w:tcMar>
                  <w:top w:w="100" w:type="dxa"/>
                  <w:left w:w="100" w:type="dxa"/>
                  <w:bottom w:w="100" w:type="dxa"/>
                  <w:right w:w="100" w:type="dxa"/>
                </w:tcMar>
              </w:tcPr>
              <w:p w:rsidR="00E438DA"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4.05</w:t>
                </w:r>
              </w:p>
            </w:tc>
            <w:tc>
              <w:tcPr>
                <w:tcW w:w="1872" w:type="dxa"/>
                <w:tcMar>
                  <w:top w:w="100" w:type="dxa"/>
                  <w:left w:w="100" w:type="dxa"/>
                  <w:bottom w:w="100" w:type="dxa"/>
                  <w:right w:w="100" w:type="dxa"/>
                </w:tcMar>
              </w:tcPr>
              <w:p w:rsidR="00E438DA"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0.000</w:t>
                </w:r>
              </w:p>
            </w:tc>
            <w:tc>
              <w:tcPr>
                <w:tcW w:w="1872" w:type="dxa"/>
                <w:tcMar>
                  <w:top w:w="100" w:type="dxa"/>
                  <w:left w:w="100" w:type="dxa"/>
                  <w:bottom w:w="100" w:type="dxa"/>
                  <w:right w:w="100" w:type="dxa"/>
                </w:tcMar>
              </w:tcPr>
              <w:p w:rsidR="00E438DA"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0.047</w:t>
                </w:r>
              </w:p>
            </w:tc>
            <w:tc>
              <w:tcPr>
                <w:tcW w:w="1872" w:type="dxa"/>
                <w:tcMar>
                  <w:top w:w="100" w:type="dxa"/>
                  <w:left w:w="100" w:type="dxa"/>
                  <w:bottom w:w="100" w:type="dxa"/>
                  <w:right w:w="100" w:type="dxa"/>
                </w:tcMar>
              </w:tcPr>
              <w:p w:rsidR="00E438DA"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0.201</w:t>
                </w:r>
              </w:p>
            </w:tc>
          </w:tr>
          <w:tr w:rsidR="00E438DA">
            <w:tc>
              <w:tcPr>
                <w:tcW w:w="1872" w:type="dxa"/>
                <w:tcMar>
                  <w:top w:w="100" w:type="dxa"/>
                  <w:left w:w="100" w:type="dxa"/>
                  <w:bottom w:w="100" w:type="dxa"/>
                  <w:right w:w="100" w:type="dxa"/>
                </w:tcMar>
              </w:tcPr>
              <w:p w:rsidR="00E438DA"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inst</w:t>
                </w:r>
              </w:p>
            </w:tc>
            <w:tc>
              <w:tcPr>
                <w:tcW w:w="1872" w:type="dxa"/>
                <w:tcMar>
                  <w:top w:w="100" w:type="dxa"/>
                  <w:left w:w="100" w:type="dxa"/>
                  <w:bottom w:w="100" w:type="dxa"/>
                  <w:right w:w="100" w:type="dxa"/>
                </w:tcMar>
              </w:tcPr>
              <w:p w:rsidR="00E438DA"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2.69</w:t>
                </w:r>
              </w:p>
            </w:tc>
            <w:tc>
              <w:tcPr>
                <w:tcW w:w="1872" w:type="dxa"/>
                <w:tcMar>
                  <w:top w:w="100" w:type="dxa"/>
                  <w:left w:w="100" w:type="dxa"/>
                  <w:bottom w:w="100" w:type="dxa"/>
                  <w:right w:w="100" w:type="dxa"/>
                </w:tcMar>
              </w:tcPr>
              <w:p w:rsidR="00E438DA"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0.007</w:t>
                </w:r>
              </w:p>
            </w:tc>
            <w:tc>
              <w:tcPr>
                <w:tcW w:w="1872" w:type="dxa"/>
                <w:tcMar>
                  <w:top w:w="100" w:type="dxa"/>
                  <w:left w:w="100" w:type="dxa"/>
                  <w:bottom w:w="100" w:type="dxa"/>
                  <w:right w:w="100" w:type="dxa"/>
                </w:tcMar>
              </w:tcPr>
              <w:p w:rsidR="00E438DA"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0.031</w:t>
                </w:r>
              </w:p>
            </w:tc>
            <w:tc>
              <w:tcPr>
                <w:tcW w:w="1872" w:type="dxa"/>
                <w:tcMar>
                  <w:top w:w="100" w:type="dxa"/>
                  <w:left w:w="100" w:type="dxa"/>
                  <w:bottom w:w="100" w:type="dxa"/>
                  <w:right w:w="100" w:type="dxa"/>
                </w:tcMar>
              </w:tcPr>
              <w:p w:rsidR="00E438DA"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0.245</w:t>
                </w:r>
              </w:p>
            </w:tc>
          </w:tr>
          <w:tr w:rsidR="00E438DA">
            <w:tc>
              <w:tcPr>
                <w:tcW w:w="1872" w:type="dxa"/>
                <w:tcMar>
                  <w:top w:w="100" w:type="dxa"/>
                  <w:left w:w="100" w:type="dxa"/>
                  <w:bottom w:w="100" w:type="dxa"/>
                  <w:right w:w="100" w:type="dxa"/>
                </w:tcMar>
              </w:tcPr>
              <w:p w:rsidR="00E438DA"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fd_inst</w:t>
                </w:r>
              </w:p>
            </w:tc>
            <w:tc>
              <w:tcPr>
                <w:tcW w:w="1872" w:type="dxa"/>
                <w:tcMar>
                  <w:top w:w="100" w:type="dxa"/>
                  <w:left w:w="100" w:type="dxa"/>
                  <w:bottom w:w="100" w:type="dxa"/>
                  <w:right w:w="100" w:type="dxa"/>
                </w:tcMar>
              </w:tcPr>
              <w:p w:rsidR="00E438DA"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6.42</w:t>
                </w:r>
              </w:p>
            </w:tc>
            <w:tc>
              <w:tcPr>
                <w:tcW w:w="1872" w:type="dxa"/>
                <w:tcMar>
                  <w:top w:w="100" w:type="dxa"/>
                  <w:left w:w="100" w:type="dxa"/>
                  <w:bottom w:w="100" w:type="dxa"/>
                  <w:right w:w="100" w:type="dxa"/>
                </w:tcMar>
              </w:tcPr>
              <w:p w:rsidR="00E438DA"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0.000</w:t>
                </w:r>
              </w:p>
            </w:tc>
            <w:tc>
              <w:tcPr>
                <w:tcW w:w="1872" w:type="dxa"/>
                <w:tcMar>
                  <w:top w:w="100" w:type="dxa"/>
                  <w:left w:w="100" w:type="dxa"/>
                  <w:bottom w:w="100" w:type="dxa"/>
                  <w:right w:w="100" w:type="dxa"/>
                </w:tcMar>
              </w:tcPr>
              <w:p w:rsidR="00E438DA"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0.075</w:t>
                </w:r>
              </w:p>
            </w:tc>
            <w:tc>
              <w:tcPr>
                <w:tcW w:w="1872" w:type="dxa"/>
                <w:tcMar>
                  <w:top w:w="100" w:type="dxa"/>
                  <w:left w:w="100" w:type="dxa"/>
                  <w:bottom w:w="100" w:type="dxa"/>
                  <w:right w:w="100" w:type="dxa"/>
                </w:tcMar>
              </w:tcPr>
              <w:p w:rsidR="00E438DA"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0.209</w:t>
                </w:r>
              </w:p>
            </w:tc>
          </w:tr>
          <w:tr w:rsidR="00E438DA">
            <w:tc>
              <w:tcPr>
                <w:tcW w:w="1872" w:type="dxa"/>
                <w:tcMar>
                  <w:top w:w="100" w:type="dxa"/>
                  <w:left w:w="100" w:type="dxa"/>
                  <w:bottom w:w="100" w:type="dxa"/>
                  <w:right w:w="100" w:type="dxa"/>
                </w:tcMar>
              </w:tcPr>
              <w:p w:rsidR="00E438DA"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lrgdppc</w:t>
                </w:r>
              </w:p>
            </w:tc>
            <w:tc>
              <w:tcPr>
                <w:tcW w:w="1872" w:type="dxa"/>
                <w:tcMar>
                  <w:top w:w="100" w:type="dxa"/>
                  <w:left w:w="100" w:type="dxa"/>
                  <w:bottom w:w="100" w:type="dxa"/>
                  <w:right w:w="100" w:type="dxa"/>
                </w:tcMar>
              </w:tcPr>
              <w:p w:rsidR="00E438DA"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23.15</w:t>
                </w:r>
              </w:p>
            </w:tc>
            <w:tc>
              <w:tcPr>
                <w:tcW w:w="1872" w:type="dxa"/>
                <w:tcMar>
                  <w:top w:w="100" w:type="dxa"/>
                  <w:left w:w="100" w:type="dxa"/>
                  <w:bottom w:w="100" w:type="dxa"/>
                  <w:right w:w="100" w:type="dxa"/>
                </w:tcMar>
              </w:tcPr>
              <w:p w:rsidR="00E438DA"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0.0000</w:t>
                </w:r>
              </w:p>
            </w:tc>
            <w:tc>
              <w:tcPr>
                <w:tcW w:w="1872" w:type="dxa"/>
                <w:tcMar>
                  <w:top w:w="100" w:type="dxa"/>
                  <w:left w:w="100" w:type="dxa"/>
                  <w:bottom w:w="100" w:type="dxa"/>
                  <w:right w:w="100" w:type="dxa"/>
                </w:tcMar>
              </w:tcPr>
              <w:p w:rsidR="00E438DA"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0.270</w:t>
                </w:r>
              </w:p>
            </w:tc>
            <w:tc>
              <w:tcPr>
                <w:tcW w:w="1872" w:type="dxa"/>
                <w:tcMar>
                  <w:top w:w="100" w:type="dxa"/>
                  <w:left w:w="100" w:type="dxa"/>
                  <w:bottom w:w="100" w:type="dxa"/>
                  <w:right w:w="100" w:type="dxa"/>
                </w:tcMar>
              </w:tcPr>
              <w:p w:rsidR="00E438DA"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0.330</w:t>
                </w:r>
              </w:p>
            </w:tc>
          </w:tr>
          <w:tr w:rsidR="00E438DA">
            <w:tc>
              <w:tcPr>
                <w:tcW w:w="1872" w:type="dxa"/>
                <w:tcMar>
                  <w:top w:w="100" w:type="dxa"/>
                  <w:left w:w="100" w:type="dxa"/>
                  <w:bottom w:w="100" w:type="dxa"/>
                  <w:right w:w="100" w:type="dxa"/>
                </w:tcMar>
              </w:tcPr>
              <w:p w:rsidR="00E438DA"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fdi</w:t>
                </w:r>
              </w:p>
            </w:tc>
            <w:tc>
              <w:tcPr>
                <w:tcW w:w="1872" w:type="dxa"/>
                <w:tcMar>
                  <w:top w:w="100" w:type="dxa"/>
                  <w:left w:w="100" w:type="dxa"/>
                  <w:bottom w:w="100" w:type="dxa"/>
                  <w:right w:w="100" w:type="dxa"/>
                </w:tcMar>
              </w:tcPr>
              <w:p w:rsidR="00E438DA"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6.01</w:t>
                </w:r>
              </w:p>
            </w:tc>
            <w:tc>
              <w:tcPr>
                <w:tcW w:w="1872" w:type="dxa"/>
                <w:tcMar>
                  <w:top w:w="100" w:type="dxa"/>
                  <w:left w:w="100" w:type="dxa"/>
                  <w:bottom w:w="100" w:type="dxa"/>
                  <w:right w:w="100" w:type="dxa"/>
                </w:tcMar>
              </w:tcPr>
              <w:p w:rsidR="00E438DA"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0.0000</w:t>
                </w:r>
              </w:p>
            </w:tc>
            <w:tc>
              <w:tcPr>
                <w:tcW w:w="1872" w:type="dxa"/>
                <w:tcMar>
                  <w:top w:w="100" w:type="dxa"/>
                  <w:left w:w="100" w:type="dxa"/>
                  <w:bottom w:w="100" w:type="dxa"/>
                  <w:right w:w="100" w:type="dxa"/>
                </w:tcMar>
              </w:tcPr>
              <w:p w:rsidR="00E438DA"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0.070</w:t>
                </w:r>
              </w:p>
            </w:tc>
            <w:tc>
              <w:tcPr>
                <w:tcW w:w="1872" w:type="dxa"/>
                <w:tcMar>
                  <w:top w:w="100" w:type="dxa"/>
                  <w:left w:w="100" w:type="dxa"/>
                  <w:bottom w:w="100" w:type="dxa"/>
                  <w:right w:w="100" w:type="dxa"/>
                </w:tcMar>
              </w:tcPr>
              <w:p w:rsidR="00E438DA"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0.190</w:t>
                </w:r>
              </w:p>
            </w:tc>
          </w:tr>
        </w:tbl>
      </w:sdtContent>
    </w:sdt>
    <w:p w:rsidR="00E438DA" w:rsidRDefault="00000000">
      <w:pPr>
        <w:jc w:val="both"/>
        <w:rPr>
          <w:i/>
          <w:sz w:val="16"/>
          <w:szCs w:val="16"/>
        </w:rPr>
      </w:pPr>
      <w:r>
        <w:rPr>
          <w:i/>
          <w:sz w:val="16"/>
          <w:szCs w:val="16"/>
        </w:rPr>
        <w:t xml:space="preserve">ren = Renewable Energy Consumption; </w:t>
      </w:r>
      <w:proofErr w:type="spellStart"/>
      <w:r>
        <w:rPr>
          <w:i/>
          <w:sz w:val="16"/>
          <w:szCs w:val="16"/>
        </w:rPr>
        <w:t>fd</w:t>
      </w:r>
      <w:proofErr w:type="spellEnd"/>
      <w:r>
        <w:rPr>
          <w:i/>
          <w:sz w:val="16"/>
          <w:szCs w:val="16"/>
        </w:rPr>
        <w:t xml:space="preserve"> = Financial Development; </w:t>
      </w:r>
      <w:proofErr w:type="spellStart"/>
      <w:r>
        <w:rPr>
          <w:i/>
          <w:sz w:val="16"/>
          <w:szCs w:val="16"/>
        </w:rPr>
        <w:t>inst</w:t>
      </w:r>
      <w:proofErr w:type="spellEnd"/>
      <w:r>
        <w:rPr>
          <w:i/>
          <w:sz w:val="16"/>
          <w:szCs w:val="16"/>
        </w:rPr>
        <w:t xml:space="preserve"> = Institutional Quality; </w:t>
      </w:r>
      <w:proofErr w:type="spellStart"/>
      <w:r>
        <w:rPr>
          <w:i/>
          <w:sz w:val="16"/>
          <w:szCs w:val="16"/>
        </w:rPr>
        <w:t>fd_inst</w:t>
      </w:r>
      <w:proofErr w:type="spellEnd"/>
      <w:r>
        <w:rPr>
          <w:i/>
          <w:sz w:val="16"/>
          <w:szCs w:val="16"/>
        </w:rPr>
        <w:t xml:space="preserve"> = Interaction term between Financial Development and Institutional Quality; </w:t>
      </w:r>
      <w:proofErr w:type="spellStart"/>
      <w:r>
        <w:rPr>
          <w:i/>
          <w:sz w:val="16"/>
          <w:szCs w:val="16"/>
        </w:rPr>
        <w:t>lrgdppc</w:t>
      </w:r>
      <w:proofErr w:type="spellEnd"/>
      <w:r>
        <w:rPr>
          <w:i/>
          <w:sz w:val="16"/>
          <w:szCs w:val="16"/>
        </w:rPr>
        <w:t xml:space="preserve"> = Log of Real GDP per capita; </w:t>
      </w:r>
      <w:proofErr w:type="spellStart"/>
      <w:r>
        <w:rPr>
          <w:i/>
          <w:sz w:val="16"/>
          <w:szCs w:val="16"/>
        </w:rPr>
        <w:t>fdi</w:t>
      </w:r>
      <w:proofErr w:type="spellEnd"/>
      <w:r>
        <w:rPr>
          <w:i/>
          <w:sz w:val="16"/>
          <w:szCs w:val="16"/>
        </w:rPr>
        <w:t xml:space="preserve"> = Foreign Direct Investment; CD-test = Cross-sectional Dependence test (</w:t>
      </w:r>
      <w:proofErr w:type="spellStart"/>
      <w:r>
        <w:rPr>
          <w:i/>
          <w:sz w:val="16"/>
          <w:szCs w:val="16"/>
        </w:rPr>
        <w:t>Pesaran</w:t>
      </w:r>
      <w:proofErr w:type="spellEnd"/>
      <w:r>
        <w:rPr>
          <w:i/>
          <w:sz w:val="16"/>
          <w:szCs w:val="16"/>
        </w:rPr>
        <w:t>)</w:t>
      </w:r>
    </w:p>
    <w:p w:rsidR="00E438DA" w:rsidRDefault="00000000">
      <w:pPr>
        <w:spacing w:before="240" w:after="240"/>
        <w:jc w:val="both"/>
        <w:rPr>
          <w:rFonts w:ascii="Georgia" w:eastAsia="Georgia" w:hAnsi="Georgia" w:cs="Georgia"/>
        </w:rPr>
      </w:pPr>
      <w:r>
        <w:rPr>
          <w:rFonts w:ascii="Georgia" w:eastAsia="Georgia" w:hAnsi="Georgia" w:cs="Georgia"/>
        </w:rPr>
        <w:t xml:space="preserve">Table 6 reports the results of </w:t>
      </w:r>
      <w:proofErr w:type="spellStart"/>
      <w:r>
        <w:rPr>
          <w:rFonts w:ascii="Georgia" w:eastAsia="Georgia" w:hAnsi="Georgia" w:cs="Georgia"/>
        </w:rPr>
        <w:t>Pesaran's</w:t>
      </w:r>
      <w:proofErr w:type="spellEnd"/>
      <w:r>
        <w:rPr>
          <w:rFonts w:ascii="Georgia" w:eastAsia="Georgia" w:hAnsi="Georgia" w:cs="Georgia"/>
        </w:rPr>
        <w:t xml:space="preserve"> CD test for cross-sectional dependence. Most variables (renew, </w:t>
      </w:r>
      <w:proofErr w:type="spellStart"/>
      <w:r>
        <w:rPr>
          <w:rFonts w:ascii="Georgia" w:eastAsia="Georgia" w:hAnsi="Georgia" w:cs="Georgia"/>
        </w:rPr>
        <w:t>fd</w:t>
      </w:r>
      <w:proofErr w:type="spellEnd"/>
      <w:r>
        <w:rPr>
          <w:rFonts w:ascii="Georgia" w:eastAsia="Georgia" w:hAnsi="Georgia" w:cs="Georgia"/>
        </w:rPr>
        <w:t xml:space="preserve">, </w:t>
      </w:r>
      <w:proofErr w:type="spellStart"/>
      <w:r>
        <w:rPr>
          <w:rFonts w:ascii="Georgia" w:eastAsia="Georgia" w:hAnsi="Georgia" w:cs="Georgia"/>
        </w:rPr>
        <w:t>inst</w:t>
      </w:r>
      <w:proofErr w:type="spellEnd"/>
      <w:r>
        <w:rPr>
          <w:rFonts w:ascii="Georgia" w:eastAsia="Georgia" w:hAnsi="Georgia" w:cs="Georgia"/>
        </w:rPr>
        <w:t xml:space="preserve">, </w:t>
      </w:r>
      <w:proofErr w:type="spellStart"/>
      <w:r>
        <w:rPr>
          <w:rFonts w:ascii="Georgia" w:eastAsia="Georgia" w:hAnsi="Georgia" w:cs="Georgia"/>
        </w:rPr>
        <w:t>fd_inst</w:t>
      </w:r>
      <w:proofErr w:type="spellEnd"/>
      <w:r>
        <w:rPr>
          <w:rFonts w:ascii="Georgia" w:eastAsia="Georgia" w:hAnsi="Georgia" w:cs="Georgia"/>
        </w:rPr>
        <w:t xml:space="preserve">, </w:t>
      </w:r>
      <w:proofErr w:type="spellStart"/>
      <w:r>
        <w:rPr>
          <w:rFonts w:ascii="Georgia" w:eastAsia="Georgia" w:hAnsi="Georgia" w:cs="Georgia"/>
        </w:rPr>
        <w:t>lrgdppc</w:t>
      </w:r>
      <w:proofErr w:type="spellEnd"/>
      <w:r>
        <w:rPr>
          <w:rFonts w:ascii="Georgia" w:eastAsia="Georgia" w:hAnsi="Georgia" w:cs="Georgia"/>
        </w:rPr>
        <w:t xml:space="preserve">, and </w:t>
      </w:r>
      <w:proofErr w:type="spellStart"/>
      <w:r>
        <w:rPr>
          <w:rFonts w:ascii="Georgia" w:eastAsia="Georgia" w:hAnsi="Georgia" w:cs="Georgia"/>
        </w:rPr>
        <w:t>fdi</w:t>
      </w:r>
      <w:proofErr w:type="spellEnd"/>
      <w:r>
        <w:rPr>
          <w:rFonts w:ascii="Georgia" w:eastAsia="Georgia" w:hAnsi="Georgia" w:cs="Georgia"/>
        </w:rPr>
        <w:t>) show significant cross-sectional dependence (p &lt; 0.01), except for population (</w:t>
      </w:r>
      <w:proofErr w:type="spellStart"/>
      <w:r>
        <w:rPr>
          <w:rFonts w:ascii="Georgia" w:eastAsia="Georgia" w:hAnsi="Georgia" w:cs="Georgia"/>
        </w:rPr>
        <w:t>lpop</w:t>
      </w:r>
      <w:proofErr w:type="spellEnd"/>
      <w:r>
        <w:rPr>
          <w:rFonts w:ascii="Georgia" w:eastAsia="Georgia" w:hAnsi="Georgia" w:cs="Georgia"/>
        </w:rPr>
        <w:t>). This indicates substantial interdependence across countries, necessitating robust estimation techniques. The absolute correlation ranges from 0.180 (</w:t>
      </w:r>
      <w:proofErr w:type="spellStart"/>
      <w:r>
        <w:rPr>
          <w:rFonts w:ascii="Georgia" w:eastAsia="Georgia" w:hAnsi="Georgia" w:cs="Georgia"/>
        </w:rPr>
        <w:t>lpop</w:t>
      </w:r>
      <w:proofErr w:type="spellEnd"/>
      <w:r>
        <w:rPr>
          <w:rFonts w:ascii="Georgia" w:eastAsia="Georgia" w:hAnsi="Georgia" w:cs="Georgia"/>
        </w:rPr>
        <w:t>) to 0.330 (</w:t>
      </w:r>
      <w:proofErr w:type="spellStart"/>
      <w:r>
        <w:rPr>
          <w:rFonts w:ascii="Georgia" w:eastAsia="Georgia" w:hAnsi="Georgia" w:cs="Georgia"/>
        </w:rPr>
        <w:t>lrgdppc</w:t>
      </w:r>
      <w:proofErr w:type="spellEnd"/>
      <w:r>
        <w:rPr>
          <w:rFonts w:ascii="Georgia" w:eastAsia="Georgia" w:hAnsi="Georgia" w:cs="Georgia"/>
        </w:rPr>
        <w:t>), with institutional quality showing a relatively high absolute correlation (0.245).</w:t>
      </w:r>
    </w:p>
    <w:p w:rsidR="007C372D" w:rsidRDefault="007C372D">
      <w:pPr>
        <w:spacing w:before="240" w:after="240"/>
        <w:jc w:val="both"/>
        <w:rPr>
          <w:rFonts w:ascii="Georgia" w:eastAsia="Georgia" w:hAnsi="Georgia" w:cs="Georgia"/>
        </w:rPr>
      </w:pPr>
    </w:p>
    <w:p w:rsidR="00E438DA" w:rsidRDefault="00000000">
      <w:pPr>
        <w:spacing w:before="240" w:after="240"/>
        <w:jc w:val="both"/>
        <w:rPr>
          <w:rFonts w:ascii="Georgia" w:eastAsia="Georgia" w:hAnsi="Georgia" w:cs="Georgia"/>
        </w:rPr>
      </w:pPr>
      <w:r>
        <w:rPr>
          <w:rFonts w:ascii="Times New Roman" w:eastAsia="Times New Roman" w:hAnsi="Times New Roman" w:cs="Times New Roman"/>
          <w:b/>
          <w:sz w:val="26"/>
          <w:szCs w:val="26"/>
        </w:rPr>
        <w:t xml:space="preserve">Table 7: Cross-Sectional Dependence Tests for Regression </w:t>
      </w:r>
    </w:p>
    <w:sdt>
      <w:sdtPr>
        <w:tag w:val="goog_rdk_8"/>
        <w:id w:val="1514335153"/>
        <w:lock w:val="contentLocked"/>
      </w:sdtPr>
      <w:sdtContent>
        <w:tbl>
          <w:tblPr>
            <w:tblStyle w:val="a5"/>
            <w:tblW w:w="88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985"/>
            <w:gridCol w:w="2970"/>
            <w:gridCol w:w="2925"/>
          </w:tblGrid>
          <w:tr w:rsidR="00E438DA">
            <w:trPr>
              <w:trHeight w:val="540"/>
            </w:trPr>
            <w:tc>
              <w:tcPr>
                <w:tcW w:w="29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jc w:val="center"/>
                  <w:rPr>
                    <w:rFonts w:ascii="Times New Roman" w:eastAsia="Times New Roman" w:hAnsi="Times New Roman" w:cs="Times New Roman"/>
                    <w:b/>
                  </w:rPr>
                </w:pPr>
                <w:r>
                  <w:rPr>
                    <w:rFonts w:ascii="Times New Roman" w:eastAsia="Times New Roman" w:hAnsi="Times New Roman" w:cs="Times New Roman"/>
                    <w:b/>
                  </w:rPr>
                  <w:t>Test</w:t>
                </w:r>
              </w:p>
            </w:tc>
            <w:tc>
              <w:tcPr>
                <w:tcW w:w="2970" w:type="dxa"/>
                <w:tcBorders>
                  <w:top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jc w:val="center"/>
                  <w:rPr>
                    <w:rFonts w:ascii="Times New Roman" w:eastAsia="Times New Roman" w:hAnsi="Times New Roman" w:cs="Times New Roman"/>
                    <w:b/>
                  </w:rPr>
                </w:pPr>
                <w:r>
                  <w:rPr>
                    <w:rFonts w:ascii="Times New Roman" w:eastAsia="Times New Roman" w:hAnsi="Times New Roman" w:cs="Times New Roman"/>
                    <w:b/>
                  </w:rPr>
                  <w:t>Statistic</w:t>
                </w:r>
              </w:p>
            </w:tc>
            <w:tc>
              <w:tcPr>
                <w:tcW w:w="2925" w:type="dxa"/>
                <w:tcBorders>
                  <w:top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jc w:val="center"/>
                  <w:rPr>
                    <w:rFonts w:ascii="Times New Roman" w:eastAsia="Times New Roman" w:hAnsi="Times New Roman" w:cs="Times New Roman"/>
                    <w:b/>
                  </w:rPr>
                </w:pPr>
                <w:r>
                  <w:rPr>
                    <w:rFonts w:ascii="Times New Roman" w:eastAsia="Times New Roman" w:hAnsi="Times New Roman" w:cs="Times New Roman"/>
                    <w:b/>
                  </w:rPr>
                  <w:t>p-value</w:t>
                </w:r>
              </w:p>
            </w:tc>
          </w:tr>
          <w:tr w:rsidR="00E438DA">
            <w:trPr>
              <w:trHeight w:val="540"/>
            </w:trPr>
            <w:tc>
              <w:tcPr>
                <w:tcW w:w="2985"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Pesaran</w:t>
                </w:r>
              </w:p>
            </w:tc>
            <w:tc>
              <w:tcPr>
                <w:tcW w:w="297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2.558</w:t>
                </w:r>
              </w:p>
            </w:tc>
            <w:tc>
              <w:tcPr>
                <w:tcW w:w="292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0.0105</w:t>
                </w:r>
              </w:p>
            </w:tc>
          </w:tr>
          <w:tr w:rsidR="00E438DA">
            <w:trPr>
              <w:trHeight w:val="540"/>
            </w:trPr>
            <w:tc>
              <w:tcPr>
                <w:tcW w:w="2985"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Frees</w:t>
                </w:r>
              </w:p>
            </w:tc>
            <w:tc>
              <w:tcPr>
                <w:tcW w:w="297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3.541</w:t>
                </w:r>
              </w:p>
            </w:tc>
            <w:tc>
              <w:tcPr>
                <w:tcW w:w="292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 xml:space="preserve">  -</w:t>
                </w:r>
              </w:p>
            </w:tc>
          </w:tr>
          <w:tr w:rsidR="00E438DA">
            <w:trPr>
              <w:trHeight w:val="540"/>
            </w:trPr>
            <w:tc>
              <w:tcPr>
                <w:tcW w:w="2985"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Friedman</w:t>
                </w:r>
              </w:p>
            </w:tc>
            <w:tc>
              <w:tcPr>
                <w:tcW w:w="297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35.232</w:t>
                </w:r>
              </w:p>
            </w:tc>
            <w:tc>
              <w:tcPr>
                <w:tcW w:w="292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0.1067</w:t>
                </w:r>
              </w:p>
            </w:tc>
          </w:tr>
        </w:tbl>
      </w:sdtContent>
    </w:sdt>
    <w:p w:rsidR="00E438DA" w:rsidRDefault="00000000">
      <w:pPr>
        <w:spacing w:before="240" w:after="240"/>
        <w:rPr>
          <w:rFonts w:ascii="Georgia" w:eastAsia="Georgia" w:hAnsi="Georgia" w:cs="Georgia"/>
        </w:rPr>
      </w:pPr>
      <w:r>
        <w:rPr>
          <w:rFonts w:ascii="Georgia" w:eastAsia="Georgia" w:hAnsi="Georgia" w:cs="Georgia"/>
        </w:rPr>
        <w:lastRenderedPageBreak/>
        <w:t xml:space="preserve"> </w:t>
      </w:r>
    </w:p>
    <w:p w:rsidR="00E438DA" w:rsidRDefault="00000000">
      <w:pPr>
        <w:spacing w:before="240" w:after="240"/>
        <w:jc w:val="both"/>
        <w:rPr>
          <w:rFonts w:ascii="Georgia" w:eastAsia="Georgia" w:hAnsi="Georgia" w:cs="Georgia"/>
        </w:rPr>
      </w:pPr>
      <w:r>
        <w:rPr>
          <w:rFonts w:ascii="Georgia" w:eastAsia="Georgia" w:hAnsi="Georgia" w:cs="Georgia"/>
        </w:rPr>
        <w:t xml:space="preserve">Frees' test of </w:t>
      </w:r>
      <w:proofErr w:type="gramStart"/>
      <w:r>
        <w:rPr>
          <w:rFonts w:ascii="Georgia" w:eastAsia="Georgia" w:hAnsi="Georgia" w:cs="Georgia"/>
        </w:rPr>
        <w:t>cross sectional</w:t>
      </w:r>
      <w:proofErr w:type="gramEnd"/>
      <w:r>
        <w:rPr>
          <w:rFonts w:ascii="Georgia" w:eastAsia="Georgia" w:hAnsi="Georgia" w:cs="Georgia"/>
        </w:rPr>
        <w:t xml:space="preserve"> independence = 8.386</w:t>
      </w:r>
    </w:p>
    <w:p w:rsidR="00E438DA" w:rsidRDefault="00000000">
      <w:pPr>
        <w:spacing w:before="240" w:after="240"/>
        <w:jc w:val="both"/>
        <w:rPr>
          <w:rFonts w:ascii="Georgia" w:eastAsia="Georgia" w:hAnsi="Georgia" w:cs="Georgia"/>
        </w:rPr>
      </w:pPr>
      <w:r>
        <w:rPr>
          <w:rFonts w:ascii="Georgia" w:eastAsia="Georgia" w:hAnsi="Georgia" w:cs="Georgia"/>
        </w:rPr>
        <w:t>Critical values from Frees' Q distribution</w:t>
      </w:r>
    </w:p>
    <w:p w:rsidR="00E438DA" w:rsidRDefault="00000000">
      <w:pPr>
        <w:spacing w:before="240" w:after="240"/>
        <w:jc w:val="both"/>
        <w:rPr>
          <w:rFonts w:ascii="Georgia" w:eastAsia="Georgia" w:hAnsi="Georgia" w:cs="Georgia"/>
        </w:rPr>
      </w:pPr>
      <w:r>
        <w:rPr>
          <w:rFonts w:ascii="Georgia" w:eastAsia="Georgia" w:hAnsi="Georgia" w:cs="Georgia"/>
        </w:rPr>
        <w:t xml:space="preserve">alpha = </w:t>
      </w:r>
      <w:proofErr w:type="gramStart"/>
      <w:r>
        <w:rPr>
          <w:rFonts w:ascii="Georgia" w:eastAsia="Georgia" w:hAnsi="Georgia" w:cs="Georgia"/>
        </w:rPr>
        <w:t>0.10 :</w:t>
      </w:r>
      <w:proofErr w:type="gramEnd"/>
      <w:r>
        <w:rPr>
          <w:rFonts w:ascii="Georgia" w:eastAsia="Georgia" w:hAnsi="Georgia" w:cs="Georgia"/>
        </w:rPr>
        <w:t xml:space="preserve"> 0.1521</w:t>
      </w:r>
    </w:p>
    <w:p w:rsidR="00E438DA" w:rsidRDefault="00000000">
      <w:pPr>
        <w:spacing w:before="240" w:after="240"/>
        <w:jc w:val="both"/>
        <w:rPr>
          <w:rFonts w:ascii="Georgia" w:eastAsia="Georgia" w:hAnsi="Georgia" w:cs="Georgia"/>
        </w:rPr>
      </w:pPr>
      <w:r>
        <w:rPr>
          <w:rFonts w:ascii="Georgia" w:eastAsia="Georgia" w:hAnsi="Georgia" w:cs="Georgia"/>
        </w:rPr>
        <w:t xml:space="preserve">alpha = </w:t>
      </w:r>
      <w:proofErr w:type="gramStart"/>
      <w:r>
        <w:rPr>
          <w:rFonts w:ascii="Georgia" w:eastAsia="Georgia" w:hAnsi="Georgia" w:cs="Georgia"/>
        </w:rPr>
        <w:t>0.05 :</w:t>
      </w:r>
      <w:proofErr w:type="gramEnd"/>
      <w:r>
        <w:rPr>
          <w:rFonts w:ascii="Georgia" w:eastAsia="Georgia" w:hAnsi="Georgia" w:cs="Georgia"/>
        </w:rPr>
        <w:t xml:space="preserve"> 0.1996</w:t>
      </w:r>
    </w:p>
    <w:p w:rsidR="00E438DA" w:rsidRDefault="00000000">
      <w:pPr>
        <w:spacing w:before="240" w:after="240"/>
        <w:jc w:val="both"/>
        <w:rPr>
          <w:rFonts w:ascii="Georgia" w:eastAsia="Georgia" w:hAnsi="Georgia" w:cs="Georgia"/>
        </w:rPr>
      </w:pPr>
      <w:r>
        <w:rPr>
          <w:rFonts w:ascii="Georgia" w:eastAsia="Georgia" w:hAnsi="Georgia" w:cs="Georgia"/>
        </w:rPr>
        <w:t xml:space="preserve">alpha = </w:t>
      </w:r>
      <w:proofErr w:type="gramStart"/>
      <w:r>
        <w:rPr>
          <w:rFonts w:ascii="Georgia" w:eastAsia="Georgia" w:hAnsi="Georgia" w:cs="Georgia"/>
        </w:rPr>
        <w:t>0.01 :</w:t>
      </w:r>
      <w:proofErr w:type="gramEnd"/>
      <w:r>
        <w:rPr>
          <w:rFonts w:ascii="Georgia" w:eastAsia="Georgia" w:hAnsi="Georgia" w:cs="Georgia"/>
        </w:rPr>
        <w:t xml:space="preserve"> 0.2928</w:t>
      </w:r>
    </w:p>
    <w:p w:rsidR="00E438DA" w:rsidRDefault="00E438DA">
      <w:pPr>
        <w:spacing w:before="240" w:after="240"/>
      </w:pPr>
    </w:p>
    <w:sdt>
      <w:sdtPr>
        <w:tag w:val="goog_rdk_9"/>
        <w:id w:val="1190730822"/>
        <w:lock w:val="contentLocked"/>
      </w:sdtPr>
      <w:sdtContent>
        <w:tbl>
          <w:tblPr>
            <w:tblStyle w:val="a6"/>
            <w:tblW w:w="88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0"/>
            <w:gridCol w:w="1920"/>
            <w:gridCol w:w="1875"/>
            <w:gridCol w:w="1635"/>
            <w:gridCol w:w="1650"/>
          </w:tblGrid>
          <w:tr w:rsidR="00E438DA">
            <w:trPr>
              <w:trHeight w:val="540"/>
            </w:trPr>
            <w:tc>
              <w:tcPr>
                <w:tcW w:w="18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jc w:val="center"/>
                  <w:rPr>
                    <w:rFonts w:ascii="Times New Roman" w:eastAsia="Times New Roman" w:hAnsi="Times New Roman" w:cs="Times New Roman"/>
                    <w:b/>
                  </w:rPr>
                </w:pPr>
                <w:r>
                  <w:rPr>
                    <w:rFonts w:ascii="Times New Roman" w:eastAsia="Times New Roman" w:hAnsi="Times New Roman" w:cs="Times New Roman"/>
                    <w:b/>
                  </w:rPr>
                  <w:t>Variable</w:t>
                </w:r>
              </w:p>
            </w:tc>
            <w:tc>
              <w:tcPr>
                <w:tcW w:w="1920" w:type="dxa"/>
                <w:tcBorders>
                  <w:top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jc w:val="center"/>
                  <w:rPr>
                    <w:rFonts w:ascii="Times New Roman" w:eastAsia="Times New Roman" w:hAnsi="Times New Roman" w:cs="Times New Roman"/>
                    <w:b/>
                  </w:rPr>
                </w:pPr>
                <w:r>
                  <w:rPr>
                    <w:rFonts w:ascii="Times New Roman" w:eastAsia="Times New Roman" w:hAnsi="Times New Roman" w:cs="Times New Roman"/>
                    <w:b/>
                  </w:rPr>
                  <w:t>Coefficient</w:t>
                </w:r>
              </w:p>
            </w:tc>
            <w:tc>
              <w:tcPr>
                <w:tcW w:w="1875" w:type="dxa"/>
                <w:tcBorders>
                  <w:top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jc w:val="center"/>
                  <w:rPr>
                    <w:rFonts w:ascii="Times New Roman" w:eastAsia="Times New Roman" w:hAnsi="Times New Roman" w:cs="Times New Roman"/>
                    <w:b/>
                  </w:rPr>
                </w:pPr>
                <w:r>
                  <w:rPr>
                    <w:rFonts w:ascii="Times New Roman" w:eastAsia="Times New Roman" w:hAnsi="Times New Roman" w:cs="Times New Roman"/>
                    <w:b/>
                  </w:rPr>
                  <w:t>Std. Err.</w:t>
                </w:r>
              </w:p>
            </w:tc>
            <w:tc>
              <w:tcPr>
                <w:tcW w:w="1635" w:type="dxa"/>
                <w:tcBorders>
                  <w:top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jc w:val="center"/>
                  <w:rPr>
                    <w:rFonts w:ascii="Times New Roman" w:eastAsia="Times New Roman" w:hAnsi="Times New Roman" w:cs="Times New Roman"/>
                    <w:b/>
                  </w:rPr>
                </w:pPr>
                <w:r>
                  <w:rPr>
                    <w:rFonts w:ascii="Times New Roman" w:eastAsia="Times New Roman" w:hAnsi="Times New Roman" w:cs="Times New Roman"/>
                    <w:b/>
                  </w:rPr>
                  <w:t>z</w:t>
                </w:r>
              </w:p>
            </w:tc>
            <w:tc>
              <w:tcPr>
                <w:tcW w:w="1650" w:type="dxa"/>
                <w:tcBorders>
                  <w:top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jc w:val="center"/>
                  <w:rPr>
                    <w:rFonts w:ascii="Times New Roman" w:eastAsia="Times New Roman" w:hAnsi="Times New Roman" w:cs="Times New Roman"/>
                    <w:b/>
                  </w:rPr>
                </w:pPr>
                <w:r>
                  <w:rPr>
                    <w:rFonts w:ascii="Times New Roman" w:eastAsia="Times New Roman" w:hAnsi="Times New Roman" w:cs="Times New Roman"/>
                    <w:b/>
                  </w:rPr>
                  <w:t>P&gt;|z|</w:t>
                </w:r>
              </w:p>
            </w:tc>
          </w:tr>
          <w:tr w:rsidR="00E438DA">
            <w:trPr>
              <w:trHeight w:val="540"/>
            </w:trPr>
            <w:tc>
              <w:tcPr>
                <w:tcW w:w="1800"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fd</w:t>
                </w:r>
              </w:p>
            </w:tc>
            <w:tc>
              <w:tcPr>
                <w:tcW w:w="192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-336.6103</w:t>
                </w:r>
              </w:p>
            </w:tc>
            <w:tc>
              <w:tcPr>
                <w:tcW w:w="187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190.0814</w:t>
                </w:r>
              </w:p>
            </w:tc>
            <w:tc>
              <w:tcPr>
                <w:tcW w:w="163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-1.77</w:t>
                </w:r>
              </w:p>
            </w:tc>
            <w:tc>
              <w:tcPr>
                <w:tcW w:w="165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0.077</w:t>
                </w:r>
              </w:p>
            </w:tc>
          </w:tr>
          <w:tr w:rsidR="00E438DA">
            <w:trPr>
              <w:trHeight w:val="540"/>
            </w:trPr>
            <w:tc>
              <w:tcPr>
                <w:tcW w:w="1800"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inst</w:t>
                </w:r>
              </w:p>
            </w:tc>
            <w:tc>
              <w:tcPr>
                <w:tcW w:w="192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-129.3557</w:t>
                </w:r>
              </w:p>
            </w:tc>
            <w:tc>
              <w:tcPr>
                <w:tcW w:w="187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58.28884</w:t>
                </w:r>
              </w:p>
            </w:tc>
            <w:tc>
              <w:tcPr>
                <w:tcW w:w="163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-2.22</w:t>
                </w:r>
              </w:p>
            </w:tc>
            <w:tc>
              <w:tcPr>
                <w:tcW w:w="165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0.026</w:t>
                </w:r>
              </w:p>
            </w:tc>
          </w:tr>
          <w:tr w:rsidR="00E438DA">
            <w:trPr>
              <w:trHeight w:val="540"/>
            </w:trPr>
            <w:tc>
              <w:tcPr>
                <w:tcW w:w="1800"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fd_inst</w:t>
                </w:r>
              </w:p>
            </w:tc>
            <w:tc>
              <w:tcPr>
                <w:tcW w:w="192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532.8833</w:t>
                </w:r>
              </w:p>
            </w:tc>
            <w:tc>
              <w:tcPr>
                <w:tcW w:w="187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374.691</w:t>
                </w:r>
              </w:p>
            </w:tc>
            <w:tc>
              <w:tcPr>
                <w:tcW w:w="163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1.42</w:t>
                </w:r>
              </w:p>
            </w:tc>
            <w:tc>
              <w:tcPr>
                <w:tcW w:w="165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0.155</w:t>
                </w:r>
              </w:p>
            </w:tc>
          </w:tr>
          <w:tr w:rsidR="00E438DA">
            <w:trPr>
              <w:trHeight w:val="540"/>
            </w:trPr>
            <w:tc>
              <w:tcPr>
                <w:tcW w:w="1800"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lrgdppc</w:t>
                </w:r>
              </w:p>
            </w:tc>
            <w:tc>
              <w:tcPr>
                <w:tcW w:w="192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-7.113526</w:t>
                </w:r>
              </w:p>
            </w:tc>
            <w:tc>
              <w:tcPr>
                <w:tcW w:w="187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2.311203</w:t>
                </w:r>
              </w:p>
            </w:tc>
            <w:tc>
              <w:tcPr>
                <w:tcW w:w="163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-3.08</w:t>
                </w:r>
              </w:p>
            </w:tc>
            <w:tc>
              <w:tcPr>
                <w:tcW w:w="165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0.002</w:t>
                </w:r>
              </w:p>
            </w:tc>
          </w:tr>
          <w:tr w:rsidR="00E438DA">
            <w:trPr>
              <w:trHeight w:val="540"/>
            </w:trPr>
            <w:tc>
              <w:tcPr>
                <w:tcW w:w="1800"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fdi</w:t>
                </w:r>
              </w:p>
            </w:tc>
            <w:tc>
              <w:tcPr>
                <w:tcW w:w="192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-0.0116263</w:t>
                </w:r>
              </w:p>
            </w:tc>
            <w:tc>
              <w:tcPr>
                <w:tcW w:w="187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0.1162808</w:t>
                </w:r>
              </w:p>
            </w:tc>
            <w:tc>
              <w:tcPr>
                <w:tcW w:w="163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-0.10</w:t>
                </w:r>
              </w:p>
            </w:tc>
            <w:tc>
              <w:tcPr>
                <w:tcW w:w="165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0.920</w:t>
                </w:r>
              </w:p>
            </w:tc>
          </w:tr>
          <w:tr w:rsidR="00E438DA">
            <w:trPr>
              <w:trHeight w:val="540"/>
            </w:trPr>
            <w:tc>
              <w:tcPr>
                <w:tcW w:w="1800"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lpop</w:t>
                </w:r>
              </w:p>
            </w:tc>
            <w:tc>
              <w:tcPr>
                <w:tcW w:w="192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-8.077325</w:t>
                </w:r>
              </w:p>
            </w:tc>
            <w:tc>
              <w:tcPr>
                <w:tcW w:w="187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11.52753</w:t>
                </w:r>
              </w:p>
            </w:tc>
            <w:tc>
              <w:tcPr>
                <w:tcW w:w="163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-0.70</w:t>
                </w:r>
              </w:p>
            </w:tc>
            <w:tc>
              <w:tcPr>
                <w:tcW w:w="165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0.483</w:t>
                </w:r>
              </w:p>
            </w:tc>
          </w:tr>
          <w:tr w:rsidR="00E438DA">
            <w:trPr>
              <w:trHeight w:val="540"/>
            </w:trPr>
            <w:tc>
              <w:tcPr>
                <w:tcW w:w="1800"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constant</w:t>
                </w:r>
              </w:p>
            </w:tc>
            <w:tc>
              <w:tcPr>
                <w:tcW w:w="192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391.0714</w:t>
                </w:r>
              </w:p>
            </w:tc>
            <w:tc>
              <w:tcPr>
                <w:tcW w:w="187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190.9077</w:t>
                </w:r>
              </w:p>
            </w:tc>
            <w:tc>
              <w:tcPr>
                <w:tcW w:w="163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2.05</w:t>
                </w:r>
              </w:p>
            </w:tc>
            <w:tc>
              <w:tcPr>
                <w:tcW w:w="165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0.041</w:t>
                </w:r>
              </w:p>
            </w:tc>
          </w:tr>
        </w:tbl>
      </w:sdtContent>
    </w:sdt>
    <w:p w:rsidR="00E438DA" w:rsidRDefault="00000000">
      <w:pPr>
        <w:spacing w:before="240" w:after="240"/>
        <w:jc w:val="both"/>
        <w:rPr>
          <w:i/>
          <w:sz w:val="16"/>
          <w:szCs w:val="16"/>
        </w:rPr>
      </w:pPr>
      <w:r>
        <w:t xml:space="preserve"> </w:t>
      </w:r>
      <w:proofErr w:type="spellStart"/>
      <w:r>
        <w:rPr>
          <w:i/>
          <w:sz w:val="16"/>
          <w:szCs w:val="16"/>
        </w:rPr>
        <w:t>fd</w:t>
      </w:r>
      <w:proofErr w:type="spellEnd"/>
      <w:r>
        <w:rPr>
          <w:i/>
          <w:sz w:val="16"/>
          <w:szCs w:val="16"/>
        </w:rPr>
        <w:t xml:space="preserve"> = Financial Development; </w:t>
      </w:r>
      <w:proofErr w:type="spellStart"/>
      <w:r>
        <w:rPr>
          <w:i/>
          <w:sz w:val="16"/>
          <w:szCs w:val="16"/>
        </w:rPr>
        <w:t>inst</w:t>
      </w:r>
      <w:proofErr w:type="spellEnd"/>
      <w:r>
        <w:rPr>
          <w:i/>
          <w:sz w:val="16"/>
          <w:szCs w:val="16"/>
        </w:rPr>
        <w:t xml:space="preserve"> = Institutional Quality; </w:t>
      </w:r>
      <w:proofErr w:type="spellStart"/>
      <w:r>
        <w:rPr>
          <w:i/>
          <w:sz w:val="16"/>
          <w:szCs w:val="16"/>
        </w:rPr>
        <w:t>fd_inst</w:t>
      </w:r>
      <w:proofErr w:type="spellEnd"/>
      <w:r>
        <w:rPr>
          <w:i/>
          <w:sz w:val="16"/>
          <w:szCs w:val="16"/>
        </w:rPr>
        <w:t xml:space="preserve"> = Interaction term between Financial Development and Institutional Quality; </w:t>
      </w:r>
      <w:proofErr w:type="spellStart"/>
      <w:r>
        <w:rPr>
          <w:i/>
          <w:sz w:val="16"/>
          <w:szCs w:val="16"/>
        </w:rPr>
        <w:t>lrgdppc</w:t>
      </w:r>
      <w:proofErr w:type="spellEnd"/>
      <w:r>
        <w:rPr>
          <w:i/>
          <w:sz w:val="16"/>
          <w:szCs w:val="16"/>
        </w:rPr>
        <w:t xml:space="preserve"> = Log of Real GDP per capita; </w:t>
      </w:r>
      <w:proofErr w:type="spellStart"/>
      <w:r>
        <w:rPr>
          <w:i/>
          <w:sz w:val="16"/>
          <w:szCs w:val="16"/>
        </w:rPr>
        <w:t>fdi</w:t>
      </w:r>
      <w:proofErr w:type="spellEnd"/>
      <w:r>
        <w:rPr>
          <w:i/>
          <w:sz w:val="16"/>
          <w:szCs w:val="16"/>
        </w:rPr>
        <w:t xml:space="preserve"> = Foreign Direct Investment; </w:t>
      </w:r>
      <w:proofErr w:type="spellStart"/>
      <w:r>
        <w:rPr>
          <w:i/>
          <w:sz w:val="16"/>
          <w:szCs w:val="16"/>
        </w:rPr>
        <w:t>lpop</w:t>
      </w:r>
      <w:proofErr w:type="spellEnd"/>
      <w:r>
        <w:rPr>
          <w:i/>
          <w:sz w:val="16"/>
          <w:szCs w:val="16"/>
        </w:rPr>
        <w:t xml:space="preserve"> = Log of Population</w:t>
      </w:r>
    </w:p>
    <w:p w:rsidR="00E438DA" w:rsidRDefault="00000000">
      <w:pPr>
        <w:pBdr>
          <w:top w:val="nil"/>
          <w:left w:val="nil"/>
          <w:bottom w:val="nil"/>
          <w:right w:val="nil"/>
          <w:between w:val="nil"/>
        </w:pBdr>
        <w:spacing w:before="240" w:after="240"/>
        <w:jc w:val="both"/>
        <w:rPr>
          <w:rFonts w:ascii="Georgia" w:eastAsia="Georgia" w:hAnsi="Georgia" w:cs="Georgia"/>
        </w:rPr>
      </w:pPr>
      <w:r>
        <w:rPr>
          <w:rFonts w:ascii="Georgia" w:eastAsia="Georgia" w:hAnsi="Georgia" w:cs="Georgia"/>
        </w:rPr>
        <w:t>Number of observations: 594</w:t>
      </w:r>
    </w:p>
    <w:p w:rsidR="00E438DA" w:rsidRDefault="00000000">
      <w:pPr>
        <w:pBdr>
          <w:top w:val="nil"/>
          <w:left w:val="nil"/>
          <w:bottom w:val="nil"/>
          <w:right w:val="nil"/>
          <w:between w:val="nil"/>
        </w:pBdr>
        <w:spacing w:before="240" w:after="240"/>
        <w:jc w:val="both"/>
        <w:rPr>
          <w:rFonts w:ascii="Georgia" w:eastAsia="Georgia" w:hAnsi="Georgia" w:cs="Georgia"/>
        </w:rPr>
      </w:pPr>
      <w:r>
        <w:rPr>
          <w:rFonts w:ascii="Georgia" w:eastAsia="Georgia" w:hAnsi="Georgia" w:cs="Georgia"/>
        </w:rPr>
        <w:t>Wald chi2(6): 35.02</w:t>
      </w:r>
    </w:p>
    <w:p w:rsidR="00E438DA" w:rsidRDefault="00000000">
      <w:pPr>
        <w:pBdr>
          <w:top w:val="nil"/>
          <w:left w:val="nil"/>
          <w:bottom w:val="nil"/>
          <w:right w:val="nil"/>
          <w:between w:val="nil"/>
        </w:pBdr>
        <w:spacing w:before="240" w:after="240"/>
        <w:jc w:val="both"/>
        <w:rPr>
          <w:rFonts w:ascii="Georgia" w:eastAsia="Georgia" w:hAnsi="Georgia" w:cs="Georgia"/>
        </w:rPr>
      </w:pPr>
      <w:r>
        <w:rPr>
          <w:rFonts w:ascii="Georgia" w:eastAsia="Georgia" w:hAnsi="Georgia" w:cs="Georgia"/>
        </w:rPr>
        <w:t>Prob &gt; chi2: 0.0000</w:t>
      </w:r>
    </w:p>
    <w:p w:rsidR="00E438DA" w:rsidRDefault="00000000">
      <w:pPr>
        <w:pBdr>
          <w:top w:val="nil"/>
          <w:left w:val="nil"/>
          <w:bottom w:val="nil"/>
          <w:right w:val="nil"/>
          <w:between w:val="nil"/>
        </w:pBdr>
        <w:spacing w:before="240" w:after="240"/>
        <w:jc w:val="both"/>
        <w:rPr>
          <w:rFonts w:ascii="Georgia" w:eastAsia="Georgia" w:hAnsi="Georgia" w:cs="Georgia"/>
        </w:rPr>
      </w:pPr>
      <w:r>
        <w:rPr>
          <w:rFonts w:ascii="Georgia" w:eastAsia="Georgia" w:hAnsi="Georgia" w:cs="Georgia"/>
        </w:rPr>
        <w:t>Root Mean Squared Error (sigma): 1.6002</w:t>
      </w:r>
    </w:p>
    <w:p w:rsidR="00E438DA" w:rsidRDefault="00E438DA">
      <w:pPr>
        <w:pBdr>
          <w:top w:val="nil"/>
          <w:left w:val="nil"/>
          <w:bottom w:val="nil"/>
          <w:right w:val="nil"/>
          <w:between w:val="nil"/>
        </w:pBdr>
        <w:spacing w:before="240" w:after="240"/>
        <w:jc w:val="both"/>
        <w:rPr>
          <w:rFonts w:ascii="Georgia" w:eastAsia="Georgia" w:hAnsi="Georgia" w:cs="Georgia"/>
        </w:rPr>
      </w:pPr>
    </w:p>
    <w:p w:rsidR="00E438DA" w:rsidRDefault="00000000">
      <w:pPr>
        <w:pBdr>
          <w:top w:val="nil"/>
          <w:left w:val="nil"/>
          <w:bottom w:val="nil"/>
          <w:right w:val="nil"/>
          <w:between w:val="nil"/>
        </w:pBdr>
        <w:spacing w:before="240" w:after="240"/>
        <w:jc w:val="both"/>
      </w:pPr>
      <w:r>
        <w:rPr>
          <w:rFonts w:ascii="Georgia" w:eastAsia="Georgia" w:hAnsi="Georgia" w:cs="Georgia"/>
        </w:rPr>
        <w:t xml:space="preserve">Tables 7 and 8 also test cross-sectional dependence following random-effects GLS regression. The </w:t>
      </w:r>
      <w:proofErr w:type="spellStart"/>
      <w:r>
        <w:rPr>
          <w:rFonts w:ascii="Georgia" w:eastAsia="Georgia" w:hAnsi="Georgia" w:cs="Georgia"/>
        </w:rPr>
        <w:t>Pesaran</w:t>
      </w:r>
      <w:proofErr w:type="spellEnd"/>
      <w:r>
        <w:rPr>
          <w:rFonts w:ascii="Georgia" w:eastAsia="Georgia" w:hAnsi="Georgia" w:cs="Georgia"/>
        </w:rPr>
        <w:t xml:space="preserve"> test (2.558, p = 0.0105) and Frees test (3.541) establish spatial correlation, while Friedman's test does not. The </w:t>
      </w:r>
      <w:proofErr w:type="spellStart"/>
      <w:r>
        <w:rPr>
          <w:rFonts w:ascii="Georgia" w:eastAsia="Georgia" w:hAnsi="Georgia" w:cs="Georgia"/>
        </w:rPr>
        <w:t>Pesaran</w:t>
      </w:r>
      <w:proofErr w:type="spellEnd"/>
      <w:r>
        <w:rPr>
          <w:rFonts w:ascii="Georgia" w:eastAsia="Georgia" w:hAnsi="Georgia" w:cs="Georgia"/>
        </w:rPr>
        <w:t>-Yamagata slope homogeneity test (Wald chi</w:t>
      </w:r>
      <w:proofErr w:type="gramStart"/>
      <w:r>
        <w:rPr>
          <w:rFonts w:ascii="Georgia" w:eastAsia="Georgia" w:hAnsi="Georgia" w:cs="Georgia"/>
        </w:rPr>
        <w:t>²(</w:t>
      </w:r>
      <w:proofErr w:type="gramEnd"/>
      <w:r>
        <w:rPr>
          <w:rFonts w:ascii="Georgia" w:eastAsia="Georgia" w:hAnsi="Georgia" w:cs="Georgia"/>
        </w:rPr>
        <w:t>6) = 35.02***) also rejects homogeneity, which shows strong country-specific effects.</w:t>
      </w:r>
    </w:p>
    <w:p w:rsidR="00E438DA" w:rsidRDefault="00E438DA">
      <w:pPr>
        <w:pStyle w:val="Heading3"/>
        <w:keepNext w:val="0"/>
        <w:keepLines w:val="0"/>
        <w:spacing w:before="280"/>
        <w:rPr>
          <w:b/>
          <w:color w:val="000000"/>
          <w:sz w:val="26"/>
          <w:szCs w:val="26"/>
        </w:rPr>
      </w:pPr>
      <w:bookmarkStart w:id="58" w:name="_heading=h.4xsvasuuwnlh" w:colFirst="0" w:colLast="0"/>
      <w:bookmarkEnd w:id="58"/>
    </w:p>
    <w:p w:rsidR="00E438DA" w:rsidRDefault="00E438DA">
      <w:pPr>
        <w:pStyle w:val="Heading3"/>
        <w:keepNext w:val="0"/>
        <w:keepLines w:val="0"/>
        <w:spacing w:before="280"/>
        <w:rPr>
          <w:b/>
          <w:color w:val="000000"/>
          <w:sz w:val="26"/>
          <w:szCs w:val="26"/>
        </w:rPr>
      </w:pPr>
      <w:bookmarkStart w:id="59" w:name="_heading=h.uhsz2tfnowun" w:colFirst="0" w:colLast="0"/>
      <w:bookmarkEnd w:id="59"/>
    </w:p>
    <w:p w:rsidR="00E438DA" w:rsidRDefault="00E438DA"/>
    <w:p w:rsidR="00E438DA" w:rsidRDefault="00000000">
      <w:pPr>
        <w:pStyle w:val="Heading3"/>
        <w:keepNext w:val="0"/>
        <w:keepLines w:val="0"/>
        <w:spacing w:before="280"/>
        <w:jc w:val="both"/>
        <w:rPr>
          <w:rFonts w:ascii="Georgia" w:eastAsia="Georgia" w:hAnsi="Georgia" w:cs="Georgia"/>
          <w:color w:val="000000"/>
        </w:rPr>
      </w:pPr>
      <w:bookmarkStart w:id="60" w:name="_heading=h.63y0tmszwow8" w:colFirst="0" w:colLast="0"/>
      <w:bookmarkEnd w:id="60"/>
      <w:r>
        <w:br w:type="page"/>
      </w:r>
      <w:r>
        <w:rPr>
          <w:rFonts w:ascii="Georgia" w:eastAsia="Georgia" w:hAnsi="Georgia" w:cs="Georgia"/>
          <w:color w:val="000000"/>
        </w:rPr>
        <w:lastRenderedPageBreak/>
        <w:t>6.1.3 Panel Unit Root Tests</w:t>
      </w:r>
    </w:p>
    <w:p w:rsidR="00E438DA" w:rsidRDefault="00000000">
      <w:pPr>
        <w:spacing w:before="240" w:after="2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Table 9: Panel Unit root </w:t>
      </w:r>
      <w:proofErr w:type="gramStart"/>
      <w:r>
        <w:rPr>
          <w:rFonts w:ascii="Times New Roman" w:eastAsia="Times New Roman" w:hAnsi="Times New Roman" w:cs="Times New Roman"/>
          <w:b/>
          <w:sz w:val="26"/>
          <w:szCs w:val="26"/>
        </w:rPr>
        <w:t>tests(</w:t>
      </w:r>
      <w:proofErr w:type="gramEnd"/>
      <w:r>
        <w:rPr>
          <w:rFonts w:ascii="Times New Roman" w:eastAsia="Times New Roman" w:hAnsi="Times New Roman" w:cs="Times New Roman"/>
          <w:b/>
          <w:sz w:val="26"/>
          <w:szCs w:val="26"/>
        </w:rPr>
        <w:t>Intercept Only)</w:t>
      </w:r>
    </w:p>
    <w:sdt>
      <w:sdtPr>
        <w:tag w:val="goog_rdk_10"/>
        <w:id w:val="-423888808"/>
        <w:lock w:val="contentLocked"/>
      </w:sdtPr>
      <w:sdtContent>
        <w:tbl>
          <w:tblPr>
            <w:tblStyle w:val="a7"/>
            <w:tblW w:w="88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30"/>
            <w:gridCol w:w="1380"/>
            <w:gridCol w:w="1485"/>
            <w:gridCol w:w="1440"/>
            <w:gridCol w:w="1335"/>
            <w:gridCol w:w="1695"/>
          </w:tblGrid>
          <w:tr w:rsidR="00E438DA">
            <w:trPr>
              <w:trHeight w:val="810"/>
            </w:trPr>
            <w:tc>
              <w:tcPr>
                <w:tcW w:w="153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jc w:val="center"/>
                  <w:rPr>
                    <w:rFonts w:ascii="Times New Roman" w:eastAsia="Times New Roman" w:hAnsi="Times New Roman" w:cs="Times New Roman"/>
                    <w:b/>
                  </w:rPr>
                </w:pPr>
                <w:r>
                  <w:rPr>
                    <w:rFonts w:ascii="Times New Roman" w:eastAsia="Times New Roman" w:hAnsi="Times New Roman" w:cs="Times New Roman"/>
                    <w:b/>
                  </w:rPr>
                  <w:t>Variable</w:t>
                </w:r>
              </w:p>
            </w:tc>
            <w:tc>
              <w:tcPr>
                <w:tcW w:w="1380" w:type="dxa"/>
                <w:tcBorders>
                  <w:top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jc w:val="center"/>
                  <w:rPr>
                    <w:rFonts w:ascii="Times New Roman" w:eastAsia="Times New Roman" w:hAnsi="Times New Roman" w:cs="Times New Roman"/>
                    <w:b/>
                  </w:rPr>
                </w:pPr>
                <w:r>
                  <w:rPr>
                    <w:rFonts w:ascii="Times New Roman" w:eastAsia="Times New Roman" w:hAnsi="Times New Roman" w:cs="Times New Roman"/>
                    <w:b/>
                  </w:rPr>
                  <w:t>t-bar</w:t>
                </w:r>
              </w:p>
            </w:tc>
            <w:tc>
              <w:tcPr>
                <w:tcW w:w="1485" w:type="dxa"/>
                <w:tcBorders>
                  <w:top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jc w:val="center"/>
                  <w:rPr>
                    <w:rFonts w:ascii="Times New Roman" w:eastAsia="Times New Roman" w:hAnsi="Times New Roman" w:cs="Times New Roman"/>
                    <w:b/>
                  </w:rPr>
                </w:pPr>
                <w:r>
                  <w:rPr>
                    <w:rFonts w:ascii="Times New Roman" w:eastAsia="Times New Roman" w:hAnsi="Times New Roman" w:cs="Times New Roman"/>
                    <w:b/>
                  </w:rPr>
                  <w:t>Critical values (5%)</w:t>
                </w:r>
              </w:p>
            </w:tc>
            <w:tc>
              <w:tcPr>
                <w:tcW w:w="1440" w:type="dxa"/>
                <w:tcBorders>
                  <w:top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jc w:val="center"/>
                  <w:rPr>
                    <w:rFonts w:ascii="Times New Roman" w:eastAsia="Times New Roman" w:hAnsi="Times New Roman" w:cs="Times New Roman"/>
                    <w:b/>
                  </w:rPr>
                </w:pPr>
                <w:r>
                  <w:rPr>
                    <w:rFonts w:ascii="Times New Roman" w:eastAsia="Times New Roman" w:hAnsi="Times New Roman" w:cs="Times New Roman"/>
                    <w:b/>
                  </w:rPr>
                  <w:t>Z[t-bar]</w:t>
                </w:r>
              </w:p>
            </w:tc>
            <w:tc>
              <w:tcPr>
                <w:tcW w:w="1335" w:type="dxa"/>
                <w:tcBorders>
                  <w:top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jc w:val="center"/>
                  <w:rPr>
                    <w:rFonts w:ascii="Times New Roman" w:eastAsia="Times New Roman" w:hAnsi="Times New Roman" w:cs="Times New Roman"/>
                    <w:b/>
                  </w:rPr>
                </w:pPr>
                <w:r>
                  <w:rPr>
                    <w:rFonts w:ascii="Times New Roman" w:eastAsia="Times New Roman" w:hAnsi="Times New Roman" w:cs="Times New Roman"/>
                    <w:b/>
                  </w:rPr>
                  <w:t>P-value</w:t>
                </w:r>
              </w:p>
            </w:tc>
            <w:tc>
              <w:tcPr>
                <w:tcW w:w="1695" w:type="dxa"/>
                <w:tcBorders>
                  <w:top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jc w:val="center"/>
                  <w:rPr>
                    <w:rFonts w:ascii="Times New Roman" w:eastAsia="Times New Roman" w:hAnsi="Times New Roman" w:cs="Times New Roman"/>
                    <w:b/>
                  </w:rPr>
                </w:pPr>
                <w:r>
                  <w:rPr>
                    <w:rFonts w:ascii="Times New Roman" w:eastAsia="Times New Roman" w:hAnsi="Times New Roman" w:cs="Times New Roman"/>
                    <w:b/>
                  </w:rPr>
                  <w:t>Order of Integration</w:t>
                </w:r>
              </w:p>
            </w:tc>
          </w:tr>
          <w:tr w:rsidR="00E438DA">
            <w:trPr>
              <w:trHeight w:val="540"/>
            </w:trPr>
            <w:tc>
              <w:tcPr>
                <w:tcW w:w="1530"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b/>
                  </w:rPr>
                </w:pPr>
                <w:r>
                  <w:rPr>
                    <w:rFonts w:ascii="Times New Roman" w:eastAsia="Times New Roman" w:hAnsi="Times New Roman" w:cs="Times New Roman"/>
                    <w:b/>
                  </w:rPr>
                  <w:t>ren</w:t>
                </w:r>
              </w:p>
            </w:tc>
            <w:tc>
              <w:tcPr>
                <w:tcW w:w="138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-1.737</w:t>
                </w:r>
              </w:p>
            </w:tc>
            <w:tc>
              <w:tcPr>
                <w:tcW w:w="148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-2.150</w:t>
                </w:r>
              </w:p>
            </w:tc>
            <w:tc>
              <w:tcPr>
                <w:tcW w:w="144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0.070</w:t>
                </w:r>
              </w:p>
            </w:tc>
            <w:tc>
              <w:tcPr>
                <w:tcW w:w="133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0.528</w:t>
                </w:r>
              </w:p>
            </w:tc>
            <w:tc>
              <w:tcPr>
                <w:tcW w:w="16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I(1)</w:t>
                </w:r>
              </w:p>
            </w:tc>
          </w:tr>
          <w:tr w:rsidR="00E438DA">
            <w:trPr>
              <w:trHeight w:val="540"/>
            </w:trPr>
            <w:tc>
              <w:tcPr>
                <w:tcW w:w="1530"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b/>
                  </w:rPr>
                </w:pPr>
                <w:r>
                  <w:rPr>
                    <w:rFonts w:ascii="Times New Roman" w:eastAsia="Times New Roman" w:hAnsi="Times New Roman" w:cs="Times New Roman"/>
                    <w:b/>
                  </w:rPr>
                  <w:t>Δren</w:t>
                </w:r>
              </w:p>
            </w:tc>
            <w:tc>
              <w:tcPr>
                <w:tcW w:w="138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-2.828</w:t>
                </w:r>
              </w:p>
            </w:tc>
            <w:tc>
              <w:tcPr>
                <w:tcW w:w="148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-2.150</w:t>
                </w:r>
              </w:p>
            </w:tc>
            <w:tc>
              <w:tcPr>
                <w:tcW w:w="144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-5.716</w:t>
                </w:r>
              </w:p>
            </w:tc>
            <w:tc>
              <w:tcPr>
                <w:tcW w:w="133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0.000</w:t>
                </w:r>
              </w:p>
            </w:tc>
            <w:tc>
              <w:tcPr>
                <w:tcW w:w="16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I(0)</w:t>
                </w:r>
              </w:p>
            </w:tc>
          </w:tr>
          <w:tr w:rsidR="00E438DA">
            <w:trPr>
              <w:trHeight w:val="540"/>
            </w:trPr>
            <w:tc>
              <w:tcPr>
                <w:tcW w:w="1530"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b/>
                  </w:rPr>
                </w:pPr>
                <w:r>
                  <w:rPr>
                    <w:rFonts w:ascii="Times New Roman" w:eastAsia="Times New Roman" w:hAnsi="Times New Roman" w:cs="Times New Roman"/>
                    <w:b/>
                  </w:rPr>
                  <w:t>fd</w:t>
                </w:r>
              </w:p>
            </w:tc>
            <w:tc>
              <w:tcPr>
                <w:tcW w:w="138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-1.648</w:t>
                </w:r>
              </w:p>
            </w:tc>
            <w:tc>
              <w:tcPr>
                <w:tcW w:w="148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-2.150</w:t>
                </w:r>
              </w:p>
            </w:tc>
            <w:tc>
              <w:tcPr>
                <w:tcW w:w="144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0.539</w:t>
                </w:r>
              </w:p>
            </w:tc>
            <w:tc>
              <w:tcPr>
                <w:tcW w:w="133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0.705</w:t>
                </w:r>
              </w:p>
            </w:tc>
            <w:tc>
              <w:tcPr>
                <w:tcW w:w="16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I(1)</w:t>
                </w:r>
              </w:p>
            </w:tc>
          </w:tr>
          <w:tr w:rsidR="00E438DA">
            <w:trPr>
              <w:trHeight w:val="540"/>
            </w:trPr>
            <w:tc>
              <w:tcPr>
                <w:tcW w:w="1530"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b/>
                  </w:rPr>
                </w:pPr>
                <w:r>
                  <w:rPr>
                    <w:rFonts w:ascii="Times New Roman" w:eastAsia="Times New Roman" w:hAnsi="Times New Roman" w:cs="Times New Roman"/>
                    <w:b/>
                  </w:rPr>
                  <w:t>Δfd</w:t>
                </w:r>
              </w:p>
            </w:tc>
            <w:tc>
              <w:tcPr>
                <w:tcW w:w="138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-3.535</w:t>
                </w:r>
              </w:p>
            </w:tc>
            <w:tc>
              <w:tcPr>
                <w:tcW w:w="148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-2.150</w:t>
                </w:r>
              </w:p>
            </w:tc>
            <w:tc>
              <w:tcPr>
                <w:tcW w:w="144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-9.466</w:t>
                </w:r>
              </w:p>
            </w:tc>
            <w:tc>
              <w:tcPr>
                <w:tcW w:w="133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0.000</w:t>
                </w:r>
              </w:p>
            </w:tc>
            <w:tc>
              <w:tcPr>
                <w:tcW w:w="16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I(0)</w:t>
                </w:r>
              </w:p>
            </w:tc>
          </w:tr>
          <w:tr w:rsidR="00E438DA">
            <w:trPr>
              <w:trHeight w:val="540"/>
            </w:trPr>
            <w:tc>
              <w:tcPr>
                <w:tcW w:w="1530"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b/>
                  </w:rPr>
                </w:pPr>
                <w:r>
                  <w:rPr>
                    <w:rFonts w:ascii="Times New Roman" w:eastAsia="Times New Roman" w:hAnsi="Times New Roman" w:cs="Times New Roman"/>
                    <w:b/>
                  </w:rPr>
                  <w:t>inst</w:t>
                </w:r>
              </w:p>
            </w:tc>
            <w:tc>
              <w:tcPr>
                <w:tcW w:w="138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-1.658</w:t>
                </w:r>
              </w:p>
            </w:tc>
            <w:tc>
              <w:tcPr>
                <w:tcW w:w="148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-2.150</w:t>
                </w:r>
              </w:p>
            </w:tc>
            <w:tc>
              <w:tcPr>
                <w:tcW w:w="144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0.489</w:t>
                </w:r>
              </w:p>
            </w:tc>
            <w:tc>
              <w:tcPr>
                <w:tcW w:w="133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0.688</w:t>
                </w:r>
              </w:p>
            </w:tc>
            <w:tc>
              <w:tcPr>
                <w:tcW w:w="16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I(1)</w:t>
                </w:r>
              </w:p>
            </w:tc>
          </w:tr>
          <w:tr w:rsidR="00E438DA">
            <w:trPr>
              <w:trHeight w:val="540"/>
            </w:trPr>
            <w:tc>
              <w:tcPr>
                <w:tcW w:w="1530"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b/>
                  </w:rPr>
                </w:pPr>
                <w:r>
                  <w:rPr>
                    <w:rFonts w:ascii="Times New Roman" w:eastAsia="Times New Roman" w:hAnsi="Times New Roman" w:cs="Times New Roman"/>
                    <w:b/>
                  </w:rPr>
                  <w:t>Δinst</w:t>
                </w:r>
              </w:p>
            </w:tc>
            <w:tc>
              <w:tcPr>
                <w:tcW w:w="138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-3.505</w:t>
                </w:r>
              </w:p>
            </w:tc>
            <w:tc>
              <w:tcPr>
                <w:tcW w:w="148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-2.150</w:t>
                </w:r>
              </w:p>
            </w:tc>
            <w:tc>
              <w:tcPr>
                <w:tcW w:w="144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-9.303</w:t>
                </w:r>
              </w:p>
            </w:tc>
            <w:tc>
              <w:tcPr>
                <w:tcW w:w="133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0.000</w:t>
                </w:r>
              </w:p>
            </w:tc>
            <w:tc>
              <w:tcPr>
                <w:tcW w:w="16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I(0)</w:t>
                </w:r>
              </w:p>
            </w:tc>
          </w:tr>
          <w:tr w:rsidR="00E438DA">
            <w:trPr>
              <w:trHeight w:val="540"/>
            </w:trPr>
            <w:tc>
              <w:tcPr>
                <w:tcW w:w="1530"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b/>
                  </w:rPr>
                </w:pPr>
                <w:r>
                  <w:rPr>
                    <w:rFonts w:ascii="Times New Roman" w:eastAsia="Times New Roman" w:hAnsi="Times New Roman" w:cs="Times New Roman"/>
                    <w:b/>
                  </w:rPr>
                  <w:t>fd_inst</w:t>
                </w:r>
              </w:p>
            </w:tc>
            <w:tc>
              <w:tcPr>
                <w:tcW w:w="138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-1.474</w:t>
                </w:r>
              </w:p>
            </w:tc>
            <w:tc>
              <w:tcPr>
                <w:tcW w:w="148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-2.150</w:t>
                </w:r>
              </w:p>
            </w:tc>
            <w:tc>
              <w:tcPr>
                <w:tcW w:w="144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1.465</w:t>
                </w:r>
              </w:p>
            </w:tc>
            <w:tc>
              <w:tcPr>
                <w:tcW w:w="133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0.929</w:t>
                </w:r>
              </w:p>
            </w:tc>
            <w:tc>
              <w:tcPr>
                <w:tcW w:w="16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I(1)</w:t>
                </w:r>
              </w:p>
            </w:tc>
          </w:tr>
          <w:tr w:rsidR="00E438DA">
            <w:trPr>
              <w:trHeight w:val="540"/>
            </w:trPr>
            <w:tc>
              <w:tcPr>
                <w:tcW w:w="1530"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b/>
                  </w:rPr>
                </w:pPr>
                <w:r>
                  <w:rPr>
                    <w:rFonts w:ascii="Times New Roman" w:eastAsia="Times New Roman" w:hAnsi="Times New Roman" w:cs="Times New Roman"/>
                    <w:b/>
                  </w:rPr>
                  <w:t>Δfd_inst</w:t>
                </w:r>
              </w:p>
            </w:tc>
            <w:tc>
              <w:tcPr>
                <w:tcW w:w="138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-3.644</w:t>
                </w:r>
              </w:p>
            </w:tc>
            <w:tc>
              <w:tcPr>
                <w:tcW w:w="148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-2.150</w:t>
                </w:r>
              </w:p>
            </w:tc>
            <w:tc>
              <w:tcPr>
                <w:tcW w:w="144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-10.043</w:t>
                </w:r>
              </w:p>
            </w:tc>
            <w:tc>
              <w:tcPr>
                <w:tcW w:w="133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0.000</w:t>
                </w:r>
              </w:p>
            </w:tc>
            <w:tc>
              <w:tcPr>
                <w:tcW w:w="16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I(0)</w:t>
                </w:r>
              </w:p>
            </w:tc>
          </w:tr>
          <w:tr w:rsidR="00E438DA">
            <w:trPr>
              <w:trHeight w:val="540"/>
            </w:trPr>
            <w:tc>
              <w:tcPr>
                <w:tcW w:w="1530"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b/>
                  </w:rPr>
                </w:pPr>
                <w:r>
                  <w:rPr>
                    <w:rFonts w:ascii="Times New Roman" w:eastAsia="Times New Roman" w:hAnsi="Times New Roman" w:cs="Times New Roman"/>
                    <w:b/>
                  </w:rPr>
                  <w:t>lrgdppc</w:t>
                </w:r>
              </w:p>
            </w:tc>
            <w:tc>
              <w:tcPr>
                <w:tcW w:w="138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-1.580</w:t>
                </w:r>
              </w:p>
            </w:tc>
            <w:tc>
              <w:tcPr>
                <w:tcW w:w="148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-2.150</w:t>
                </w:r>
              </w:p>
            </w:tc>
            <w:tc>
              <w:tcPr>
                <w:tcW w:w="144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0.902</w:t>
                </w:r>
              </w:p>
            </w:tc>
            <w:tc>
              <w:tcPr>
                <w:tcW w:w="133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0.817</w:t>
                </w:r>
              </w:p>
            </w:tc>
            <w:tc>
              <w:tcPr>
                <w:tcW w:w="16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I(1)</w:t>
                </w:r>
              </w:p>
            </w:tc>
          </w:tr>
          <w:tr w:rsidR="00E438DA">
            <w:trPr>
              <w:trHeight w:val="540"/>
            </w:trPr>
            <w:tc>
              <w:tcPr>
                <w:tcW w:w="1530"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b/>
                  </w:rPr>
                </w:pPr>
                <w:r>
                  <w:rPr>
                    <w:rFonts w:ascii="Times New Roman" w:eastAsia="Times New Roman" w:hAnsi="Times New Roman" w:cs="Times New Roman"/>
                    <w:b/>
                  </w:rPr>
                  <w:t>Δlrgdppc</w:t>
                </w:r>
              </w:p>
            </w:tc>
            <w:tc>
              <w:tcPr>
                <w:tcW w:w="138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-2.398</w:t>
                </w:r>
              </w:p>
            </w:tc>
            <w:tc>
              <w:tcPr>
                <w:tcW w:w="148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-2.150</w:t>
                </w:r>
              </w:p>
            </w:tc>
            <w:tc>
              <w:tcPr>
                <w:tcW w:w="144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-3.434</w:t>
                </w:r>
              </w:p>
            </w:tc>
            <w:tc>
              <w:tcPr>
                <w:tcW w:w="133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0.000</w:t>
                </w:r>
              </w:p>
            </w:tc>
            <w:tc>
              <w:tcPr>
                <w:tcW w:w="16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I(0)</w:t>
                </w:r>
              </w:p>
            </w:tc>
          </w:tr>
          <w:tr w:rsidR="00E438DA">
            <w:trPr>
              <w:trHeight w:val="540"/>
            </w:trPr>
            <w:tc>
              <w:tcPr>
                <w:tcW w:w="1530"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b/>
                  </w:rPr>
                </w:pPr>
                <w:r>
                  <w:rPr>
                    <w:rFonts w:ascii="Times New Roman" w:eastAsia="Times New Roman" w:hAnsi="Times New Roman" w:cs="Times New Roman"/>
                    <w:b/>
                  </w:rPr>
                  <w:t>fdi</w:t>
                </w:r>
              </w:p>
            </w:tc>
            <w:tc>
              <w:tcPr>
                <w:tcW w:w="138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-2.273</w:t>
                </w:r>
              </w:p>
            </w:tc>
            <w:tc>
              <w:tcPr>
                <w:tcW w:w="148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-2.150</w:t>
                </w:r>
              </w:p>
            </w:tc>
            <w:tc>
              <w:tcPr>
                <w:tcW w:w="144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-2.775</w:t>
                </w:r>
              </w:p>
            </w:tc>
            <w:tc>
              <w:tcPr>
                <w:tcW w:w="133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0.003</w:t>
                </w:r>
              </w:p>
            </w:tc>
            <w:tc>
              <w:tcPr>
                <w:tcW w:w="16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I(0)</w:t>
                </w:r>
              </w:p>
            </w:tc>
          </w:tr>
          <w:tr w:rsidR="00E438DA">
            <w:trPr>
              <w:trHeight w:val="540"/>
            </w:trPr>
            <w:tc>
              <w:tcPr>
                <w:tcW w:w="1530"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b/>
                  </w:rPr>
                </w:pPr>
                <w:r>
                  <w:rPr>
                    <w:rFonts w:ascii="Times New Roman" w:eastAsia="Times New Roman" w:hAnsi="Times New Roman" w:cs="Times New Roman"/>
                    <w:b/>
                  </w:rPr>
                  <w:t>Δfdi</w:t>
                </w:r>
              </w:p>
            </w:tc>
            <w:tc>
              <w:tcPr>
                <w:tcW w:w="138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-3.525</w:t>
                </w:r>
              </w:p>
            </w:tc>
            <w:tc>
              <w:tcPr>
                <w:tcW w:w="148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-2.150</w:t>
                </w:r>
              </w:p>
            </w:tc>
            <w:tc>
              <w:tcPr>
                <w:tcW w:w="144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-9.413</w:t>
                </w:r>
              </w:p>
            </w:tc>
            <w:tc>
              <w:tcPr>
                <w:tcW w:w="133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0.000</w:t>
                </w:r>
              </w:p>
            </w:tc>
            <w:tc>
              <w:tcPr>
                <w:tcW w:w="16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I(0)</w:t>
                </w:r>
              </w:p>
            </w:tc>
          </w:tr>
          <w:tr w:rsidR="00E438DA">
            <w:trPr>
              <w:trHeight w:val="540"/>
            </w:trPr>
            <w:tc>
              <w:tcPr>
                <w:tcW w:w="1530"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b/>
                  </w:rPr>
                </w:pPr>
                <w:r>
                  <w:rPr>
                    <w:rFonts w:ascii="Times New Roman" w:eastAsia="Times New Roman" w:hAnsi="Times New Roman" w:cs="Times New Roman"/>
                    <w:b/>
                  </w:rPr>
                  <w:t>lpop</w:t>
                </w:r>
              </w:p>
            </w:tc>
            <w:tc>
              <w:tcPr>
                <w:tcW w:w="138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-1.908</w:t>
                </w:r>
              </w:p>
            </w:tc>
            <w:tc>
              <w:tcPr>
                <w:tcW w:w="148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-2.150</w:t>
                </w:r>
              </w:p>
            </w:tc>
            <w:tc>
              <w:tcPr>
                <w:tcW w:w="144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-0.835</w:t>
                </w:r>
              </w:p>
            </w:tc>
            <w:tc>
              <w:tcPr>
                <w:tcW w:w="133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0.202</w:t>
                </w:r>
              </w:p>
            </w:tc>
            <w:tc>
              <w:tcPr>
                <w:tcW w:w="16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I(1)</w:t>
                </w:r>
              </w:p>
            </w:tc>
          </w:tr>
          <w:tr w:rsidR="00E438DA">
            <w:trPr>
              <w:trHeight w:val="540"/>
            </w:trPr>
            <w:tc>
              <w:tcPr>
                <w:tcW w:w="1530"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b/>
                  </w:rPr>
                </w:pPr>
                <w:r>
                  <w:rPr>
                    <w:rFonts w:ascii="Times New Roman" w:eastAsia="Times New Roman" w:hAnsi="Times New Roman" w:cs="Times New Roman"/>
                    <w:b/>
                  </w:rPr>
                  <w:t>Δlpop</w:t>
                </w:r>
              </w:p>
            </w:tc>
            <w:tc>
              <w:tcPr>
                <w:tcW w:w="138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-3.157</w:t>
                </w:r>
              </w:p>
            </w:tc>
            <w:tc>
              <w:tcPr>
                <w:tcW w:w="148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-2.150</w:t>
                </w:r>
              </w:p>
            </w:tc>
            <w:tc>
              <w:tcPr>
                <w:tcW w:w="144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-7.460</w:t>
                </w:r>
              </w:p>
            </w:tc>
            <w:tc>
              <w:tcPr>
                <w:tcW w:w="133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0.000</w:t>
                </w:r>
              </w:p>
            </w:tc>
            <w:tc>
              <w:tcPr>
                <w:tcW w:w="16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I(0)</w:t>
                </w:r>
              </w:p>
            </w:tc>
          </w:tr>
        </w:tbl>
      </w:sdtContent>
    </w:sdt>
    <w:p w:rsidR="00E438DA" w:rsidRDefault="00000000">
      <w:pPr>
        <w:spacing w:before="240" w:after="240"/>
        <w:jc w:val="both"/>
        <w:rPr>
          <w:i/>
          <w:sz w:val="16"/>
          <w:szCs w:val="16"/>
        </w:rPr>
      </w:pPr>
      <w:r>
        <w:rPr>
          <w:i/>
          <w:sz w:val="16"/>
          <w:szCs w:val="16"/>
        </w:rPr>
        <w:t xml:space="preserve">ren = Renewable Energy Consumption; </w:t>
      </w:r>
      <w:proofErr w:type="spellStart"/>
      <w:r>
        <w:rPr>
          <w:i/>
          <w:sz w:val="16"/>
          <w:szCs w:val="16"/>
        </w:rPr>
        <w:t>fd</w:t>
      </w:r>
      <w:proofErr w:type="spellEnd"/>
      <w:r>
        <w:rPr>
          <w:i/>
          <w:sz w:val="16"/>
          <w:szCs w:val="16"/>
        </w:rPr>
        <w:t xml:space="preserve"> = Financial Development; </w:t>
      </w:r>
      <w:proofErr w:type="spellStart"/>
      <w:r>
        <w:rPr>
          <w:i/>
          <w:sz w:val="16"/>
          <w:szCs w:val="16"/>
        </w:rPr>
        <w:t>inst</w:t>
      </w:r>
      <w:proofErr w:type="spellEnd"/>
      <w:r>
        <w:rPr>
          <w:i/>
          <w:sz w:val="16"/>
          <w:szCs w:val="16"/>
        </w:rPr>
        <w:t xml:space="preserve"> = Institutional Quality; </w:t>
      </w:r>
      <w:proofErr w:type="spellStart"/>
      <w:r>
        <w:rPr>
          <w:i/>
          <w:sz w:val="16"/>
          <w:szCs w:val="16"/>
        </w:rPr>
        <w:t>fd_inst</w:t>
      </w:r>
      <w:proofErr w:type="spellEnd"/>
      <w:r>
        <w:rPr>
          <w:i/>
          <w:sz w:val="16"/>
          <w:szCs w:val="16"/>
        </w:rPr>
        <w:t xml:space="preserve"> = Interaction term between Financial Development and Institutional Quality; </w:t>
      </w:r>
      <w:proofErr w:type="spellStart"/>
      <w:r>
        <w:rPr>
          <w:i/>
          <w:sz w:val="16"/>
          <w:szCs w:val="16"/>
        </w:rPr>
        <w:t>lrgdppc</w:t>
      </w:r>
      <w:proofErr w:type="spellEnd"/>
      <w:r>
        <w:rPr>
          <w:i/>
          <w:sz w:val="16"/>
          <w:szCs w:val="16"/>
        </w:rPr>
        <w:t xml:space="preserve"> = Log of Real GDP per capita; </w:t>
      </w:r>
      <w:proofErr w:type="spellStart"/>
      <w:r>
        <w:rPr>
          <w:i/>
          <w:sz w:val="16"/>
          <w:szCs w:val="16"/>
        </w:rPr>
        <w:t>fdi</w:t>
      </w:r>
      <w:proofErr w:type="spellEnd"/>
      <w:r>
        <w:rPr>
          <w:i/>
          <w:sz w:val="16"/>
          <w:szCs w:val="16"/>
        </w:rPr>
        <w:t xml:space="preserve"> = Foreign Direct Investment; </w:t>
      </w:r>
      <w:proofErr w:type="spellStart"/>
      <w:r>
        <w:rPr>
          <w:i/>
          <w:sz w:val="16"/>
          <w:szCs w:val="16"/>
        </w:rPr>
        <w:t>lpop</w:t>
      </w:r>
      <w:proofErr w:type="spellEnd"/>
      <w:r>
        <w:rPr>
          <w:i/>
          <w:sz w:val="16"/>
          <w:szCs w:val="16"/>
        </w:rPr>
        <w:t xml:space="preserve"> = Log of Population; Δ = First difference operator; </w:t>
      </w:r>
      <w:proofErr w:type="gramStart"/>
      <w:r>
        <w:rPr>
          <w:i/>
          <w:sz w:val="16"/>
          <w:szCs w:val="16"/>
        </w:rPr>
        <w:t>I(</w:t>
      </w:r>
      <w:proofErr w:type="gramEnd"/>
      <w:r>
        <w:rPr>
          <w:i/>
          <w:sz w:val="16"/>
          <w:szCs w:val="16"/>
        </w:rPr>
        <w:t xml:space="preserve">0) = integrated of order zero, this indicates stationarity at level; </w:t>
      </w:r>
      <w:proofErr w:type="gramStart"/>
      <w:r>
        <w:rPr>
          <w:i/>
          <w:sz w:val="16"/>
          <w:szCs w:val="16"/>
        </w:rPr>
        <w:t>I(</w:t>
      </w:r>
      <w:proofErr w:type="gramEnd"/>
      <w:r>
        <w:rPr>
          <w:i/>
          <w:sz w:val="16"/>
          <w:szCs w:val="16"/>
        </w:rPr>
        <w:t>1) = integrated of order one, this indicates stationarity after first differencing</w:t>
      </w:r>
    </w:p>
    <w:p w:rsidR="00E438DA" w:rsidRDefault="00000000">
      <w:pPr>
        <w:spacing w:before="240" w:after="240"/>
        <w:jc w:val="both"/>
      </w:pPr>
      <w:r>
        <w:rPr>
          <w:rFonts w:ascii="Georgia" w:eastAsia="Georgia" w:hAnsi="Georgia" w:cs="Georgia"/>
        </w:rPr>
        <w:t xml:space="preserve">Notes: The null hypothesis is that all panels contain a unit root. The critical values for the CADF </w:t>
      </w:r>
      <w:proofErr w:type="spellStart"/>
      <w:r>
        <w:rPr>
          <w:rFonts w:ascii="Georgia" w:eastAsia="Georgia" w:hAnsi="Georgia" w:cs="Georgia"/>
        </w:rPr>
        <w:t>t-bar</w:t>
      </w:r>
      <w:proofErr w:type="spellEnd"/>
      <w:r>
        <w:rPr>
          <w:rFonts w:ascii="Georgia" w:eastAsia="Georgia" w:hAnsi="Georgia" w:cs="Georgia"/>
        </w:rPr>
        <w:t xml:space="preserve"> statistic are from </w:t>
      </w:r>
      <w:proofErr w:type="spellStart"/>
      <w:r>
        <w:rPr>
          <w:rFonts w:ascii="Georgia" w:eastAsia="Georgia" w:hAnsi="Georgia" w:cs="Georgia"/>
        </w:rPr>
        <w:t>Pesaran</w:t>
      </w:r>
      <w:proofErr w:type="spellEnd"/>
      <w:r>
        <w:rPr>
          <w:rFonts w:ascii="Georgia" w:eastAsia="Georgia" w:hAnsi="Georgia" w:cs="Georgia"/>
        </w:rPr>
        <w:t xml:space="preserve"> (2007). Δ denotes first difference. </w:t>
      </w:r>
      <w:proofErr w:type="gramStart"/>
      <w:r>
        <w:rPr>
          <w:rFonts w:ascii="Georgia" w:eastAsia="Georgia" w:hAnsi="Georgia" w:cs="Georgia"/>
        </w:rPr>
        <w:t>I(</w:t>
      </w:r>
      <w:proofErr w:type="gramEnd"/>
      <w:r>
        <w:rPr>
          <w:rFonts w:ascii="Georgia" w:eastAsia="Georgia" w:hAnsi="Georgia" w:cs="Georgia"/>
        </w:rPr>
        <w:t xml:space="preserve">0) indicates stationarity at level, while </w:t>
      </w:r>
      <w:proofErr w:type="gramStart"/>
      <w:r>
        <w:rPr>
          <w:rFonts w:ascii="Georgia" w:eastAsia="Georgia" w:hAnsi="Georgia" w:cs="Georgia"/>
        </w:rPr>
        <w:t>I(</w:t>
      </w:r>
      <w:proofErr w:type="gramEnd"/>
      <w:r>
        <w:rPr>
          <w:rFonts w:ascii="Georgia" w:eastAsia="Georgia" w:hAnsi="Georgia" w:cs="Georgia"/>
        </w:rPr>
        <w:t>1) indicates stationarity after first differencing. N=27, T=22 for levels and T=21 for first differences.</w:t>
      </w:r>
      <w:r>
        <w:rPr>
          <w:rFonts w:ascii="Georgia" w:eastAsia="Georgia" w:hAnsi="Georgia" w:cs="Georgia"/>
        </w:rPr>
        <w:br/>
      </w:r>
    </w:p>
    <w:p w:rsidR="00E438DA" w:rsidRDefault="00000000">
      <w:pPr>
        <w:pBdr>
          <w:top w:val="nil"/>
          <w:left w:val="nil"/>
          <w:bottom w:val="nil"/>
          <w:right w:val="nil"/>
          <w:between w:val="nil"/>
        </w:pBdr>
        <w:spacing w:before="240" w:after="2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 xml:space="preserve">Table </w:t>
      </w:r>
      <w:proofErr w:type="gramStart"/>
      <w:r>
        <w:rPr>
          <w:rFonts w:ascii="Times New Roman" w:eastAsia="Times New Roman" w:hAnsi="Times New Roman" w:cs="Times New Roman"/>
          <w:b/>
          <w:sz w:val="26"/>
          <w:szCs w:val="26"/>
        </w:rPr>
        <w:t>10:Panel</w:t>
      </w:r>
      <w:proofErr w:type="gramEnd"/>
      <w:r>
        <w:rPr>
          <w:rFonts w:ascii="Times New Roman" w:eastAsia="Times New Roman" w:hAnsi="Times New Roman" w:cs="Times New Roman"/>
          <w:b/>
          <w:sz w:val="26"/>
          <w:szCs w:val="26"/>
        </w:rPr>
        <w:t xml:space="preserve"> Unit Root </w:t>
      </w:r>
      <w:proofErr w:type="gramStart"/>
      <w:r>
        <w:rPr>
          <w:rFonts w:ascii="Times New Roman" w:eastAsia="Times New Roman" w:hAnsi="Times New Roman" w:cs="Times New Roman"/>
          <w:b/>
          <w:sz w:val="26"/>
          <w:szCs w:val="26"/>
        </w:rPr>
        <w:t>Tests(</w:t>
      </w:r>
      <w:proofErr w:type="gramEnd"/>
      <w:r>
        <w:rPr>
          <w:rFonts w:ascii="Times New Roman" w:eastAsia="Times New Roman" w:hAnsi="Times New Roman" w:cs="Times New Roman"/>
          <w:b/>
          <w:sz w:val="26"/>
          <w:szCs w:val="26"/>
        </w:rPr>
        <w:t>Intercepts and Trend)</w:t>
      </w:r>
    </w:p>
    <w:sdt>
      <w:sdtPr>
        <w:tag w:val="goog_rdk_11"/>
        <w:id w:val="-968200973"/>
        <w:lock w:val="contentLocked"/>
      </w:sdtPr>
      <w:sdtContent>
        <w:tbl>
          <w:tblPr>
            <w:tblStyle w:val="a8"/>
            <w:tblW w:w="88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45"/>
            <w:gridCol w:w="1395"/>
            <w:gridCol w:w="1485"/>
            <w:gridCol w:w="1395"/>
            <w:gridCol w:w="1350"/>
            <w:gridCol w:w="1710"/>
          </w:tblGrid>
          <w:tr w:rsidR="00E438DA">
            <w:trPr>
              <w:trHeight w:val="810"/>
            </w:trPr>
            <w:tc>
              <w:tcPr>
                <w:tcW w:w="154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jc w:val="center"/>
                  <w:rPr>
                    <w:rFonts w:ascii="Times New Roman" w:eastAsia="Times New Roman" w:hAnsi="Times New Roman" w:cs="Times New Roman"/>
                    <w:b/>
                  </w:rPr>
                </w:pPr>
                <w:r>
                  <w:rPr>
                    <w:rFonts w:ascii="Times New Roman" w:eastAsia="Times New Roman" w:hAnsi="Times New Roman" w:cs="Times New Roman"/>
                    <w:b/>
                  </w:rPr>
                  <w:t>Variable</w:t>
                </w:r>
              </w:p>
            </w:tc>
            <w:tc>
              <w:tcPr>
                <w:tcW w:w="1395" w:type="dxa"/>
                <w:tcBorders>
                  <w:top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jc w:val="center"/>
                  <w:rPr>
                    <w:rFonts w:ascii="Times New Roman" w:eastAsia="Times New Roman" w:hAnsi="Times New Roman" w:cs="Times New Roman"/>
                    <w:b/>
                  </w:rPr>
                </w:pPr>
                <w:r>
                  <w:rPr>
                    <w:rFonts w:ascii="Times New Roman" w:eastAsia="Times New Roman" w:hAnsi="Times New Roman" w:cs="Times New Roman"/>
                    <w:b/>
                  </w:rPr>
                  <w:t>t-bar</w:t>
                </w:r>
              </w:p>
            </w:tc>
            <w:tc>
              <w:tcPr>
                <w:tcW w:w="1485" w:type="dxa"/>
                <w:tcBorders>
                  <w:top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jc w:val="center"/>
                  <w:rPr>
                    <w:rFonts w:ascii="Times New Roman" w:eastAsia="Times New Roman" w:hAnsi="Times New Roman" w:cs="Times New Roman"/>
                    <w:b/>
                  </w:rPr>
                </w:pPr>
                <w:r>
                  <w:rPr>
                    <w:rFonts w:ascii="Times New Roman" w:eastAsia="Times New Roman" w:hAnsi="Times New Roman" w:cs="Times New Roman"/>
                    <w:b/>
                  </w:rPr>
                  <w:t>Critical values (5%)</w:t>
                </w:r>
              </w:p>
            </w:tc>
            <w:tc>
              <w:tcPr>
                <w:tcW w:w="1395" w:type="dxa"/>
                <w:tcBorders>
                  <w:top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jc w:val="center"/>
                  <w:rPr>
                    <w:rFonts w:ascii="Times New Roman" w:eastAsia="Times New Roman" w:hAnsi="Times New Roman" w:cs="Times New Roman"/>
                    <w:b/>
                  </w:rPr>
                </w:pPr>
                <w:r>
                  <w:rPr>
                    <w:rFonts w:ascii="Times New Roman" w:eastAsia="Times New Roman" w:hAnsi="Times New Roman" w:cs="Times New Roman"/>
                    <w:b/>
                  </w:rPr>
                  <w:t>Z[t-bar]</w:t>
                </w:r>
              </w:p>
            </w:tc>
            <w:tc>
              <w:tcPr>
                <w:tcW w:w="1350" w:type="dxa"/>
                <w:tcBorders>
                  <w:top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jc w:val="center"/>
                  <w:rPr>
                    <w:rFonts w:ascii="Times New Roman" w:eastAsia="Times New Roman" w:hAnsi="Times New Roman" w:cs="Times New Roman"/>
                    <w:b/>
                  </w:rPr>
                </w:pPr>
                <w:r>
                  <w:rPr>
                    <w:rFonts w:ascii="Times New Roman" w:eastAsia="Times New Roman" w:hAnsi="Times New Roman" w:cs="Times New Roman"/>
                    <w:b/>
                  </w:rPr>
                  <w:t>P-value</w:t>
                </w:r>
              </w:p>
            </w:tc>
            <w:tc>
              <w:tcPr>
                <w:tcW w:w="1710" w:type="dxa"/>
                <w:tcBorders>
                  <w:top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jc w:val="center"/>
                  <w:rPr>
                    <w:rFonts w:ascii="Times New Roman" w:eastAsia="Times New Roman" w:hAnsi="Times New Roman" w:cs="Times New Roman"/>
                    <w:b/>
                  </w:rPr>
                </w:pPr>
                <w:r>
                  <w:rPr>
                    <w:rFonts w:ascii="Times New Roman" w:eastAsia="Times New Roman" w:hAnsi="Times New Roman" w:cs="Times New Roman"/>
                    <w:b/>
                  </w:rPr>
                  <w:t>Order of Integration</w:t>
                </w:r>
              </w:p>
            </w:tc>
          </w:tr>
          <w:tr w:rsidR="00E438DA">
            <w:trPr>
              <w:trHeight w:val="540"/>
            </w:trPr>
            <w:tc>
              <w:tcPr>
                <w:tcW w:w="1545"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b/>
                  </w:rPr>
                </w:pPr>
                <w:r>
                  <w:rPr>
                    <w:rFonts w:ascii="Times New Roman" w:eastAsia="Times New Roman" w:hAnsi="Times New Roman" w:cs="Times New Roman"/>
                    <w:b/>
                  </w:rPr>
                  <w:t>ren</w:t>
                </w:r>
              </w:p>
            </w:tc>
            <w:tc>
              <w:tcPr>
                <w:tcW w:w="13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-1.985</w:t>
                </w:r>
              </w:p>
            </w:tc>
            <w:tc>
              <w:tcPr>
                <w:tcW w:w="148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-2.660</w:t>
                </w:r>
              </w:p>
            </w:tc>
            <w:tc>
              <w:tcPr>
                <w:tcW w:w="13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1.818</w:t>
                </w:r>
              </w:p>
            </w:tc>
            <w:tc>
              <w:tcPr>
                <w:tcW w:w="135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0.965</w:t>
                </w:r>
              </w:p>
            </w:tc>
            <w:tc>
              <w:tcPr>
                <w:tcW w:w="171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I(1)</w:t>
                </w:r>
              </w:p>
            </w:tc>
          </w:tr>
          <w:tr w:rsidR="00E438DA">
            <w:trPr>
              <w:trHeight w:val="540"/>
            </w:trPr>
            <w:tc>
              <w:tcPr>
                <w:tcW w:w="1545"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b/>
                  </w:rPr>
                </w:pPr>
                <w:r>
                  <w:rPr>
                    <w:rFonts w:ascii="Times New Roman" w:eastAsia="Times New Roman" w:hAnsi="Times New Roman" w:cs="Times New Roman"/>
                    <w:b/>
                  </w:rPr>
                  <w:t>Δren</w:t>
                </w:r>
              </w:p>
            </w:tc>
            <w:tc>
              <w:tcPr>
                <w:tcW w:w="13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-3.202</w:t>
                </w:r>
              </w:p>
            </w:tc>
            <w:tc>
              <w:tcPr>
                <w:tcW w:w="148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-2.660</w:t>
                </w:r>
              </w:p>
            </w:tc>
            <w:tc>
              <w:tcPr>
                <w:tcW w:w="13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-4.982</w:t>
                </w:r>
              </w:p>
            </w:tc>
            <w:tc>
              <w:tcPr>
                <w:tcW w:w="135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0.000</w:t>
                </w:r>
              </w:p>
            </w:tc>
            <w:tc>
              <w:tcPr>
                <w:tcW w:w="171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I(0)</w:t>
                </w:r>
              </w:p>
            </w:tc>
          </w:tr>
          <w:tr w:rsidR="00E438DA">
            <w:trPr>
              <w:trHeight w:val="540"/>
            </w:trPr>
            <w:tc>
              <w:tcPr>
                <w:tcW w:w="1545"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b/>
                  </w:rPr>
                </w:pPr>
                <w:r>
                  <w:rPr>
                    <w:rFonts w:ascii="Times New Roman" w:eastAsia="Times New Roman" w:hAnsi="Times New Roman" w:cs="Times New Roman"/>
                    <w:b/>
                  </w:rPr>
                  <w:t>fd</w:t>
                </w:r>
              </w:p>
            </w:tc>
            <w:tc>
              <w:tcPr>
                <w:tcW w:w="13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-2.298</w:t>
                </w:r>
              </w:p>
            </w:tc>
            <w:tc>
              <w:tcPr>
                <w:tcW w:w="148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-2.660</w:t>
                </w:r>
              </w:p>
            </w:tc>
            <w:tc>
              <w:tcPr>
                <w:tcW w:w="13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0.067</w:t>
                </w:r>
              </w:p>
            </w:tc>
            <w:tc>
              <w:tcPr>
                <w:tcW w:w="135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0.527</w:t>
                </w:r>
              </w:p>
            </w:tc>
            <w:tc>
              <w:tcPr>
                <w:tcW w:w="171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I(1)</w:t>
                </w:r>
              </w:p>
            </w:tc>
          </w:tr>
          <w:tr w:rsidR="00E438DA">
            <w:trPr>
              <w:trHeight w:val="540"/>
            </w:trPr>
            <w:tc>
              <w:tcPr>
                <w:tcW w:w="1545"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b/>
                  </w:rPr>
                </w:pPr>
                <w:r>
                  <w:rPr>
                    <w:rFonts w:ascii="Times New Roman" w:eastAsia="Times New Roman" w:hAnsi="Times New Roman" w:cs="Times New Roman"/>
                    <w:b/>
                  </w:rPr>
                  <w:t>Δfd</w:t>
                </w:r>
              </w:p>
            </w:tc>
            <w:tc>
              <w:tcPr>
                <w:tcW w:w="13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-3.654</w:t>
                </w:r>
              </w:p>
            </w:tc>
            <w:tc>
              <w:tcPr>
                <w:tcW w:w="148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-2.660</w:t>
                </w:r>
              </w:p>
            </w:tc>
            <w:tc>
              <w:tcPr>
                <w:tcW w:w="13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-7.507</w:t>
                </w:r>
              </w:p>
            </w:tc>
            <w:tc>
              <w:tcPr>
                <w:tcW w:w="135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0.000</w:t>
                </w:r>
              </w:p>
            </w:tc>
            <w:tc>
              <w:tcPr>
                <w:tcW w:w="171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I(0)</w:t>
                </w:r>
              </w:p>
            </w:tc>
          </w:tr>
          <w:tr w:rsidR="00E438DA">
            <w:trPr>
              <w:trHeight w:val="540"/>
            </w:trPr>
            <w:tc>
              <w:tcPr>
                <w:tcW w:w="1545"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b/>
                  </w:rPr>
                </w:pPr>
                <w:r>
                  <w:rPr>
                    <w:rFonts w:ascii="Times New Roman" w:eastAsia="Times New Roman" w:hAnsi="Times New Roman" w:cs="Times New Roman"/>
                    <w:b/>
                  </w:rPr>
                  <w:t>inst</w:t>
                </w:r>
              </w:p>
            </w:tc>
            <w:tc>
              <w:tcPr>
                <w:tcW w:w="13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-2.302</w:t>
                </w:r>
              </w:p>
            </w:tc>
            <w:tc>
              <w:tcPr>
                <w:tcW w:w="148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-2.660</w:t>
                </w:r>
              </w:p>
            </w:tc>
            <w:tc>
              <w:tcPr>
                <w:tcW w:w="13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0.046</w:t>
                </w:r>
              </w:p>
            </w:tc>
            <w:tc>
              <w:tcPr>
                <w:tcW w:w="135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0.518</w:t>
                </w:r>
              </w:p>
            </w:tc>
            <w:tc>
              <w:tcPr>
                <w:tcW w:w="171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I(1)</w:t>
                </w:r>
              </w:p>
            </w:tc>
          </w:tr>
          <w:tr w:rsidR="00E438DA">
            <w:trPr>
              <w:trHeight w:val="540"/>
            </w:trPr>
            <w:tc>
              <w:tcPr>
                <w:tcW w:w="1545"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b/>
                  </w:rPr>
                </w:pPr>
                <w:r>
                  <w:rPr>
                    <w:rFonts w:ascii="Times New Roman" w:eastAsia="Times New Roman" w:hAnsi="Times New Roman" w:cs="Times New Roman"/>
                    <w:b/>
                  </w:rPr>
                  <w:t>Δinst</w:t>
                </w:r>
              </w:p>
            </w:tc>
            <w:tc>
              <w:tcPr>
                <w:tcW w:w="13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-3.654</w:t>
                </w:r>
              </w:p>
            </w:tc>
            <w:tc>
              <w:tcPr>
                <w:tcW w:w="148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-2.660</w:t>
                </w:r>
              </w:p>
            </w:tc>
            <w:tc>
              <w:tcPr>
                <w:tcW w:w="13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-7.508</w:t>
                </w:r>
              </w:p>
            </w:tc>
            <w:tc>
              <w:tcPr>
                <w:tcW w:w="135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0.000</w:t>
                </w:r>
              </w:p>
            </w:tc>
            <w:tc>
              <w:tcPr>
                <w:tcW w:w="171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I(0)</w:t>
                </w:r>
              </w:p>
            </w:tc>
          </w:tr>
          <w:tr w:rsidR="00E438DA">
            <w:trPr>
              <w:trHeight w:val="540"/>
            </w:trPr>
            <w:tc>
              <w:tcPr>
                <w:tcW w:w="1545"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b/>
                  </w:rPr>
                </w:pPr>
                <w:r>
                  <w:rPr>
                    <w:rFonts w:ascii="Times New Roman" w:eastAsia="Times New Roman" w:hAnsi="Times New Roman" w:cs="Times New Roman"/>
                    <w:b/>
                  </w:rPr>
                  <w:t>fd_inst</w:t>
                </w:r>
              </w:p>
            </w:tc>
            <w:tc>
              <w:tcPr>
                <w:tcW w:w="13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-2.369</w:t>
                </w:r>
              </w:p>
            </w:tc>
            <w:tc>
              <w:tcPr>
                <w:tcW w:w="148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-2.660</w:t>
                </w:r>
              </w:p>
            </w:tc>
            <w:tc>
              <w:tcPr>
                <w:tcW w:w="13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-0.330</w:t>
                </w:r>
              </w:p>
            </w:tc>
            <w:tc>
              <w:tcPr>
                <w:tcW w:w="135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0.371</w:t>
                </w:r>
              </w:p>
            </w:tc>
            <w:tc>
              <w:tcPr>
                <w:tcW w:w="171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I(1)</w:t>
                </w:r>
              </w:p>
            </w:tc>
          </w:tr>
          <w:tr w:rsidR="00E438DA">
            <w:trPr>
              <w:trHeight w:val="540"/>
            </w:trPr>
            <w:tc>
              <w:tcPr>
                <w:tcW w:w="1545"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b/>
                  </w:rPr>
                </w:pPr>
                <w:r>
                  <w:rPr>
                    <w:rFonts w:ascii="Times New Roman" w:eastAsia="Times New Roman" w:hAnsi="Times New Roman" w:cs="Times New Roman"/>
                    <w:b/>
                  </w:rPr>
                  <w:t>Δfd_inst</w:t>
                </w:r>
              </w:p>
            </w:tc>
            <w:tc>
              <w:tcPr>
                <w:tcW w:w="13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-3.706</w:t>
                </w:r>
              </w:p>
            </w:tc>
            <w:tc>
              <w:tcPr>
                <w:tcW w:w="148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-2.660</w:t>
                </w:r>
              </w:p>
            </w:tc>
            <w:tc>
              <w:tcPr>
                <w:tcW w:w="13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-7.799</w:t>
                </w:r>
              </w:p>
            </w:tc>
            <w:tc>
              <w:tcPr>
                <w:tcW w:w="135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0.000</w:t>
                </w:r>
              </w:p>
            </w:tc>
            <w:tc>
              <w:tcPr>
                <w:tcW w:w="171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I(0)</w:t>
                </w:r>
              </w:p>
            </w:tc>
          </w:tr>
          <w:tr w:rsidR="00E438DA">
            <w:trPr>
              <w:trHeight w:val="540"/>
            </w:trPr>
            <w:tc>
              <w:tcPr>
                <w:tcW w:w="1545"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b/>
                  </w:rPr>
                </w:pPr>
                <w:r>
                  <w:rPr>
                    <w:rFonts w:ascii="Times New Roman" w:eastAsia="Times New Roman" w:hAnsi="Times New Roman" w:cs="Times New Roman"/>
                    <w:b/>
                  </w:rPr>
                  <w:t>lrgdppc</w:t>
                </w:r>
              </w:p>
            </w:tc>
            <w:tc>
              <w:tcPr>
                <w:tcW w:w="13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-2.150</w:t>
                </w:r>
              </w:p>
            </w:tc>
            <w:tc>
              <w:tcPr>
                <w:tcW w:w="148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-2.660</w:t>
                </w:r>
              </w:p>
            </w:tc>
            <w:tc>
              <w:tcPr>
                <w:tcW w:w="13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0.894</w:t>
                </w:r>
              </w:p>
            </w:tc>
            <w:tc>
              <w:tcPr>
                <w:tcW w:w="135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0.814</w:t>
                </w:r>
              </w:p>
            </w:tc>
            <w:tc>
              <w:tcPr>
                <w:tcW w:w="171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I(1)</w:t>
                </w:r>
              </w:p>
            </w:tc>
          </w:tr>
          <w:tr w:rsidR="00E438DA">
            <w:trPr>
              <w:trHeight w:val="540"/>
            </w:trPr>
            <w:tc>
              <w:tcPr>
                <w:tcW w:w="1545"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b/>
                  </w:rPr>
                </w:pPr>
                <w:r>
                  <w:rPr>
                    <w:rFonts w:ascii="Times New Roman" w:eastAsia="Times New Roman" w:hAnsi="Times New Roman" w:cs="Times New Roman"/>
                    <w:b/>
                  </w:rPr>
                  <w:t>Δlrgdppc</w:t>
                </w:r>
              </w:p>
            </w:tc>
            <w:tc>
              <w:tcPr>
                <w:tcW w:w="13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-2.792</w:t>
                </w:r>
              </w:p>
            </w:tc>
            <w:tc>
              <w:tcPr>
                <w:tcW w:w="148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-2.660</w:t>
                </w:r>
              </w:p>
            </w:tc>
            <w:tc>
              <w:tcPr>
                <w:tcW w:w="13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-2.694</w:t>
                </w:r>
              </w:p>
            </w:tc>
            <w:tc>
              <w:tcPr>
                <w:tcW w:w="135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0.004</w:t>
                </w:r>
              </w:p>
            </w:tc>
            <w:tc>
              <w:tcPr>
                <w:tcW w:w="171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I(0)</w:t>
                </w:r>
              </w:p>
            </w:tc>
          </w:tr>
          <w:tr w:rsidR="00E438DA">
            <w:trPr>
              <w:trHeight w:val="540"/>
            </w:trPr>
            <w:tc>
              <w:tcPr>
                <w:tcW w:w="1545"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b/>
                  </w:rPr>
                </w:pPr>
                <w:r>
                  <w:rPr>
                    <w:rFonts w:ascii="Times New Roman" w:eastAsia="Times New Roman" w:hAnsi="Times New Roman" w:cs="Times New Roman"/>
                    <w:b/>
                  </w:rPr>
                  <w:t>fdi</w:t>
                </w:r>
              </w:p>
            </w:tc>
            <w:tc>
              <w:tcPr>
                <w:tcW w:w="13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-2.459</w:t>
                </w:r>
              </w:p>
            </w:tc>
            <w:tc>
              <w:tcPr>
                <w:tcW w:w="148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-2.660</w:t>
                </w:r>
              </w:p>
            </w:tc>
            <w:tc>
              <w:tcPr>
                <w:tcW w:w="13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-0.831</w:t>
                </w:r>
              </w:p>
            </w:tc>
            <w:tc>
              <w:tcPr>
                <w:tcW w:w="135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0.203</w:t>
                </w:r>
              </w:p>
            </w:tc>
            <w:tc>
              <w:tcPr>
                <w:tcW w:w="171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I(1)</w:t>
                </w:r>
              </w:p>
            </w:tc>
          </w:tr>
          <w:tr w:rsidR="00E438DA">
            <w:trPr>
              <w:trHeight w:val="540"/>
            </w:trPr>
            <w:tc>
              <w:tcPr>
                <w:tcW w:w="1545"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b/>
                  </w:rPr>
                </w:pPr>
                <w:r>
                  <w:rPr>
                    <w:rFonts w:ascii="Times New Roman" w:eastAsia="Times New Roman" w:hAnsi="Times New Roman" w:cs="Times New Roman"/>
                    <w:b/>
                  </w:rPr>
                  <w:t>Δfdi</w:t>
                </w:r>
              </w:p>
            </w:tc>
            <w:tc>
              <w:tcPr>
                <w:tcW w:w="13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-3.505</w:t>
                </w:r>
              </w:p>
            </w:tc>
            <w:tc>
              <w:tcPr>
                <w:tcW w:w="148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-2.660</w:t>
                </w:r>
              </w:p>
            </w:tc>
            <w:tc>
              <w:tcPr>
                <w:tcW w:w="13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-6.675</w:t>
                </w:r>
              </w:p>
            </w:tc>
            <w:tc>
              <w:tcPr>
                <w:tcW w:w="135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0.000</w:t>
                </w:r>
              </w:p>
            </w:tc>
            <w:tc>
              <w:tcPr>
                <w:tcW w:w="171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I(0)</w:t>
                </w:r>
              </w:p>
            </w:tc>
          </w:tr>
          <w:tr w:rsidR="00E438DA">
            <w:trPr>
              <w:trHeight w:val="540"/>
            </w:trPr>
            <w:tc>
              <w:tcPr>
                <w:tcW w:w="1545"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b/>
                  </w:rPr>
                </w:pPr>
                <w:r>
                  <w:rPr>
                    <w:rFonts w:ascii="Times New Roman" w:eastAsia="Times New Roman" w:hAnsi="Times New Roman" w:cs="Times New Roman"/>
                    <w:b/>
                  </w:rPr>
                  <w:t>lpop</w:t>
                </w:r>
              </w:p>
            </w:tc>
            <w:tc>
              <w:tcPr>
                <w:tcW w:w="13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-2.313</w:t>
                </w:r>
              </w:p>
            </w:tc>
            <w:tc>
              <w:tcPr>
                <w:tcW w:w="148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-2.660</w:t>
                </w:r>
              </w:p>
            </w:tc>
            <w:tc>
              <w:tcPr>
                <w:tcW w:w="13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-0.017</w:t>
                </w:r>
              </w:p>
            </w:tc>
            <w:tc>
              <w:tcPr>
                <w:tcW w:w="135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0.493</w:t>
                </w:r>
              </w:p>
            </w:tc>
            <w:tc>
              <w:tcPr>
                <w:tcW w:w="171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I(1)</w:t>
                </w:r>
              </w:p>
            </w:tc>
          </w:tr>
          <w:tr w:rsidR="00E438DA">
            <w:trPr>
              <w:trHeight w:val="540"/>
            </w:trPr>
            <w:tc>
              <w:tcPr>
                <w:tcW w:w="1545"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b/>
                  </w:rPr>
                </w:pPr>
                <w:r>
                  <w:rPr>
                    <w:rFonts w:ascii="Times New Roman" w:eastAsia="Times New Roman" w:hAnsi="Times New Roman" w:cs="Times New Roman"/>
                    <w:b/>
                  </w:rPr>
                  <w:t>Δlpop</w:t>
                </w:r>
              </w:p>
            </w:tc>
            <w:tc>
              <w:tcPr>
                <w:tcW w:w="13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-3.699</w:t>
                </w:r>
              </w:p>
            </w:tc>
            <w:tc>
              <w:tcPr>
                <w:tcW w:w="148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-2.660</w:t>
                </w:r>
              </w:p>
            </w:tc>
            <w:tc>
              <w:tcPr>
                <w:tcW w:w="13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-7.758</w:t>
                </w:r>
              </w:p>
            </w:tc>
            <w:tc>
              <w:tcPr>
                <w:tcW w:w="135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0.000</w:t>
                </w:r>
              </w:p>
            </w:tc>
            <w:tc>
              <w:tcPr>
                <w:tcW w:w="171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I(0)</w:t>
                </w:r>
              </w:p>
            </w:tc>
          </w:tr>
        </w:tbl>
      </w:sdtContent>
    </w:sdt>
    <w:p w:rsidR="00E438DA" w:rsidRDefault="00E438DA">
      <w:pPr>
        <w:spacing w:before="240" w:after="240"/>
      </w:pPr>
    </w:p>
    <w:p w:rsidR="00E438DA" w:rsidRDefault="00000000">
      <w:pPr>
        <w:spacing w:before="240" w:after="240"/>
        <w:jc w:val="both"/>
        <w:rPr>
          <w:i/>
          <w:sz w:val="16"/>
          <w:szCs w:val="16"/>
        </w:rPr>
      </w:pPr>
      <w:r>
        <w:rPr>
          <w:i/>
          <w:sz w:val="16"/>
          <w:szCs w:val="16"/>
        </w:rPr>
        <w:t xml:space="preserve">ren = Renewable Energy Consumption; </w:t>
      </w:r>
      <w:proofErr w:type="spellStart"/>
      <w:r>
        <w:rPr>
          <w:i/>
          <w:sz w:val="16"/>
          <w:szCs w:val="16"/>
        </w:rPr>
        <w:t>fd</w:t>
      </w:r>
      <w:proofErr w:type="spellEnd"/>
      <w:r>
        <w:rPr>
          <w:i/>
          <w:sz w:val="16"/>
          <w:szCs w:val="16"/>
        </w:rPr>
        <w:t xml:space="preserve"> = Financial Development; </w:t>
      </w:r>
      <w:proofErr w:type="spellStart"/>
      <w:r>
        <w:rPr>
          <w:i/>
          <w:sz w:val="16"/>
          <w:szCs w:val="16"/>
        </w:rPr>
        <w:t>inst</w:t>
      </w:r>
      <w:proofErr w:type="spellEnd"/>
      <w:r>
        <w:rPr>
          <w:i/>
          <w:sz w:val="16"/>
          <w:szCs w:val="16"/>
        </w:rPr>
        <w:t xml:space="preserve"> = Institutional Quality; </w:t>
      </w:r>
      <w:proofErr w:type="spellStart"/>
      <w:r>
        <w:rPr>
          <w:i/>
          <w:sz w:val="16"/>
          <w:szCs w:val="16"/>
        </w:rPr>
        <w:t>fd_inst</w:t>
      </w:r>
      <w:proofErr w:type="spellEnd"/>
      <w:r>
        <w:rPr>
          <w:i/>
          <w:sz w:val="16"/>
          <w:szCs w:val="16"/>
        </w:rPr>
        <w:t xml:space="preserve"> = Interaction term between Financial Development and Institutional Quality; </w:t>
      </w:r>
      <w:proofErr w:type="spellStart"/>
      <w:r>
        <w:rPr>
          <w:i/>
          <w:sz w:val="16"/>
          <w:szCs w:val="16"/>
        </w:rPr>
        <w:t>lrgdppc</w:t>
      </w:r>
      <w:proofErr w:type="spellEnd"/>
      <w:r>
        <w:rPr>
          <w:i/>
          <w:sz w:val="16"/>
          <w:szCs w:val="16"/>
        </w:rPr>
        <w:t xml:space="preserve"> = Log of Real GDP per capita; </w:t>
      </w:r>
      <w:proofErr w:type="spellStart"/>
      <w:r>
        <w:rPr>
          <w:i/>
          <w:sz w:val="16"/>
          <w:szCs w:val="16"/>
        </w:rPr>
        <w:t>fdi</w:t>
      </w:r>
      <w:proofErr w:type="spellEnd"/>
      <w:r>
        <w:rPr>
          <w:i/>
          <w:sz w:val="16"/>
          <w:szCs w:val="16"/>
        </w:rPr>
        <w:t xml:space="preserve"> = Foreign Direct Investment; </w:t>
      </w:r>
      <w:proofErr w:type="spellStart"/>
      <w:r>
        <w:rPr>
          <w:i/>
          <w:sz w:val="16"/>
          <w:szCs w:val="16"/>
        </w:rPr>
        <w:t>lpop</w:t>
      </w:r>
      <w:proofErr w:type="spellEnd"/>
      <w:r>
        <w:rPr>
          <w:i/>
          <w:sz w:val="16"/>
          <w:szCs w:val="16"/>
        </w:rPr>
        <w:t xml:space="preserve"> = Log of Population; Δ = First difference operator; </w:t>
      </w:r>
      <w:proofErr w:type="gramStart"/>
      <w:r>
        <w:rPr>
          <w:i/>
          <w:sz w:val="16"/>
          <w:szCs w:val="16"/>
        </w:rPr>
        <w:t>I(</w:t>
      </w:r>
      <w:proofErr w:type="gramEnd"/>
      <w:r>
        <w:rPr>
          <w:i/>
          <w:sz w:val="16"/>
          <w:szCs w:val="16"/>
        </w:rPr>
        <w:t xml:space="preserve">0) = integrated of order zero, this indicates stationarity at level; </w:t>
      </w:r>
      <w:proofErr w:type="gramStart"/>
      <w:r>
        <w:rPr>
          <w:i/>
          <w:sz w:val="16"/>
          <w:szCs w:val="16"/>
        </w:rPr>
        <w:t>I(</w:t>
      </w:r>
      <w:proofErr w:type="gramEnd"/>
      <w:r>
        <w:rPr>
          <w:i/>
          <w:sz w:val="16"/>
          <w:szCs w:val="16"/>
        </w:rPr>
        <w:t>1) = integrated of order one, this indicates stationarity after first differencing</w:t>
      </w:r>
    </w:p>
    <w:p w:rsidR="00E438DA" w:rsidRDefault="00000000">
      <w:pPr>
        <w:spacing w:before="240" w:after="240"/>
        <w:jc w:val="both"/>
        <w:rPr>
          <w:rFonts w:ascii="Georgia" w:eastAsia="Georgia" w:hAnsi="Georgia" w:cs="Georgia"/>
        </w:rPr>
      </w:pPr>
      <w:r>
        <w:rPr>
          <w:rFonts w:ascii="Georgia" w:eastAsia="Georgia" w:hAnsi="Georgia" w:cs="Georgia"/>
        </w:rPr>
        <w:t xml:space="preserve">Notes: The null hypothesis is that all panels contain a unit root. The critical values for the CADF </w:t>
      </w:r>
      <w:proofErr w:type="spellStart"/>
      <w:r>
        <w:rPr>
          <w:rFonts w:ascii="Georgia" w:eastAsia="Georgia" w:hAnsi="Georgia" w:cs="Georgia"/>
        </w:rPr>
        <w:t>t-bar</w:t>
      </w:r>
      <w:proofErr w:type="spellEnd"/>
      <w:r>
        <w:rPr>
          <w:rFonts w:ascii="Georgia" w:eastAsia="Georgia" w:hAnsi="Georgia" w:cs="Georgia"/>
        </w:rPr>
        <w:t xml:space="preserve"> statistic are from </w:t>
      </w:r>
      <w:proofErr w:type="spellStart"/>
      <w:r>
        <w:rPr>
          <w:rFonts w:ascii="Georgia" w:eastAsia="Georgia" w:hAnsi="Georgia" w:cs="Georgia"/>
        </w:rPr>
        <w:t>Pesaran</w:t>
      </w:r>
      <w:proofErr w:type="spellEnd"/>
      <w:r>
        <w:rPr>
          <w:rFonts w:ascii="Georgia" w:eastAsia="Georgia" w:hAnsi="Georgia" w:cs="Georgia"/>
        </w:rPr>
        <w:t xml:space="preserve"> (2007). Δ denotes first difference. </w:t>
      </w:r>
      <w:proofErr w:type="gramStart"/>
      <w:r>
        <w:rPr>
          <w:rFonts w:ascii="Georgia" w:eastAsia="Georgia" w:hAnsi="Georgia" w:cs="Georgia"/>
        </w:rPr>
        <w:t>I(</w:t>
      </w:r>
      <w:proofErr w:type="gramEnd"/>
      <w:r>
        <w:rPr>
          <w:rFonts w:ascii="Georgia" w:eastAsia="Georgia" w:hAnsi="Georgia" w:cs="Georgia"/>
        </w:rPr>
        <w:t xml:space="preserve">0) indicates stationarity at level, while </w:t>
      </w:r>
      <w:proofErr w:type="gramStart"/>
      <w:r>
        <w:rPr>
          <w:rFonts w:ascii="Georgia" w:eastAsia="Georgia" w:hAnsi="Georgia" w:cs="Georgia"/>
        </w:rPr>
        <w:t>I(</w:t>
      </w:r>
      <w:proofErr w:type="gramEnd"/>
      <w:r>
        <w:rPr>
          <w:rFonts w:ascii="Georgia" w:eastAsia="Georgia" w:hAnsi="Georgia" w:cs="Georgia"/>
        </w:rPr>
        <w:t>1) indicates stationarity after first differencing. N=27, T=22 for levels and T=21 for first differences.</w:t>
      </w:r>
    </w:p>
    <w:p w:rsidR="00E438DA" w:rsidRDefault="00000000">
      <w:pPr>
        <w:spacing w:before="240" w:after="240"/>
        <w:jc w:val="both"/>
        <w:rPr>
          <w:rFonts w:ascii="Georgia" w:eastAsia="Georgia" w:hAnsi="Georgia" w:cs="Georgia"/>
        </w:rPr>
      </w:pPr>
      <w:r>
        <w:rPr>
          <w:rFonts w:ascii="Georgia" w:eastAsia="Georgia" w:hAnsi="Georgia" w:cs="Georgia"/>
        </w:rPr>
        <w:lastRenderedPageBreak/>
        <w:t xml:space="preserve">Tables 9 and 10 present the results of the Cross-Sectionally Augmented Dickey-Fuller (CIPS) unit root tests with intercept only and with intercept and trend, respectively. All variables except </w:t>
      </w:r>
      <w:proofErr w:type="spellStart"/>
      <w:r>
        <w:rPr>
          <w:rFonts w:ascii="Georgia" w:eastAsia="Georgia" w:hAnsi="Georgia" w:cs="Georgia"/>
        </w:rPr>
        <w:t>fdi</w:t>
      </w:r>
      <w:proofErr w:type="spellEnd"/>
      <w:r>
        <w:rPr>
          <w:rFonts w:ascii="Georgia" w:eastAsia="Georgia" w:hAnsi="Georgia" w:cs="Georgia"/>
        </w:rPr>
        <w:t xml:space="preserve"> are non-stationary at levels (p &gt; 0.05) but become stationary after first differencing (p &lt; 0.01), indicating they are integrated of order 1 (</w:t>
      </w:r>
      <w:proofErr w:type="gramStart"/>
      <w:r>
        <w:rPr>
          <w:rFonts w:ascii="Georgia" w:eastAsia="Georgia" w:hAnsi="Georgia" w:cs="Georgia"/>
        </w:rPr>
        <w:t>I(</w:t>
      </w:r>
      <w:proofErr w:type="gramEnd"/>
      <w:r>
        <w:rPr>
          <w:rFonts w:ascii="Georgia" w:eastAsia="Georgia" w:hAnsi="Georgia" w:cs="Georgia"/>
        </w:rPr>
        <w:t>1)). This validates proceeding to cointegration analysis.</w:t>
      </w:r>
    </w:p>
    <w:p w:rsidR="00E438DA" w:rsidRDefault="00000000">
      <w:pPr>
        <w:pStyle w:val="Heading3"/>
        <w:keepNext w:val="0"/>
        <w:keepLines w:val="0"/>
        <w:spacing w:before="280"/>
        <w:jc w:val="both"/>
        <w:rPr>
          <w:b/>
          <w:color w:val="000000"/>
          <w:sz w:val="26"/>
          <w:szCs w:val="26"/>
        </w:rPr>
      </w:pPr>
      <w:bookmarkStart w:id="61" w:name="_heading=h.obj7u8vugo8m" w:colFirst="0" w:colLast="0"/>
      <w:bookmarkEnd w:id="61"/>
      <w:r>
        <w:rPr>
          <w:rFonts w:ascii="Georgia" w:eastAsia="Georgia" w:hAnsi="Georgia" w:cs="Georgia"/>
          <w:color w:val="000000"/>
        </w:rPr>
        <w:t>6.1.4 Cointegration Tests</w:t>
      </w:r>
    </w:p>
    <w:p w:rsidR="00E438DA" w:rsidRDefault="00000000">
      <w:pPr>
        <w:jc w:val="both"/>
      </w:pPr>
      <w:r>
        <w:rPr>
          <w:rFonts w:ascii="Times New Roman" w:eastAsia="Times New Roman" w:hAnsi="Times New Roman" w:cs="Times New Roman"/>
          <w:b/>
          <w:sz w:val="26"/>
          <w:szCs w:val="26"/>
        </w:rPr>
        <w:t xml:space="preserve">Table </w:t>
      </w:r>
      <w:proofErr w:type="gramStart"/>
      <w:r>
        <w:rPr>
          <w:rFonts w:ascii="Times New Roman" w:eastAsia="Times New Roman" w:hAnsi="Times New Roman" w:cs="Times New Roman"/>
          <w:b/>
          <w:sz w:val="26"/>
          <w:szCs w:val="26"/>
        </w:rPr>
        <w:t>11:Westerlund</w:t>
      </w:r>
      <w:proofErr w:type="gramEnd"/>
      <w:r>
        <w:rPr>
          <w:rFonts w:ascii="Times New Roman" w:eastAsia="Times New Roman" w:hAnsi="Times New Roman" w:cs="Times New Roman"/>
          <w:b/>
          <w:sz w:val="26"/>
          <w:szCs w:val="26"/>
        </w:rPr>
        <w:t xml:space="preserve"> ECM Cointegration Tests</w:t>
      </w:r>
    </w:p>
    <w:sdt>
      <w:sdtPr>
        <w:tag w:val="goog_rdk_12"/>
        <w:id w:val="-97712422"/>
        <w:lock w:val="contentLocked"/>
      </w:sdtPr>
      <w:sdtContent>
        <w:tbl>
          <w:tblPr>
            <w:tblStyle w:val="a9"/>
            <w:tblW w:w="88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65"/>
            <w:gridCol w:w="2205"/>
            <w:gridCol w:w="2220"/>
            <w:gridCol w:w="2190"/>
          </w:tblGrid>
          <w:tr w:rsidR="00E438DA">
            <w:trPr>
              <w:trHeight w:val="540"/>
            </w:trPr>
            <w:tc>
              <w:tcPr>
                <w:tcW w:w="22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jc w:val="center"/>
                  <w:rPr>
                    <w:rFonts w:ascii="Times New Roman" w:eastAsia="Times New Roman" w:hAnsi="Times New Roman" w:cs="Times New Roman"/>
                    <w:b/>
                  </w:rPr>
                </w:pPr>
                <w:r>
                  <w:rPr>
                    <w:rFonts w:ascii="Times New Roman" w:eastAsia="Times New Roman" w:hAnsi="Times New Roman" w:cs="Times New Roman"/>
                    <w:b/>
                  </w:rPr>
                  <w:t>Statistic</w:t>
                </w:r>
              </w:p>
            </w:tc>
            <w:tc>
              <w:tcPr>
                <w:tcW w:w="2205" w:type="dxa"/>
                <w:tcBorders>
                  <w:top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jc w:val="center"/>
                  <w:rPr>
                    <w:rFonts w:ascii="Times New Roman" w:eastAsia="Times New Roman" w:hAnsi="Times New Roman" w:cs="Times New Roman"/>
                    <w:b/>
                  </w:rPr>
                </w:pPr>
                <w:r>
                  <w:rPr>
                    <w:rFonts w:ascii="Times New Roman" w:eastAsia="Times New Roman" w:hAnsi="Times New Roman" w:cs="Times New Roman"/>
                    <w:b/>
                  </w:rPr>
                  <w:t>Value</w:t>
                </w:r>
              </w:p>
            </w:tc>
            <w:tc>
              <w:tcPr>
                <w:tcW w:w="2220" w:type="dxa"/>
                <w:tcBorders>
                  <w:top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jc w:val="center"/>
                  <w:rPr>
                    <w:rFonts w:ascii="Times New Roman" w:eastAsia="Times New Roman" w:hAnsi="Times New Roman" w:cs="Times New Roman"/>
                    <w:b/>
                  </w:rPr>
                </w:pPr>
                <w:r>
                  <w:rPr>
                    <w:rFonts w:ascii="Times New Roman" w:eastAsia="Times New Roman" w:hAnsi="Times New Roman" w:cs="Times New Roman"/>
                    <w:b/>
                  </w:rPr>
                  <w:t>Z-value</w:t>
                </w:r>
              </w:p>
            </w:tc>
            <w:tc>
              <w:tcPr>
                <w:tcW w:w="2190" w:type="dxa"/>
                <w:tcBorders>
                  <w:top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jc w:val="center"/>
                  <w:rPr>
                    <w:rFonts w:ascii="Times New Roman" w:eastAsia="Times New Roman" w:hAnsi="Times New Roman" w:cs="Times New Roman"/>
                    <w:b/>
                  </w:rPr>
                </w:pPr>
                <w:r>
                  <w:rPr>
                    <w:rFonts w:ascii="Times New Roman" w:eastAsia="Times New Roman" w:hAnsi="Times New Roman" w:cs="Times New Roman"/>
                    <w:b/>
                  </w:rPr>
                  <w:t>P-value</w:t>
                </w:r>
              </w:p>
            </w:tc>
          </w:tr>
          <w:tr w:rsidR="00E438DA">
            <w:trPr>
              <w:trHeight w:val="540"/>
            </w:trPr>
            <w:tc>
              <w:tcPr>
                <w:tcW w:w="2265"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Gt</w:t>
                </w:r>
              </w:p>
            </w:tc>
            <w:tc>
              <w:tcPr>
                <w:tcW w:w="220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-2.336</w:t>
                </w:r>
              </w:p>
            </w:tc>
            <w:tc>
              <w:tcPr>
                <w:tcW w:w="222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4.679</w:t>
                </w:r>
              </w:p>
            </w:tc>
            <w:tc>
              <w:tcPr>
                <w:tcW w:w="219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1.000</w:t>
                </w:r>
              </w:p>
            </w:tc>
          </w:tr>
          <w:tr w:rsidR="00E438DA">
            <w:trPr>
              <w:trHeight w:val="540"/>
            </w:trPr>
            <w:tc>
              <w:tcPr>
                <w:tcW w:w="2265"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Ga</w:t>
                </w:r>
              </w:p>
            </w:tc>
            <w:tc>
              <w:tcPr>
                <w:tcW w:w="220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-2.081</w:t>
                </w:r>
              </w:p>
            </w:tc>
            <w:tc>
              <w:tcPr>
                <w:tcW w:w="222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10.272</w:t>
                </w:r>
              </w:p>
            </w:tc>
            <w:tc>
              <w:tcPr>
                <w:tcW w:w="219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1.000</w:t>
                </w:r>
              </w:p>
            </w:tc>
          </w:tr>
          <w:tr w:rsidR="00E438DA">
            <w:trPr>
              <w:trHeight w:val="540"/>
            </w:trPr>
            <w:tc>
              <w:tcPr>
                <w:tcW w:w="2265"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Pt</w:t>
                </w:r>
              </w:p>
            </w:tc>
            <w:tc>
              <w:tcPr>
                <w:tcW w:w="220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-6.252</w:t>
                </w:r>
              </w:p>
            </w:tc>
            <w:tc>
              <w:tcPr>
                <w:tcW w:w="222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9.143</w:t>
                </w:r>
              </w:p>
            </w:tc>
            <w:tc>
              <w:tcPr>
                <w:tcW w:w="219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1.000</w:t>
                </w:r>
              </w:p>
            </w:tc>
          </w:tr>
          <w:tr w:rsidR="00E438DA">
            <w:trPr>
              <w:trHeight w:val="540"/>
            </w:trPr>
            <w:tc>
              <w:tcPr>
                <w:tcW w:w="2265"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rPr>
                    <w:rFonts w:ascii="Times New Roman" w:eastAsia="Times New Roman" w:hAnsi="Times New Roman" w:cs="Times New Roman"/>
                  </w:rPr>
                </w:pPr>
                <w:r>
                  <w:rPr>
                    <w:rFonts w:ascii="Times New Roman" w:eastAsia="Times New Roman" w:hAnsi="Times New Roman" w:cs="Times New Roman"/>
                  </w:rPr>
                  <w:t>Pa</w:t>
                </w:r>
              </w:p>
            </w:tc>
            <w:tc>
              <w:tcPr>
                <w:tcW w:w="220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-2.694</w:t>
                </w:r>
              </w:p>
            </w:tc>
            <w:tc>
              <w:tcPr>
                <w:tcW w:w="222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8.137</w:t>
                </w:r>
              </w:p>
            </w:tc>
            <w:tc>
              <w:tcPr>
                <w:tcW w:w="219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right"/>
                  <w:rPr>
                    <w:rFonts w:ascii="Times New Roman" w:eastAsia="Times New Roman" w:hAnsi="Times New Roman" w:cs="Times New Roman"/>
                  </w:rPr>
                </w:pPr>
                <w:r>
                  <w:rPr>
                    <w:rFonts w:ascii="Times New Roman" w:eastAsia="Times New Roman" w:hAnsi="Times New Roman" w:cs="Times New Roman"/>
                  </w:rPr>
                  <w:t>1.000</w:t>
                </w:r>
              </w:p>
            </w:tc>
          </w:tr>
        </w:tbl>
      </w:sdtContent>
    </w:sdt>
    <w:p w:rsidR="00E438DA" w:rsidRDefault="00E438DA"/>
    <w:p w:rsidR="00E438DA" w:rsidRDefault="00000000">
      <w:pPr>
        <w:spacing w:before="240" w:after="240"/>
        <w:jc w:val="both"/>
      </w:pPr>
      <w:r>
        <w:rPr>
          <w:rFonts w:ascii="Times New Roman" w:eastAsia="Times New Roman" w:hAnsi="Times New Roman" w:cs="Times New Roman"/>
          <w:b/>
          <w:sz w:val="26"/>
          <w:szCs w:val="26"/>
        </w:rPr>
        <w:t xml:space="preserve">Table </w:t>
      </w:r>
      <w:proofErr w:type="gramStart"/>
      <w:r>
        <w:rPr>
          <w:rFonts w:ascii="Times New Roman" w:eastAsia="Times New Roman" w:hAnsi="Times New Roman" w:cs="Times New Roman"/>
          <w:b/>
          <w:sz w:val="26"/>
          <w:szCs w:val="26"/>
        </w:rPr>
        <w:t>12:Kao</w:t>
      </w:r>
      <w:proofErr w:type="gramEnd"/>
      <w:r>
        <w:rPr>
          <w:rFonts w:ascii="Times New Roman" w:eastAsia="Times New Roman" w:hAnsi="Times New Roman" w:cs="Times New Roman"/>
          <w:b/>
          <w:sz w:val="26"/>
          <w:szCs w:val="26"/>
        </w:rPr>
        <w:t xml:space="preserve"> Cointegration Test</w:t>
      </w:r>
    </w:p>
    <w:sdt>
      <w:sdtPr>
        <w:tag w:val="goog_rdk_13"/>
        <w:id w:val="698056188"/>
        <w:lock w:val="contentLocked"/>
      </w:sdtPr>
      <w:sdtContent>
        <w:tbl>
          <w:tblPr>
            <w:tblStyle w:val="aa"/>
            <w:tblW w:w="88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030"/>
            <w:gridCol w:w="2940"/>
            <w:gridCol w:w="2895"/>
          </w:tblGrid>
          <w:tr w:rsidR="00E438DA">
            <w:trPr>
              <w:trHeight w:val="540"/>
            </w:trPr>
            <w:tc>
              <w:tcPr>
                <w:tcW w:w="303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jc w:val="center"/>
                  <w:rPr>
                    <w:rFonts w:ascii="Times New Roman" w:eastAsia="Times New Roman" w:hAnsi="Times New Roman" w:cs="Times New Roman"/>
                    <w:b/>
                  </w:rPr>
                </w:pPr>
                <w:r>
                  <w:rPr>
                    <w:rFonts w:ascii="Times New Roman" w:eastAsia="Times New Roman" w:hAnsi="Times New Roman" w:cs="Times New Roman"/>
                    <w:b/>
                  </w:rPr>
                  <w:t>Test</w:t>
                </w:r>
              </w:p>
            </w:tc>
            <w:tc>
              <w:tcPr>
                <w:tcW w:w="2940" w:type="dxa"/>
                <w:tcBorders>
                  <w:top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jc w:val="center"/>
                  <w:rPr>
                    <w:rFonts w:ascii="Times New Roman" w:eastAsia="Times New Roman" w:hAnsi="Times New Roman" w:cs="Times New Roman"/>
                    <w:b/>
                  </w:rPr>
                </w:pPr>
                <w:r>
                  <w:rPr>
                    <w:rFonts w:ascii="Times New Roman" w:eastAsia="Times New Roman" w:hAnsi="Times New Roman" w:cs="Times New Roman"/>
                    <w:b/>
                  </w:rPr>
                  <w:t>Statistic</w:t>
                </w:r>
              </w:p>
            </w:tc>
            <w:tc>
              <w:tcPr>
                <w:tcW w:w="2895" w:type="dxa"/>
                <w:tcBorders>
                  <w:top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jc w:val="center"/>
                  <w:rPr>
                    <w:rFonts w:ascii="Times New Roman" w:eastAsia="Times New Roman" w:hAnsi="Times New Roman" w:cs="Times New Roman"/>
                    <w:b/>
                  </w:rPr>
                </w:pPr>
                <w:r>
                  <w:rPr>
                    <w:rFonts w:ascii="Times New Roman" w:eastAsia="Times New Roman" w:hAnsi="Times New Roman" w:cs="Times New Roman"/>
                    <w:b/>
                  </w:rPr>
                  <w:t>p-value</w:t>
                </w:r>
              </w:p>
            </w:tc>
          </w:tr>
          <w:tr w:rsidR="00E438DA">
            <w:trPr>
              <w:trHeight w:val="540"/>
            </w:trPr>
            <w:tc>
              <w:tcPr>
                <w:tcW w:w="3030"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spacing w:before="240"/>
                  <w:jc w:val="both"/>
                  <w:rPr>
                    <w:rFonts w:ascii="Times New Roman" w:eastAsia="Times New Roman" w:hAnsi="Times New Roman" w:cs="Times New Roman"/>
                  </w:rPr>
                </w:pPr>
                <w:r>
                  <w:rPr>
                    <w:rFonts w:ascii="Times New Roman" w:eastAsia="Times New Roman" w:hAnsi="Times New Roman" w:cs="Times New Roman"/>
                  </w:rPr>
                  <w:t>Augmented Dickey–Fuller t</w:t>
                </w:r>
              </w:p>
            </w:tc>
            <w:tc>
              <w:tcPr>
                <w:tcW w:w="2940"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center"/>
                  <w:rPr>
                    <w:rFonts w:ascii="Times New Roman" w:eastAsia="Times New Roman" w:hAnsi="Times New Roman" w:cs="Times New Roman"/>
                  </w:rPr>
                </w:pPr>
                <w:r>
                  <w:rPr>
                    <w:rFonts w:ascii="Times New Roman" w:eastAsia="Times New Roman" w:hAnsi="Times New Roman" w:cs="Times New Roman"/>
                  </w:rPr>
                  <w:t>-0.0532</w:t>
                </w:r>
              </w:p>
            </w:tc>
            <w:tc>
              <w:tcPr>
                <w:tcW w:w="2895" w:type="dxa"/>
                <w:tcBorders>
                  <w:bottom w:val="single" w:sz="8" w:space="0" w:color="000000"/>
                  <w:right w:val="single" w:sz="8" w:space="0" w:color="000000"/>
                </w:tcBorders>
                <w:tcMar>
                  <w:top w:w="0" w:type="dxa"/>
                  <w:left w:w="100" w:type="dxa"/>
                  <w:bottom w:w="0" w:type="dxa"/>
                  <w:right w:w="100" w:type="dxa"/>
                </w:tcMar>
              </w:tcPr>
              <w:p w:rsidR="00E438DA" w:rsidRDefault="00000000">
                <w:pPr>
                  <w:spacing w:before="240"/>
                  <w:jc w:val="center"/>
                  <w:rPr>
                    <w:rFonts w:ascii="Times New Roman" w:eastAsia="Times New Roman" w:hAnsi="Times New Roman" w:cs="Times New Roman"/>
                  </w:rPr>
                </w:pPr>
                <w:r>
                  <w:rPr>
                    <w:rFonts w:ascii="Times New Roman" w:eastAsia="Times New Roman" w:hAnsi="Times New Roman" w:cs="Times New Roman"/>
                  </w:rPr>
                  <w:t>0.4788</w:t>
                </w:r>
              </w:p>
            </w:tc>
          </w:tr>
        </w:tbl>
      </w:sdtContent>
    </w:sdt>
    <w:p w:rsidR="00E438DA" w:rsidRDefault="00E438DA"/>
    <w:p w:rsidR="00E438DA" w:rsidRDefault="00000000">
      <w:pPr>
        <w:spacing w:before="240" w:after="240"/>
        <w:jc w:val="both"/>
        <w:rPr>
          <w:b/>
          <w:sz w:val="34"/>
          <w:szCs w:val="34"/>
        </w:rPr>
      </w:pPr>
      <w:r>
        <w:rPr>
          <w:rFonts w:ascii="Georgia" w:eastAsia="Georgia" w:hAnsi="Georgia" w:cs="Georgia"/>
        </w:rPr>
        <w:t>Tables 11 and 12 present Westerlund ECM and Kao cointegration test statistics, respectively. Westerlund test cannot reject the null of no cointegration (all p-values = 1.000), perhaps due to scaling problems, cross-sectional dependence, or model misspecification. Likewise, the Kao test cannot detect cointegration (all p-values &gt; 0.05). These findings are in contrast to the original study and indicate cautious interpretation of long-run relationships.</w:t>
      </w:r>
    </w:p>
    <w:p w:rsidR="00E438DA" w:rsidRDefault="00000000">
      <w:pPr>
        <w:pStyle w:val="Heading2"/>
        <w:keepNext w:val="0"/>
        <w:keepLines w:val="0"/>
        <w:spacing w:after="80"/>
        <w:jc w:val="both"/>
        <w:rPr>
          <w:rFonts w:ascii="Georgia" w:eastAsia="Georgia" w:hAnsi="Georgia" w:cs="Georgia"/>
          <w:color w:val="434343"/>
          <w:sz w:val="30"/>
          <w:szCs w:val="30"/>
        </w:rPr>
      </w:pPr>
      <w:bookmarkStart w:id="62" w:name="_heading=h.s0b14jyeoskp" w:colFirst="0" w:colLast="0"/>
      <w:bookmarkEnd w:id="62"/>
      <w:r>
        <w:br w:type="page"/>
      </w:r>
    </w:p>
    <w:p w:rsidR="00E438DA" w:rsidRDefault="00000000">
      <w:pPr>
        <w:pStyle w:val="Heading2"/>
        <w:keepNext w:val="0"/>
        <w:keepLines w:val="0"/>
        <w:spacing w:after="80"/>
        <w:jc w:val="both"/>
        <w:rPr>
          <w:b/>
          <w:sz w:val="34"/>
          <w:szCs w:val="34"/>
        </w:rPr>
      </w:pPr>
      <w:bookmarkStart w:id="63" w:name="_heading=h.vdvj8kmzr06d" w:colFirst="0" w:colLast="0"/>
      <w:bookmarkEnd w:id="63"/>
      <w:r>
        <w:rPr>
          <w:rFonts w:ascii="Georgia" w:eastAsia="Georgia" w:hAnsi="Georgia" w:cs="Georgia"/>
          <w:color w:val="434343"/>
          <w:sz w:val="30"/>
          <w:szCs w:val="30"/>
        </w:rPr>
        <w:lastRenderedPageBreak/>
        <w:t>6.2 Estimation Results</w:t>
      </w:r>
    </w:p>
    <w:p w:rsidR="00E438DA" w:rsidRDefault="00000000">
      <w:pPr>
        <w:pStyle w:val="Heading3"/>
        <w:keepNext w:val="0"/>
        <w:keepLines w:val="0"/>
        <w:spacing w:before="280"/>
        <w:jc w:val="both"/>
        <w:rPr>
          <w:b/>
          <w:color w:val="000000"/>
          <w:sz w:val="26"/>
          <w:szCs w:val="26"/>
        </w:rPr>
      </w:pPr>
      <w:bookmarkStart w:id="64" w:name="_heading=h.q2rmjewmvv0d" w:colFirst="0" w:colLast="0"/>
      <w:bookmarkEnd w:id="64"/>
      <w:r>
        <w:rPr>
          <w:rFonts w:ascii="Georgia" w:eastAsia="Georgia" w:hAnsi="Georgia" w:cs="Georgia"/>
          <w:color w:val="000000"/>
        </w:rPr>
        <w:t>6.2.1 System GMM Regression</w:t>
      </w:r>
    </w:p>
    <w:p w:rsidR="00E438DA" w:rsidRDefault="00000000">
      <w:pPr>
        <w:pStyle w:val="Heading3"/>
        <w:keepNext w:val="0"/>
        <w:keepLines w:val="0"/>
        <w:spacing w:before="280"/>
        <w:jc w:val="both"/>
        <w:rPr>
          <w:rFonts w:ascii="Georgia" w:eastAsia="Georgia" w:hAnsi="Georgia" w:cs="Georgia"/>
          <w:color w:val="000000"/>
          <w:sz w:val="22"/>
          <w:szCs w:val="22"/>
        </w:rPr>
      </w:pPr>
      <w:bookmarkStart w:id="65" w:name="_heading=h.vwsecwgxe8nb" w:colFirst="0" w:colLast="0"/>
      <w:bookmarkEnd w:id="65"/>
      <w:r>
        <w:rPr>
          <w:rFonts w:ascii="Times New Roman" w:eastAsia="Times New Roman" w:hAnsi="Times New Roman" w:cs="Times New Roman"/>
          <w:b/>
          <w:color w:val="000000"/>
          <w:sz w:val="26"/>
          <w:szCs w:val="26"/>
        </w:rPr>
        <w:t xml:space="preserve">Table 13: System GMM Estimation Results </w:t>
      </w:r>
    </w:p>
    <w:sdt>
      <w:sdtPr>
        <w:tag w:val="goog_rdk_14"/>
        <w:id w:val="-1789277337"/>
        <w:lock w:val="contentLocked"/>
      </w:sdtPr>
      <w:sdtContent>
        <w:tbl>
          <w:tblPr>
            <w:tblStyle w:val="ab"/>
            <w:tblW w:w="91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925"/>
            <w:gridCol w:w="3075"/>
            <w:gridCol w:w="3105"/>
          </w:tblGrid>
          <w:tr w:rsidR="00E438DA">
            <w:trPr>
              <w:trHeight w:val="300"/>
            </w:trPr>
            <w:tc>
              <w:tcPr>
                <w:tcW w:w="29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jc w:val="center"/>
                  <w:rPr>
                    <w:rFonts w:ascii="Times New Roman" w:eastAsia="Times New Roman" w:hAnsi="Times New Roman" w:cs="Times New Roman"/>
                    <w:b/>
                  </w:rPr>
                </w:pPr>
                <w:r>
                  <w:rPr>
                    <w:rFonts w:ascii="Times New Roman" w:eastAsia="Times New Roman" w:hAnsi="Times New Roman" w:cs="Times New Roman"/>
                    <w:b/>
                  </w:rPr>
                  <w:t>Variable</w:t>
                </w:r>
              </w:p>
            </w:tc>
            <w:tc>
              <w:tcPr>
                <w:tcW w:w="3075" w:type="dxa"/>
                <w:tcBorders>
                  <w:top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jc w:val="center"/>
                  <w:rPr>
                    <w:rFonts w:ascii="Times New Roman" w:eastAsia="Times New Roman" w:hAnsi="Times New Roman" w:cs="Times New Roman"/>
                    <w:b/>
                  </w:rPr>
                </w:pPr>
                <w:r>
                  <w:rPr>
                    <w:rFonts w:ascii="Times New Roman" w:eastAsia="Times New Roman" w:hAnsi="Times New Roman" w:cs="Times New Roman"/>
                    <w:b/>
                  </w:rPr>
                  <w:t>Without Interaction</w:t>
                </w:r>
              </w:p>
            </w:tc>
            <w:tc>
              <w:tcPr>
                <w:tcW w:w="3105" w:type="dxa"/>
                <w:tcBorders>
                  <w:top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jc w:val="center"/>
                  <w:rPr>
                    <w:rFonts w:ascii="Times New Roman" w:eastAsia="Times New Roman" w:hAnsi="Times New Roman" w:cs="Times New Roman"/>
                    <w:b/>
                  </w:rPr>
                </w:pPr>
                <w:r>
                  <w:rPr>
                    <w:rFonts w:ascii="Times New Roman" w:eastAsia="Times New Roman" w:hAnsi="Times New Roman" w:cs="Times New Roman"/>
                    <w:b/>
                  </w:rPr>
                  <w:t>With Interaction</w:t>
                </w:r>
              </w:p>
            </w:tc>
          </w:tr>
          <w:tr w:rsidR="00E438DA">
            <w:trPr>
              <w:trHeight w:val="300"/>
            </w:trPr>
            <w:tc>
              <w:tcPr>
                <w:tcW w:w="2925"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rPr>
                    <w:rFonts w:ascii="Times New Roman" w:eastAsia="Times New Roman" w:hAnsi="Times New Roman" w:cs="Times New Roman"/>
                  </w:rPr>
                </w:pPr>
                <w:r>
                  <w:rPr>
                    <w:rFonts w:ascii="Times New Roman" w:eastAsia="Times New Roman" w:hAnsi="Times New Roman" w:cs="Times New Roman"/>
                  </w:rPr>
                  <w:t>L.ren</w:t>
                </w:r>
              </w:p>
            </w:tc>
            <w:tc>
              <w:tcPr>
                <w:tcW w:w="3075" w:type="dxa"/>
                <w:tcBorders>
                  <w:bottom w:val="single" w:sz="8" w:space="0" w:color="000000"/>
                  <w:right w:val="single" w:sz="8" w:space="0" w:color="000000"/>
                </w:tcBorders>
                <w:tcMar>
                  <w:top w:w="0" w:type="dxa"/>
                  <w:left w:w="100" w:type="dxa"/>
                  <w:bottom w:w="0" w:type="dxa"/>
                  <w:right w:w="100" w:type="dxa"/>
                </w:tcMar>
              </w:tcPr>
              <w:p w:rsidR="00E438DA"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   0.9308(0.0534)</w:t>
                </w:r>
              </w:p>
            </w:tc>
            <w:tc>
              <w:tcPr>
                <w:tcW w:w="3105" w:type="dxa"/>
                <w:tcBorders>
                  <w:bottom w:val="single" w:sz="8" w:space="0" w:color="000000"/>
                  <w:right w:val="single" w:sz="8" w:space="0" w:color="000000"/>
                </w:tcBorders>
                <w:tcMar>
                  <w:top w:w="0" w:type="dxa"/>
                  <w:left w:w="100" w:type="dxa"/>
                  <w:bottom w:w="0" w:type="dxa"/>
                  <w:right w:w="100" w:type="dxa"/>
                </w:tcMar>
              </w:tcPr>
              <w:p w:rsidR="00E438DA"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   0.9308(0.0534)</w:t>
                </w:r>
              </w:p>
            </w:tc>
          </w:tr>
          <w:tr w:rsidR="00E438DA">
            <w:trPr>
              <w:trHeight w:val="300"/>
            </w:trPr>
            <w:tc>
              <w:tcPr>
                <w:tcW w:w="2925"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rPr>
                    <w:rFonts w:ascii="Times New Roman" w:eastAsia="Times New Roman" w:hAnsi="Times New Roman" w:cs="Times New Roman"/>
                  </w:rPr>
                </w:pPr>
                <w:r>
                  <w:rPr>
                    <w:rFonts w:ascii="Times New Roman" w:eastAsia="Times New Roman" w:hAnsi="Times New Roman" w:cs="Times New Roman"/>
                  </w:rPr>
                  <w:t>fd</w:t>
                </w:r>
              </w:p>
            </w:tc>
            <w:tc>
              <w:tcPr>
                <w:tcW w:w="3075" w:type="dxa"/>
                <w:tcBorders>
                  <w:bottom w:val="single" w:sz="8" w:space="0" w:color="000000"/>
                  <w:right w:val="single" w:sz="8" w:space="0" w:color="000000"/>
                </w:tcBorders>
                <w:tcMar>
                  <w:top w:w="0" w:type="dxa"/>
                  <w:left w:w="100" w:type="dxa"/>
                  <w:bottom w:w="0" w:type="dxa"/>
                  <w:right w:w="100" w:type="dxa"/>
                </w:tcMar>
              </w:tcPr>
              <w:p w:rsidR="00E438DA"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  -4.1142(49.9290)</w:t>
                </w:r>
              </w:p>
            </w:tc>
            <w:tc>
              <w:tcPr>
                <w:tcW w:w="3105" w:type="dxa"/>
                <w:tcBorders>
                  <w:bottom w:val="single" w:sz="8" w:space="0" w:color="000000"/>
                  <w:right w:val="single" w:sz="8" w:space="0" w:color="000000"/>
                </w:tcBorders>
                <w:tcMar>
                  <w:top w:w="0" w:type="dxa"/>
                  <w:left w:w="100" w:type="dxa"/>
                  <w:bottom w:w="0" w:type="dxa"/>
                  <w:right w:w="100" w:type="dxa"/>
                </w:tcMar>
              </w:tcPr>
              <w:p w:rsidR="00E438DA"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  -4.1142(49.9291)</w:t>
                </w:r>
              </w:p>
            </w:tc>
          </w:tr>
          <w:tr w:rsidR="00E438DA">
            <w:trPr>
              <w:trHeight w:val="300"/>
            </w:trPr>
            <w:tc>
              <w:tcPr>
                <w:tcW w:w="2925"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rPr>
                    <w:rFonts w:ascii="Times New Roman" w:eastAsia="Times New Roman" w:hAnsi="Times New Roman" w:cs="Times New Roman"/>
                  </w:rPr>
                </w:pPr>
                <w:r>
                  <w:rPr>
                    <w:rFonts w:ascii="Times New Roman" w:eastAsia="Times New Roman" w:hAnsi="Times New Roman" w:cs="Times New Roman"/>
                  </w:rPr>
                  <w:t>inst</w:t>
                </w:r>
              </w:p>
            </w:tc>
            <w:tc>
              <w:tcPr>
                <w:tcW w:w="3075" w:type="dxa"/>
                <w:tcBorders>
                  <w:bottom w:val="single" w:sz="8" w:space="0" w:color="000000"/>
                  <w:right w:val="single" w:sz="8" w:space="0" w:color="000000"/>
                </w:tcBorders>
                <w:tcMar>
                  <w:top w:w="0" w:type="dxa"/>
                  <w:left w:w="100" w:type="dxa"/>
                  <w:bottom w:w="0" w:type="dxa"/>
                  <w:right w:w="100" w:type="dxa"/>
                </w:tcMar>
              </w:tcPr>
              <w:p w:rsidR="00E438DA"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   1.5577(30.8459)</w:t>
                </w:r>
              </w:p>
            </w:tc>
            <w:tc>
              <w:tcPr>
                <w:tcW w:w="3105" w:type="dxa"/>
                <w:tcBorders>
                  <w:bottom w:val="single" w:sz="8" w:space="0" w:color="000000"/>
                  <w:right w:val="single" w:sz="8" w:space="0" w:color="000000"/>
                </w:tcBorders>
                <w:tcMar>
                  <w:top w:w="0" w:type="dxa"/>
                  <w:left w:w="100" w:type="dxa"/>
                  <w:bottom w:w="0" w:type="dxa"/>
                  <w:right w:w="100" w:type="dxa"/>
                </w:tcMar>
              </w:tcPr>
              <w:p w:rsidR="00E438DA"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   1.5577(30.8460)</w:t>
                </w:r>
              </w:p>
            </w:tc>
          </w:tr>
          <w:tr w:rsidR="00E438DA">
            <w:trPr>
              <w:trHeight w:val="300"/>
            </w:trPr>
            <w:tc>
              <w:tcPr>
                <w:tcW w:w="2925"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rPr>
                    <w:rFonts w:ascii="Times New Roman" w:eastAsia="Times New Roman" w:hAnsi="Times New Roman" w:cs="Times New Roman"/>
                  </w:rPr>
                </w:pPr>
                <w:r>
                  <w:rPr>
                    <w:rFonts w:ascii="Times New Roman" w:eastAsia="Times New Roman" w:hAnsi="Times New Roman" w:cs="Times New Roman"/>
                  </w:rPr>
                  <w:t>fd_inst</w:t>
                </w:r>
              </w:p>
            </w:tc>
            <w:tc>
              <w:tcPr>
                <w:tcW w:w="3075" w:type="dxa"/>
                <w:tcBorders>
                  <w:bottom w:val="single" w:sz="8" w:space="0" w:color="000000"/>
                  <w:right w:val="single" w:sz="8" w:space="0" w:color="000000"/>
                </w:tcBorders>
                <w:tcMar>
                  <w:top w:w="0" w:type="dxa"/>
                  <w:left w:w="100" w:type="dxa"/>
                  <w:bottom w:w="0" w:type="dxa"/>
                  <w:right w:w="100" w:type="dxa"/>
                </w:tcMar>
              </w:tcPr>
              <w:p w:rsidR="00E438DA"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  -0.0916(2.3246)</w:t>
                </w:r>
              </w:p>
            </w:tc>
            <w:tc>
              <w:tcPr>
                <w:tcW w:w="3105" w:type="dxa"/>
                <w:tcBorders>
                  <w:bottom w:val="single" w:sz="8" w:space="0" w:color="000000"/>
                  <w:right w:val="single" w:sz="8" w:space="0" w:color="000000"/>
                </w:tcBorders>
                <w:tcMar>
                  <w:top w:w="0" w:type="dxa"/>
                  <w:left w:w="100" w:type="dxa"/>
                  <w:bottom w:w="0" w:type="dxa"/>
                  <w:right w:w="100" w:type="dxa"/>
                </w:tcMar>
              </w:tcPr>
              <w:p w:rsidR="00E438DA"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  14.1960(111.6267)</w:t>
                </w:r>
              </w:p>
            </w:tc>
          </w:tr>
          <w:tr w:rsidR="00E438DA">
            <w:trPr>
              <w:trHeight w:val="300"/>
            </w:trPr>
            <w:tc>
              <w:tcPr>
                <w:tcW w:w="2925"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rPr>
                    <w:rFonts w:ascii="Times New Roman" w:eastAsia="Times New Roman" w:hAnsi="Times New Roman" w:cs="Times New Roman"/>
                  </w:rPr>
                </w:pPr>
                <w:r>
                  <w:rPr>
                    <w:rFonts w:ascii="Times New Roman" w:eastAsia="Times New Roman" w:hAnsi="Times New Roman" w:cs="Times New Roman"/>
                  </w:rPr>
                  <w:t>lrgdppc</w:t>
                </w:r>
              </w:p>
            </w:tc>
            <w:tc>
              <w:tcPr>
                <w:tcW w:w="3075" w:type="dxa"/>
                <w:tcBorders>
                  <w:bottom w:val="single" w:sz="8" w:space="0" w:color="000000"/>
                  <w:right w:val="single" w:sz="8" w:space="0" w:color="000000"/>
                </w:tcBorders>
                <w:tcMar>
                  <w:top w:w="0" w:type="dxa"/>
                  <w:left w:w="100" w:type="dxa"/>
                  <w:bottom w:w="0" w:type="dxa"/>
                  <w:right w:w="100" w:type="dxa"/>
                </w:tcMar>
              </w:tcPr>
              <w:p w:rsidR="00E438DA"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  -0.1589(0.1668)</w:t>
                </w:r>
              </w:p>
            </w:tc>
            <w:tc>
              <w:tcPr>
                <w:tcW w:w="3105" w:type="dxa"/>
                <w:tcBorders>
                  <w:bottom w:val="single" w:sz="8" w:space="0" w:color="000000"/>
                  <w:right w:val="single" w:sz="8" w:space="0" w:color="000000"/>
                </w:tcBorders>
                <w:tcMar>
                  <w:top w:w="0" w:type="dxa"/>
                  <w:left w:w="100" w:type="dxa"/>
                  <w:bottom w:w="0" w:type="dxa"/>
                  <w:right w:w="100" w:type="dxa"/>
                </w:tcMar>
              </w:tcPr>
              <w:p w:rsidR="00E438DA"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  -0.0916(2.3246)</w:t>
                </w:r>
              </w:p>
            </w:tc>
          </w:tr>
          <w:tr w:rsidR="00E438DA">
            <w:trPr>
              <w:trHeight w:val="300"/>
            </w:trPr>
            <w:tc>
              <w:tcPr>
                <w:tcW w:w="2925"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rPr>
                    <w:rFonts w:ascii="Times New Roman" w:eastAsia="Times New Roman" w:hAnsi="Times New Roman" w:cs="Times New Roman"/>
                  </w:rPr>
                </w:pPr>
                <w:r>
                  <w:rPr>
                    <w:rFonts w:ascii="Times New Roman" w:eastAsia="Times New Roman" w:hAnsi="Times New Roman" w:cs="Times New Roman"/>
                  </w:rPr>
                  <w:t>fdi</w:t>
                </w:r>
              </w:p>
            </w:tc>
            <w:tc>
              <w:tcPr>
                <w:tcW w:w="3075" w:type="dxa"/>
                <w:tcBorders>
                  <w:bottom w:val="single" w:sz="8" w:space="0" w:color="000000"/>
                  <w:right w:val="single" w:sz="8" w:space="0" w:color="000000"/>
                </w:tcBorders>
                <w:tcMar>
                  <w:top w:w="0" w:type="dxa"/>
                  <w:left w:w="100" w:type="dxa"/>
                  <w:bottom w:w="0" w:type="dxa"/>
                  <w:right w:w="100" w:type="dxa"/>
                </w:tcMar>
              </w:tcPr>
              <w:p w:rsidR="00E438DA"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  -2.6121(6.2764)</w:t>
                </w:r>
              </w:p>
            </w:tc>
            <w:tc>
              <w:tcPr>
                <w:tcW w:w="3105" w:type="dxa"/>
                <w:tcBorders>
                  <w:bottom w:val="single" w:sz="8" w:space="0" w:color="000000"/>
                  <w:right w:val="single" w:sz="8" w:space="0" w:color="000000"/>
                </w:tcBorders>
                <w:tcMar>
                  <w:top w:w="0" w:type="dxa"/>
                  <w:left w:w="100" w:type="dxa"/>
                  <w:bottom w:w="0" w:type="dxa"/>
                  <w:right w:w="100" w:type="dxa"/>
                </w:tcMar>
              </w:tcPr>
              <w:p w:rsidR="00E438DA"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  -0.1589(0.1668)</w:t>
                </w:r>
              </w:p>
            </w:tc>
          </w:tr>
          <w:tr w:rsidR="00E438DA">
            <w:trPr>
              <w:trHeight w:val="300"/>
            </w:trPr>
            <w:tc>
              <w:tcPr>
                <w:tcW w:w="2925"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rPr>
                    <w:rFonts w:ascii="Times New Roman" w:eastAsia="Times New Roman" w:hAnsi="Times New Roman" w:cs="Times New Roman"/>
                  </w:rPr>
                </w:pPr>
                <w:r>
                  <w:rPr>
                    <w:rFonts w:ascii="Times New Roman" w:eastAsia="Times New Roman" w:hAnsi="Times New Roman" w:cs="Times New Roman"/>
                  </w:rPr>
                  <w:t>lpop</w:t>
                </w:r>
              </w:p>
            </w:tc>
            <w:tc>
              <w:tcPr>
                <w:tcW w:w="3075" w:type="dxa"/>
                <w:tcBorders>
                  <w:bottom w:val="single" w:sz="8" w:space="0" w:color="000000"/>
                  <w:right w:val="single" w:sz="8" w:space="0" w:color="000000"/>
                </w:tcBorders>
                <w:tcMar>
                  <w:top w:w="0" w:type="dxa"/>
                  <w:left w:w="100" w:type="dxa"/>
                  <w:bottom w:w="0" w:type="dxa"/>
                  <w:right w:w="100" w:type="dxa"/>
                </w:tcMar>
              </w:tcPr>
              <w:p w:rsidR="00E438DA"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   0.0022</w:t>
                </w:r>
              </w:p>
            </w:tc>
            <w:tc>
              <w:tcPr>
                <w:tcW w:w="3105" w:type="dxa"/>
                <w:tcBorders>
                  <w:bottom w:val="single" w:sz="8" w:space="0" w:color="000000"/>
                  <w:right w:val="single" w:sz="8" w:space="0" w:color="000000"/>
                </w:tcBorders>
                <w:tcMar>
                  <w:top w:w="0" w:type="dxa"/>
                  <w:left w:w="100" w:type="dxa"/>
                  <w:bottom w:w="0" w:type="dxa"/>
                  <w:right w:w="100" w:type="dxa"/>
                </w:tcMar>
              </w:tcPr>
              <w:p w:rsidR="00E438DA"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   0.0022</w:t>
                </w:r>
              </w:p>
            </w:tc>
          </w:tr>
          <w:tr w:rsidR="00E438DA">
            <w:trPr>
              <w:trHeight w:val="300"/>
            </w:trPr>
            <w:tc>
              <w:tcPr>
                <w:tcW w:w="2925"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rPr>
                    <w:rFonts w:ascii="Times New Roman" w:eastAsia="Times New Roman" w:hAnsi="Times New Roman" w:cs="Times New Roman"/>
                  </w:rPr>
                </w:pPr>
                <w:r>
                  <w:rPr>
                    <w:rFonts w:ascii="Times New Roman" w:eastAsia="Times New Roman" w:hAnsi="Times New Roman" w:cs="Times New Roman"/>
                  </w:rPr>
                  <w:t>AR(1)</w:t>
                </w:r>
              </w:p>
            </w:tc>
            <w:tc>
              <w:tcPr>
                <w:tcW w:w="3075" w:type="dxa"/>
                <w:tcBorders>
                  <w:bottom w:val="single" w:sz="8" w:space="0" w:color="000000"/>
                  <w:right w:val="single" w:sz="8" w:space="0" w:color="000000"/>
                </w:tcBorders>
                <w:tcMar>
                  <w:top w:w="0" w:type="dxa"/>
                  <w:left w:w="100" w:type="dxa"/>
                  <w:bottom w:w="0" w:type="dxa"/>
                  <w:right w:w="100" w:type="dxa"/>
                </w:tcMar>
              </w:tcPr>
              <w:p w:rsidR="00E438DA"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   0.6550</w:t>
                </w:r>
              </w:p>
            </w:tc>
            <w:tc>
              <w:tcPr>
                <w:tcW w:w="3105" w:type="dxa"/>
                <w:tcBorders>
                  <w:bottom w:val="single" w:sz="8" w:space="0" w:color="000000"/>
                  <w:right w:val="single" w:sz="8" w:space="0" w:color="000000"/>
                </w:tcBorders>
                <w:tcMar>
                  <w:top w:w="0" w:type="dxa"/>
                  <w:left w:w="100" w:type="dxa"/>
                  <w:bottom w:w="0" w:type="dxa"/>
                  <w:right w:w="100" w:type="dxa"/>
                </w:tcMar>
              </w:tcPr>
              <w:p w:rsidR="00E438DA"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   0.6550</w:t>
                </w:r>
              </w:p>
            </w:tc>
          </w:tr>
        </w:tbl>
      </w:sdtContent>
    </w:sdt>
    <w:p w:rsidR="00E438DA" w:rsidRDefault="00000000">
      <w:pPr>
        <w:spacing w:before="240" w:after="240"/>
        <w:jc w:val="both"/>
        <w:rPr>
          <w:i/>
          <w:sz w:val="16"/>
          <w:szCs w:val="16"/>
        </w:rPr>
      </w:pPr>
      <w:r>
        <w:t xml:space="preserve"> </w:t>
      </w:r>
      <w:proofErr w:type="spellStart"/>
      <w:r>
        <w:rPr>
          <w:i/>
          <w:sz w:val="16"/>
          <w:szCs w:val="16"/>
        </w:rPr>
        <w:t>L.ren</w:t>
      </w:r>
      <w:proofErr w:type="spellEnd"/>
      <w:r>
        <w:rPr>
          <w:i/>
          <w:sz w:val="16"/>
          <w:szCs w:val="16"/>
        </w:rPr>
        <w:t xml:space="preserve"> = Lagged value of Renewable Energy Consumption; </w:t>
      </w:r>
      <w:proofErr w:type="spellStart"/>
      <w:r>
        <w:rPr>
          <w:i/>
          <w:sz w:val="16"/>
          <w:szCs w:val="16"/>
        </w:rPr>
        <w:t>fd</w:t>
      </w:r>
      <w:proofErr w:type="spellEnd"/>
      <w:r>
        <w:rPr>
          <w:i/>
          <w:sz w:val="16"/>
          <w:szCs w:val="16"/>
        </w:rPr>
        <w:t xml:space="preserve"> = Financial Development; </w:t>
      </w:r>
      <w:proofErr w:type="spellStart"/>
      <w:r>
        <w:rPr>
          <w:i/>
          <w:sz w:val="16"/>
          <w:szCs w:val="16"/>
        </w:rPr>
        <w:t>inst</w:t>
      </w:r>
      <w:proofErr w:type="spellEnd"/>
      <w:r>
        <w:rPr>
          <w:i/>
          <w:sz w:val="16"/>
          <w:szCs w:val="16"/>
        </w:rPr>
        <w:t xml:space="preserve"> = Institutional Quality; </w:t>
      </w:r>
      <w:proofErr w:type="spellStart"/>
      <w:r>
        <w:rPr>
          <w:i/>
          <w:sz w:val="16"/>
          <w:szCs w:val="16"/>
        </w:rPr>
        <w:t>fd_inst</w:t>
      </w:r>
      <w:proofErr w:type="spellEnd"/>
      <w:r>
        <w:rPr>
          <w:i/>
          <w:sz w:val="16"/>
          <w:szCs w:val="16"/>
        </w:rPr>
        <w:t xml:space="preserve"> = Interaction term between Financial Development and Institutional Quality; </w:t>
      </w:r>
      <w:proofErr w:type="spellStart"/>
      <w:r>
        <w:rPr>
          <w:i/>
          <w:sz w:val="16"/>
          <w:szCs w:val="16"/>
        </w:rPr>
        <w:t>lrgdppc</w:t>
      </w:r>
      <w:proofErr w:type="spellEnd"/>
      <w:r>
        <w:rPr>
          <w:i/>
          <w:sz w:val="16"/>
          <w:szCs w:val="16"/>
        </w:rPr>
        <w:t xml:space="preserve"> = Log of Real GDP per capita; </w:t>
      </w:r>
      <w:proofErr w:type="spellStart"/>
      <w:r>
        <w:rPr>
          <w:i/>
          <w:sz w:val="16"/>
          <w:szCs w:val="16"/>
        </w:rPr>
        <w:t>fdi</w:t>
      </w:r>
      <w:proofErr w:type="spellEnd"/>
      <w:r>
        <w:rPr>
          <w:i/>
          <w:sz w:val="16"/>
          <w:szCs w:val="16"/>
        </w:rPr>
        <w:t xml:space="preserve"> = Foreign Direct Investment; </w:t>
      </w:r>
      <w:proofErr w:type="spellStart"/>
      <w:r>
        <w:rPr>
          <w:i/>
          <w:sz w:val="16"/>
          <w:szCs w:val="16"/>
        </w:rPr>
        <w:t>lpop</w:t>
      </w:r>
      <w:proofErr w:type="spellEnd"/>
      <w:r>
        <w:rPr>
          <w:i/>
          <w:sz w:val="16"/>
          <w:szCs w:val="16"/>
        </w:rPr>
        <w:t xml:space="preserve"> = Log of Population; </w:t>
      </w:r>
      <w:proofErr w:type="gramStart"/>
      <w:r>
        <w:rPr>
          <w:i/>
          <w:sz w:val="16"/>
          <w:szCs w:val="16"/>
        </w:rPr>
        <w:t>AR(</w:t>
      </w:r>
      <w:proofErr w:type="gramEnd"/>
      <w:r>
        <w:rPr>
          <w:i/>
          <w:sz w:val="16"/>
          <w:szCs w:val="16"/>
        </w:rPr>
        <w:t>1) = First-order autocorrelation test; GMM = Generalized Method of Moments</w:t>
      </w:r>
    </w:p>
    <w:p w:rsidR="00E438DA" w:rsidRDefault="00000000">
      <w:pPr>
        <w:spacing w:before="240" w:after="240"/>
        <w:jc w:val="both"/>
      </w:pPr>
      <w:r>
        <w:rPr>
          <w:rFonts w:ascii="Georgia" w:eastAsia="Georgia" w:hAnsi="Georgia" w:cs="Georgia"/>
        </w:rPr>
        <w:t>Note: Standard errors in parentheses</w:t>
      </w:r>
      <w:r>
        <w:t>.</w:t>
      </w:r>
    </w:p>
    <w:p w:rsidR="00E438DA" w:rsidRDefault="00000000">
      <w:pPr>
        <w:jc w:val="both"/>
        <w:rPr>
          <w:rFonts w:ascii="Georgia" w:eastAsia="Georgia" w:hAnsi="Georgia" w:cs="Georgia"/>
        </w:rPr>
      </w:pPr>
      <w:r>
        <w:rPr>
          <w:rFonts w:ascii="Georgia" w:eastAsia="Georgia" w:hAnsi="Georgia" w:cs="Georgia"/>
        </w:rPr>
        <w:t>Table 13 displays the results of System GMM regression both with and without interaction term. The persistence is very high for the lagged renewable energy variable (0.939*** without interaction, 0.931*** with interaction), meaning past renewable energy levels significantly forecast current levels. Financial development has a weak positive impact without interaction (4.52, p = 0.710) and a weak negative impact with interaction (-4.11, p = 0.934). The interaction term is also not significant (14.20, p = 0.899), indicating no moderating influence of institutions on financial development. Although diagnostic tests confirm model validity (</w:t>
      </w:r>
      <w:proofErr w:type="gramStart"/>
      <w:r>
        <w:rPr>
          <w:rFonts w:ascii="Georgia" w:eastAsia="Georgia" w:hAnsi="Georgia" w:cs="Georgia"/>
        </w:rPr>
        <w:t>AR(</w:t>
      </w:r>
      <w:proofErr w:type="gramEnd"/>
      <w:r>
        <w:rPr>
          <w:rFonts w:ascii="Georgia" w:eastAsia="Georgia" w:hAnsi="Georgia" w:cs="Georgia"/>
        </w:rPr>
        <w:t>2): p &gt; 0.6), instrument proliferation (375-434 instruments) compromises Hansen test reliability.</w:t>
      </w:r>
    </w:p>
    <w:p w:rsidR="00E438DA" w:rsidRDefault="00E438DA">
      <w:pPr>
        <w:pStyle w:val="Heading3"/>
        <w:keepNext w:val="0"/>
        <w:keepLines w:val="0"/>
        <w:pBdr>
          <w:top w:val="nil"/>
          <w:left w:val="nil"/>
          <w:bottom w:val="nil"/>
          <w:right w:val="nil"/>
          <w:between w:val="nil"/>
        </w:pBdr>
        <w:spacing w:before="280"/>
        <w:rPr>
          <w:rFonts w:ascii="Georgia" w:eastAsia="Georgia" w:hAnsi="Georgia" w:cs="Georgia"/>
          <w:color w:val="000000"/>
        </w:rPr>
      </w:pPr>
      <w:bookmarkStart w:id="66" w:name="_heading=h.hyhvbrx4zr28" w:colFirst="0" w:colLast="0"/>
      <w:bookmarkEnd w:id="66"/>
    </w:p>
    <w:p w:rsidR="00E438DA" w:rsidRDefault="00000000">
      <w:pPr>
        <w:pStyle w:val="Heading3"/>
        <w:keepNext w:val="0"/>
        <w:keepLines w:val="0"/>
        <w:pBdr>
          <w:top w:val="nil"/>
          <w:left w:val="nil"/>
          <w:bottom w:val="nil"/>
          <w:right w:val="nil"/>
          <w:between w:val="nil"/>
        </w:pBdr>
        <w:spacing w:before="280"/>
        <w:rPr>
          <w:rFonts w:ascii="Georgia" w:eastAsia="Georgia" w:hAnsi="Georgia" w:cs="Georgia"/>
          <w:color w:val="000000"/>
        </w:rPr>
      </w:pPr>
      <w:bookmarkStart w:id="67" w:name="_heading=h.yqdi3e0x8ak" w:colFirst="0" w:colLast="0"/>
      <w:bookmarkEnd w:id="67"/>
      <w:r>
        <w:rPr>
          <w:rFonts w:ascii="Georgia" w:eastAsia="Georgia" w:hAnsi="Georgia" w:cs="Georgia"/>
          <w:color w:val="000000"/>
        </w:rPr>
        <w:t>6.2.2 Driscoll-Kraay Fixed Effects Regression</w:t>
      </w:r>
    </w:p>
    <w:p w:rsidR="00E438DA" w:rsidRDefault="00000000">
      <w:pPr>
        <w:pStyle w:val="Heading3"/>
        <w:keepNext w:val="0"/>
        <w:keepLines w:val="0"/>
        <w:widowControl w:val="0"/>
        <w:pBdr>
          <w:top w:val="nil"/>
          <w:left w:val="nil"/>
          <w:bottom w:val="nil"/>
          <w:right w:val="nil"/>
          <w:between w:val="nil"/>
        </w:pBdr>
        <w:spacing w:before="280" w:line="240" w:lineRule="auto"/>
        <w:rPr>
          <w:rFonts w:ascii="Georgia" w:eastAsia="Georgia" w:hAnsi="Georgia" w:cs="Georgia"/>
          <w:color w:val="000000"/>
          <w:sz w:val="24"/>
          <w:szCs w:val="24"/>
        </w:rPr>
      </w:pPr>
      <w:bookmarkStart w:id="68" w:name="_heading=h.kxofc4n5q5a8" w:colFirst="0" w:colLast="0"/>
      <w:bookmarkEnd w:id="68"/>
      <w:r>
        <w:rPr>
          <w:rFonts w:ascii="Times New Roman" w:eastAsia="Times New Roman" w:hAnsi="Times New Roman" w:cs="Times New Roman"/>
          <w:b/>
          <w:color w:val="000000"/>
          <w:sz w:val="26"/>
          <w:szCs w:val="26"/>
        </w:rPr>
        <w:t>Table 14: Driscoll-Kraay Estimator Results</w:t>
      </w:r>
    </w:p>
    <w:p w:rsidR="00E438DA" w:rsidRDefault="00000000">
      <w:pPr>
        <w:widowControl w:val="0"/>
        <w:spacing w:before="240" w:after="240" w:line="240" w:lineRule="auto"/>
        <w:jc w:val="both"/>
        <w:rPr>
          <w:b/>
          <w:sz w:val="16"/>
          <w:szCs w:val="16"/>
        </w:rPr>
      </w:pPr>
      <w:r>
        <w:rPr>
          <w:rFonts w:ascii="Times New Roman" w:eastAsia="Times New Roman" w:hAnsi="Times New Roman" w:cs="Times New Roman"/>
          <w:b/>
          <w:sz w:val="20"/>
          <w:szCs w:val="20"/>
        </w:rPr>
        <w:t>Model 1: Without Interaction Term</w:t>
      </w:r>
    </w:p>
    <w:sdt>
      <w:sdtPr>
        <w:tag w:val="goog_rdk_15"/>
        <w:id w:val="-1846470780"/>
        <w:lock w:val="contentLocked"/>
      </w:sdtPr>
      <w:sdtContent>
        <w:tbl>
          <w:tblPr>
            <w:tblStyle w:val="ac"/>
            <w:tblW w:w="91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260"/>
            <w:gridCol w:w="1440"/>
            <w:gridCol w:w="1335"/>
            <w:gridCol w:w="1170"/>
            <w:gridCol w:w="1170"/>
            <w:gridCol w:w="1380"/>
            <w:gridCol w:w="1380"/>
          </w:tblGrid>
          <w:tr w:rsidR="00E438DA">
            <w:trPr>
              <w:trHeight w:val="285"/>
            </w:trPr>
            <w:tc>
              <w:tcPr>
                <w:tcW w:w="1260" w:type="dxa"/>
                <w:tcBorders>
                  <w:bottom w:val="single" w:sz="8" w:space="0" w:color="000000"/>
                  <w:right w:val="single" w:sz="8" w:space="0" w:color="000000"/>
                </w:tcBorders>
                <w:tcMar>
                  <w:top w:w="0" w:type="dxa"/>
                  <w:left w:w="100" w:type="dxa"/>
                  <w:bottom w:w="0" w:type="dxa"/>
                  <w:right w:w="100" w:type="dxa"/>
                </w:tcMar>
              </w:tcPr>
              <w:p w:rsidR="00E438DA" w:rsidRDefault="00000000">
                <w:pPr>
                  <w:jc w:val="right"/>
                  <w:rPr>
                    <w:b/>
                  </w:rPr>
                </w:pPr>
                <w:r>
                  <w:rPr>
                    <w:b/>
                  </w:rPr>
                  <w:t>Variable</w:t>
                </w:r>
              </w:p>
            </w:tc>
            <w:tc>
              <w:tcPr>
                <w:tcW w:w="1440" w:type="dxa"/>
                <w:tcBorders>
                  <w:bottom w:val="single" w:sz="8" w:space="0" w:color="000000"/>
                </w:tcBorders>
                <w:tcMar>
                  <w:top w:w="0" w:type="dxa"/>
                  <w:left w:w="100" w:type="dxa"/>
                  <w:bottom w:w="0" w:type="dxa"/>
                  <w:right w:w="100" w:type="dxa"/>
                </w:tcMar>
              </w:tcPr>
              <w:p w:rsidR="00E438DA" w:rsidRDefault="00000000">
                <w:pPr>
                  <w:jc w:val="right"/>
                  <w:rPr>
                    <w:b/>
                  </w:rPr>
                </w:pPr>
                <w:r>
                  <w:rPr>
                    <w:b/>
                  </w:rPr>
                  <w:t>Coefficient</w:t>
                </w:r>
              </w:p>
            </w:tc>
            <w:tc>
              <w:tcPr>
                <w:tcW w:w="1335" w:type="dxa"/>
                <w:tcBorders>
                  <w:bottom w:val="single" w:sz="8" w:space="0" w:color="000000"/>
                </w:tcBorders>
                <w:tcMar>
                  <w:top w:w="0" w:type="dxa"/>
                  <w:left w:w="100" w:type="dxa"/>
                  <w:bottom w:w="0" w:type="dxa"/>
                  <w:right w:w="100" w:type="dxa"/>
                </w:tcMar>
              </w:tcPr>
              <w:p w:rsidR="00E438DA" w:rsidRDefault="00000000">
                <w:pPr>
                  <w:jc w:val="right"/>
                  <w:rPr>
                    <w:b/>
                  </w:rPr>
                </w:pPr>
                <w:r>
                  <w:rPr>
                    <w:b/>
                  </w:rPr>
                  <w:t>std. err.</w:t>
                </w:r>
              </w:p>
            </w:tc>
            <w:tc>
              <w:tcPr>
                <w:tcW w:w="1170" w:type="dxa"/>
                <w:tcBorders>
                  <w:bottom w:val="single" w:sz="8" w:space="0" w:color="000000"/>
                </w:tcBorders>
                <w:tcMar>
                  <w:top w:w="0" w:type="dxa"/>
                  <w:left w:w="100" w:type="dxa"/>
                  <w:bottom w:w="0" w:type="dxa"/>
                  <w:right w:w="100" w:type="dxa"/>
                </w:tcMar>
              </w:tcPr>
              <w:p w:rsidR="00E438DA" w:rsidRDefault="00000000">
                <w:pPr>
                  <w:jc w:val="right"/>
                  <w:rPr>
                    <w:b/>
                  </w:rPr>
                </w:pPr>
                <w:r>
                  <w:rPr>
                    <w:b/>
                  </w:rPr>
                  <w:t>t</w:t>
                </w:r>
              </w:p>
            </w:tc>
            <w:tc>
              <w:tcPr>
                <w:tcW w:w="1170" w:type="dxa"/>
                <w:tcBorders>
                  <w:bottom w:val="single" w:sz="8" w:space="0" w:color="000000"/>
                </w:tcBorders>
                <w:tcMar>
                  <w:top w:w="0" w:type="dxa"/>
                  <w:left w:w="100" w:type="dxa"/>
                  <w:bottom w:w="0" w:type="dxa"/>
                  <w:right w:w="100" w:type="dxa"/>
                </w:tcMar>
              </w:tcPr>
              <w:p w:rsidR="00E438DA" w:rsidRDefault="00000000">
                <w:pPr>
                  <w:jc w:val="right"/>
                  <w:rPr>
                    <w:b/>
                  </w:rPr>
                </w:pPr>
                <w:r>
                  <w:rPr>
                    <w:b/>
                  </w:rPr>
                  <w:t>P&gt;|t|</w:t>
                </w:r>
              </w:p>
            </w:tc>
            <w:tc>
              <w:tcPr>
                <w:tcW w:w="2760" w:type="dxa"/>
                <w:gridSpan w:val="2"/>
                <w:tcBorders>
                  <w:bottom w:val="single" w:sz="8" w:space="0" w:color="000000"/>
                </w:tcBorders>
                <w:tcMar>
                  <w:top w:w="0" w:type="dxa"/>
                  <w:left w:w="100" w:type="dxa"/>
                  <w:bottom w:w="0" w:type="dxa"/>
                  <w:right w:w="100" w:type="dxa"/>
                </w:tcMar>
              </w:tcPr>
              <w:p w:rsidR="00E438DA" w:rsidRDefault="00000000">
                <w:pPr>
                  <w:jc w:val="right"/>
                  <w:rPr>
                    <w:b/>
                  </w:rPr>
                </w:pPr>
                <w:r>
                  <w:rPr>
                    <w:b/>
                  </w:rPr>
                  <w:t>[95% conf. interval]</w:t>
                </w:r>
              </w:p>
            </w:tc>
          </w:tr>
          <w:tr w:rsidR="00E438DA">
            <w:trPr>
              <w:trHeight w:val="285"/>
            </w:trPr>
            <w:tc>
              <w:tcPr>
                <w:tcW w:w="1260" w:type="dxa"/>
                <w:tcBorders>
                  <w:right w:val="single" w:sz="8" w:space="0" w:color="000000"/>
                </w:tcBorders>
                <w:shd w:val="clear" w:color="auto" w:fill="auto"/>
                <w:tcMar>
                  <w:top w:w="0" w:type="dxa"/>
                  <w:left w:w="100" w:type="dxa"/>
                  <w:bottom w:w="0" w:type="dxa"/>
                  <w:right w:w="100" w:type="dxa"/>
                </w:tcMar>
              </w:tcPr>
              <w:p w:rsidR="00E438DA" w:rsidRDefault="00000000">
                <w:pPr>
                  <w:jc w:val="right"/>
                  <w:rPr>
                    <w:b/>
                  </w:rPr>
                </w:pPr>
                <w:r>
                  <w:rPr>
                    <w:b/>
                  </w:rPr>
                  <w:t>fd</w:t>
                </w:r>
              </w:p>
            </w:tc>
            <w:tc>
              <w:tcPr>
                <w:tcW w:w="1440" w:type="dxa"/>
                <w:shd w:val="clear" w:color="auto" w:fill="auto"/>
                <w:tcMar>
                  <w:top w:w="0" w:type="dxa"/>
                  <w:left w:w="100" w:type="dxa"/>
                  <w:bottom w:w="0" w:type="dxa"/>
                  <w:right w:w="100" w:type="dxa"/>
                </w:tcMar>
              </w:tcPr>
              <w:p w:rsidR="00E438DA" w:rsidRDefault="00000000">
                <w:pPr>
                  <w:jc w:val="right"/>
                </w:pPr>
                <w:r>
                  <w:t>-15.67938</w:t>
                </w:r>
              </w:p>
            </w:tc>
            <w:tc>
              <w:tcPr>
                <w:tcW w:w="1335" w:type="dxa"/>
                <w:shd w:val="clear" w:color="auto" w:fill="auto"/>
                <w:tcMar>
                  <w:top w:w="0" w:type="dxa"/>
                  <w:left w:w="100" w:type="dxa"/>
                  <w:bottom w:w="0" w:type="dxa"/>
                  <w:right w:w="100" w:type="dxa"/>
                </w:tcMar>
              </w:tcPr>
              <w:p w:rsidR="00E438DA" w:rsidRDefault="00000000">
                <w:pPr>
                  <w:jc w:val="right"/>
                </w:pPr>
                <w:r>
                  <w:t>4.414674</w:t>
                </w:r>
              </w:p>
            </w:tc>
            <w:tc>
              <w:tcPr>
                <w:tcW w:w="1170" w:type="dxa"/>
                <w:shd w:val="clear" w:color="auto" w:fill="auto"/>
                <w:tcMar>
                  <w:top w:w="0" w:type="dxa"/>
                  <w:left w:w="100" w:type="dxa"/>
                  <w:bottom w:w="0" w:type="dxa"/>
                  <w:right w:w="100" w:type="dxa"/>
                </w:tcMar>
              </w:tcPr>
              <w:p w:rsidR="00E438DA" w:rsidRDefault="00000000">
                <w:pPr>
                  <w:jc w:val="right"/>
                </w:pPr>
                <w:r>
                  <w:t>-3.55</w:t>
                </w:r>
              </w:p>
            </w:tc>
            <w:tc>
              <w:tcPr>
                <w:tcW w:w="1170" w:type="dxa"/>
                <w:shd w:val="clear" w:color="auto" w:fill="auto"/>
                <w:tcMar>
                  <w:top w:w="0" w:type="dxa"/>
                  <w:left w:w="100" w:type="dxa"/>
                  <w:bottom w:w="0" w:type="dxa"/>
                  <w:right w:w="100" w:type="dxa"/>
                </w:tcMar>
              </w:tcPr>
              <w:p w:rsidR="00E438DA" w:rsidRDefault="00000000">
                <w:pPr>
                  <w:jc w:val="right"/>
                </w:pPr>
                <w:r>
                  <w:t>0.002</w:t>
                </w:r>
              </w:p>
            </w:tc>
            <w:tc>
              <w:tcPr>
                <w:tcW w:w="1380" w:type="dxa"/>
                <w:shd w:val="clear" w:color="auto" w:fill="auto"/>
                <w:tcMar>
                  <w:top w:w="0" w:type="dxa"/>
                  <w:left w:w="100" w:type="dxa"/>
                  <w:bottom w:w="0" w:type="dxa"/>
                  <w:right w:w="100" w:type="dxa"/>
                </w:tcMar>
              </w:tcPr>
              <w:p w:rsidR="00E438DA" w:rsidRDefault="00000000">
                <w:pPr>
                  <w:jc w:val="right"/>
                </w:pPr>
                <w:r>
                  <w:t>-24.8602</w:t>
                </w:r>
              </w:p>
            </w:tc>
            <w:tc>
              <w:tcPr>
                <w:tcW w:w="1380" w:type="dxa"/>
                <w:shd w:val="clear" w:color="auto" w:fill="auto"/>
                <w:tcMar>
                  <w:top w:w="0" w:type="dxa"/>
                  <w:left w:w="100" w:type="dxa"/>
                  <w:bottom w:w="0" w:type="dxa"/>
                  <w:right w:w="100" w:type="dxa"/>
                </w:tcMar>
              </w:tcPr>
              <w:p w:rsidR="00E438DA" w:rsidRDefault="00000000">
                <w:pPr>
                  <w:jc w:val="right"/>
                </w:pPr>
                <w:r>
                  <w:t>-6.498562</w:t>
                </w:r>
              </w:p>
            </w:tc>
          </w:tr>
          <w:tr w:rsidR="00E438DA">
            <w:trPr>
              <w:trHeight w:val="270"/>
            </w:trPr>
            <w:tc>
              <w:tcPr>
                <w:tcW w:w="1260" w:type="dxa"/>
                <w:tcBorders>
                  <w:right w:val="single" w:sz="8" w:space="0" w:color="000000"/>
                </w:tcBorders>
                <w:shd w:val="clear" w:color="auto" w:fill="auto"/>
                <w:tcMar>
                  <w:top w:w="0" w:type="dxa"/>
                  <w:left w:w="100" w:type="dxa"/>
                  <w:bottom w:w="0" w:type="dxa"/>
                  <w:right w:w="100" w:type="dxa"/>
                </w:tcMar>
              </w:tcPr>
              <w:p w:rsidR="00E438DA" w:rsidRDefault="00000000">
                <w:pPr>
                  <w:jc w:val="right"/>
                  <w:rPr>
                    <w:b/>
                  </w:rPr>
                </w:pPr>
                <w:r>
                  <w:rPr>
                    <w:b/>
                  </w:rPr>
                  <w:t>inst</w:t>
                </w:r>
              </w:p>
            </w:tc>
            <w:tc>
              <w:tcPr>
                <w:tcW w:w="1440" w:type="dxa"/>
                <w:shd w:val="clear" w:color="auto" w:fill="auto"/>
                <w:tcMar>
                  <w:top w:w="0" w:type="dxa"/>
                  <w:left w:w="100" w:type="dxa"/>
                  <w:bottom w:w="0" w:type="dxa"/>
                  <w:right w:w="100" w:type="dxa"/>
                </w:tcMar>
              </w:tcPr>
              <w:p w:rsidR="00E438DA" w:rsidRDefault="00000000">
                <w:pPr>
                  <w:jc w:val="right"/>
                </w:pPr>
                <w:r>
                  <w:t>-17.43509</w:t>
                </w:r>
              </w:p>
            </w:tc>
            <w:tc>
              <w:tcPr>
                <w:tcW w:w="1335" w:type="dxa"/>
                <w:shd w:val="clear" w:color="auto" w:fill="auto"/>
                <w:tcMar>
                  <w:top w:w="0" w:type="dxa"/>
                  <w:left w:w="100" w:type="dxa"/>
                  <w:bottom w:w="0" w:type="dxa"/>
                  <w:right w:w="100" w:type="dxa"/>
                </w:tcMar>
              </w:tcPr>
              <w:p w:rsidR="00E438DA" w:rsidRDefault="00000000">
                <w:pPr>
                  <w:jc w:val="right"/>
                </w:pPr>
                <w:r>
                  <w:t>3.254136</w:t>
                </w:r>
              </w:p>
            </w:tc>
            <w:tc>
              <w:tcPr>
                <w:tcW w:w="1170" w:type="dxa"/>
                <w:shd w:val="clear" w:color="auto" w:fill="auto"/>
                <w:tcMar>
                  <w:top w:w="0" w:type="dxa"/>
                  <w:left w:w="100" w:type="dxa"/>
                  <w:bottom w:w="0" w:type="dxa"/>
                  <w:right w:w="100" w:type="dxa"/>
                </w:tcMar>
              </w:tcPr>
              <w:p w:rsidR="00E438DA" w:rsidRDefault="00000000">
                <w:pPr>
                  <w:jc w:val="right"/>
                </w:pPr>
                <w:r>
                  <w:t>-5.36</w:t>
                </w:r>
              </w:p>
            </w:tc>
            <w:tc>
              <w:tcPr>
                <w:tcW w:w="1170" w:type="dxa"/>
                <w:shd w:val="clear" w:color="auto" w:fill="auto"/>
                <w:tcMar>
                  <w:top w:w="0" w:type="dxa"/>
                  <w:left w:w="100" w:type="dxa"/>
                  <w:bottom w:w="0" w:type="dxa"/>
                  <w:right w:w="100" w:type="dxa"/>
                </w:tcMar>
              </w:tcPr>
              <w:p w:rsidR="00E438DA" w:rsidRDefault="00000000">
                <w:pPr>
                  <w:jc w:val="right"/>
                </w:pPr>
                <w:r>
                  <w:t>0.000</w:t>
                </w:r>
              </w:p>
            </w:tc>
            <w:tc>
              <w:tcPr>
                <w:tcW w:w="1380" w:type="dxa"/>
                <w:shd w:val="clear" w:color="auto" w:fill="auto"/>
                <w:tcMar>
                  <w:top w:w="0" w:type="dxa"/>
                  <w:left w:w="100" w:type="dxa"/>
                  <w:bottom w:w="0" w:type="dxa"/>
                  <w:right w:w="100" w:type="dxa"/>
                </w:tcMar>
              </w:tcPr>
              <w:p w:rsidR="00E438DA" w:rsidRDefault="00000000">
                <w:pPr>
                  <w:jc w:val="right"/>
                </w:pPr>
                <w:r>
                  <w:t>-24.20244</w:t>
                </w:r>
              </w:p>
            </w:tc>
            <w:tc>
              <w:tcPr>
                <w:tcW w:w="1380" w:type="dxa"/>
                <w:shd w:val="clear" w:color="auto" w:fill="auto"/>
                <w:tcMar>
                  <w:top w:w="0" w:type="dxa"/>
                  <w:left w:w="100" w:type="dxa"/>
                  <w:bottom w:w="0" w:type="dxa"/>
                  <w:right w:w="100" w:type="dxa"/>
                </w:tcMar>
              </w:tcPr>
              <w:p w:rsidR="00E438DA" w:rsidRDefault="00000000">
                <w:pPr>
                  <w:jc w:val="right"/>
                </w:pPr>
                <w:r>
                  <w:t>-10.66775</w:t>
                </w:r>
              </w:p>
            </w:tc>
          </w:tr>
          <w:tr w:rsidR="00E438DA">
            <w:trPr>
              <w:trHeight w:val="270"/>
            </w:trPr>
            <w:tc>
              <w:tcPr>
                <w:tcW w:w="1260" w:type="dxa"/>
                <w:tcBorders>
                  <w:right w:val="single" w:sz="8" w:space="0" w:color="000000"/>
                </w:tcBorders>
                <w:shd w:val="clear" w:color="auto" w:fill="auto"/>
                <w:tcMar>
                  <w:top w:w="0" w:type="dxa"/>
                  <w:left w:w="100" w:type="dxa"/>
                  <w:bottom w:w="0" w:type="dxa"/>
                  <w:right w:w="100" w:type="dxa"/>
                </w:tcMar>
              </w:tcPr>
              <w:p w:rsidR="00E438DA" w:rsidRDefault="00000000">
                <w:pPr>
                  <w:jc w:val="right"/>
                  <w:rPr>
                    <w:b/>
                  </w:rPr>
                </w:pPr>
                <w:r>
                  <w:rPr>
                    <w:b/>
                  </w:rPr>
                  <w:t>lrgdppc</w:t>
                </w:r>
              </w:p>
            </w:tc>
            <w:tc>
              <w:tcPr>
                <w:tcW w:w="1440" w:type="dxa"/>
                <w:shd w:val="clear" w:color="auto" w:fill="auto"/>
                <w:tcMar>
                  <w:top w:w="0" w:type="dxa"/>
                  <w:left w:w="100" w:type="dxa"/>
                  <w:bottom w:w="0" w:type="dxa"/>
                  <w:right w:w="100" w:type="dxa"/>
                </w:tcMar>
              </w:tcPr>
              <w:p w:rsidR="00E438DA" w:rsidRDefault="00000000">
                <w:pPr>
                  <w:jc w:val="right"/>
                </w:pPr>
                <w:r>
                  <w:t>-9.282325</w:t>
                </w:r>
              </w:p>
            </w:tc>
            <w:tc>
              <w:tcPr>
                <w:tcW w:w="1335" w:type="dxa"/>
                <w:shd w:val="clear" w:color="auto" w:fill="auto"/>
                <w:tcMar>
                  <w:top w:w="0" w:type="dxa"/>
                  <w:left w:w="100" w:type="dxa"/>
                  <w:bottom w:w="0" w:type="dxa"/>
                  <w:right w:w="100" w:type="dxa"/>
                </w:tcMar>
              </w:tcPr>
              <w:p w:rsidR="00E438DA" w:rsidRDefault="00000000">
                <w:pPr>
                  <w:jc w:val="right"/>
                </w:pPr>
                <w:r>
                  <w:t>.930181</w:t>
                </w:r>
              </w:p>
            </w:tc>
            <w:tc>
              <w:tcPr>
                <w:tcW w:w="1170" w:type="dxa"/>
                <w:shd w:val="clear" w:color="auto" w:fill="auto"/>
                <w:tcMar>
                  <w:top w:w="0" w:type="dxa"/>
                  <w:left w:w="100" w:type="dxa"/>
                  <w:bottom w:w="0" w:type="dxa"/>
                  <w:right w:w="100" w:type="dxa"/>
                </w:tcMar>
              </w:tcPr>
              <w:p w:rsidR="00E438DA" w:rsidRDefault="00000000">
                <w:pPr>
                  <w:jc w:val="right"/>
                </w:pPr>
                <w:r>
                  <w:t>-9.98</w:t>
                </w:r>
              </w:p>
            </w:tc>
            <w:tc>
              <w:tcPr>
                <w:tcW w:w="1170" w:type="dxa"/>
                <w:shd w:val="clear" w:color="auto" w:fill="auto"/>
                <w:tcMar>
                  <w:top w:w="0" w:type="dxa"/>
                  <w:left w:w="100" w:type="dxa"/>
                  <w:bottom w:w="0" w:type="dxa"/>
                  <w:right w:w="100" w:type="dxa"/>
                </w:tcMar>
              </w:tcPr>
              <w:p w:rsidR="00E438DA" w:rsidRDefault="00000000">
                <w:pPr>
                  <w:jc w:val="right"/>
                </w:pPr>
                <w:r>
                  <w:t>0.000</w:t>
                </w:r>
              </w:p>
            </w:tc>
            <w:tc>
              <w:tcPr>
                <w:tcW w:w="1380" w:type="dxa"/>
                <w:shd w:val="clear" w:color="auto" w:fill="auto"/>
                <w:tcMar>
                  <w:top w:w="0" w:type="dxa"/>
                  <w:left w:w="100" w:type="dxa"/>
                  <w:bottom w:w="0" w:type="dxa"/>
                  <w:right w:w="100" w:type="dxa"/>
                </w:tcMar>
              </w:tcPr>
              <w:p w:rsidR="00E438DA" w:rsidRDefault="00000000">
                <w:pPr>
                  <w:jc w:val="right"/>
                </w:pPr>
                <w:r>
                  <w:t>-11.21674</w:t>
                </w:r>
              </w:p>
            </w:tc>
            <w:tc>
              <w:tcPr>
                <w:tcW w:w="1380" w:type="dxa"/>
                <w:shd w:val="clear" w:color="auto" w:fill="auto"/>
                <w:tcMar>
                  <w:top w:w="0" w:type="dxa"/>
                  <w:left w:w="100" w:type="dxa"/>
                  <w:bottom w:w="0" w:type="dxa"/>
                  <w:right w:w="100" w:type="dxa"/>
                </w:tcMar>
              </w:tcPr>
              <w:p w:rsidR="00E438DA" w:rsidRDefault="00000000">
                <w:pPr>
                  <w:jc w:val="right"/>
                </w:pPr>
                <w:r>
                  <w:t>-7.347908</w:t>
                </w:r>
              </w:p>
            </w:tc>
          </w:tr>
          <w:tr w:rsidR="00E438DA">
            <w:trPr>
              <w:trHeight w:val="270"/>
            </w:trPr>
            <w:tc>
              <w:tcPr>
                <w:tcW w:w="1260" w:type="dxa"/>
                <w:tcBorders>
                  <w:right w:val="single" w:sz="8" w:space="0" w:color="000000"/>
                </w:tcBorders>
                <w:shd w:val="clear" w:color="auto" w:fill="auto"/>
                <w:tcMar>
                  <w:top w:w="0" w:type="dxa"/>
                  <w:left w:w="100" w:type="dxa"/>
                  <w:bottom w:w="0" w:type="dxa"/>
                  <w:right w:w="100" w:type="dxa"/>
                </w:tcMar>
              </w:tcPr>
              <w:p w:rsidR="00E438DA" w:rsidRDefault="00000000">
                <w:pPr>
                  <w:jc w:val="right"/>
                  <w:rPr>
                    <w:b/>
                  </w:rPr>
                </w:pPr>
                <w:r>
                  <w:rPr>
                    <w:b/>
                  </w:rPr>
                  <w:t>fdi</w:t>
                </w:r>
              </w:p>
            </w:tc>
            <w:tc>
              <w:tcPr>
                <w:tcW w:w="1440" w:type="dxa"/>
                <w:shd w:val="clear" w:color="auto" w:fill="auto"/>
                <w:tcMar>
                  <w:top w:w="0" w:type="dxa"/>
                  <w:left w:w="100" w:type="dxa"/>
                  <w:bottom w:w="0" w:type="dxa"/>
                  <w:right w:w="100" w:type="dxa"/>
                </w:tcMar>
              </w:tcPr>
              <w:p w:rsidR="00E438DA" w:rsidRDefault="00000000">
                <w:pPr>
                  <w:jc w:val="right"/>
                </w:pPr>
                <w:r>
                  <w:t>.0379761</w:t>
                </w:r>
              </w:p>
            </w:tc>
            <w:tc>
              <w:tcPr>
                <w:tcW w:w="1335" w:type="dxa"/>
                <w:shd w:val="clear" w:color="auto" w:fill="auto"/>
                <w:tcMar>
                  <w:top w:w="0" w:type="dxa"/>
                  <w:left w:w="100" w:type="dxa"/>
                  <w:bottom w:w="0" w:type="dxa"/>
                  <w:right w:w="100" w:type="dxa"/>
                </w:tcMar>
              </w:tcPr>
              <w:p w:rsidR="00E438DA" w:rsidRDefault="00000000">
                <w:pPr>
                  <w:jc w:val="right"/>
                </w:pPr>
                <w:r>
                  <w:t>.0771553</w:t>
                </w:r>
              </w:p>
            </w:tc>
            <w:tc>
              <w:tcPr>
                <w:tcW w:w="1170" w:type="dxa"/>
                <w:shd w:val="clear" w:color="auto" w:fill="auto"/>
                <w:tcMar>
                  <w:top w:w="0" w:type="dxa"/>
                  <w:left w:w="100" w:type="dxa"/>
                  <w:bottom w:w="0" w:type="dxa"/>
                  <w:right w:w="100" w:type="dxa"/>
                </w:tcMar>
              </w:tcPr>
              <w:p w:rsidR="00E438DA" w:rsidRDefault="00000000">
                <w:pPr>
                  <w:jc w:val="right"/>
                </w:pPr>
                <w:r>
                  <w:t>0.49</w:t>
                </w:r>
              </w:p>
            </w:tc>
            <w:tc>
              <w:tcPr>
                <w:tcW w:w="1170" w:type="dxa"/>
                <w:shd w:val="clear" w:color="auto" w:fill="auto"/>
                <w:tcMar>
                  <w:top w:w="0" w:type="dxa"/>
                  <w:left w:w="100" w:type="dxa"/>
                  <w:bottom w:w="0" w:type="dxa"/>
                  <w:right w:w="100" w:type="dxa"/>
                </w:tcMar>
              </w:tcPr>
              <w:p w:rsidR="00E438DA" w:rsidRDefault="00000000">
                <w:pPr>
                  <w:jc w:val="right"/>
                </w:pPr>
                <w:r>
                  <w:t>0.628</w:t>
                </w:r>
              </w:p>
            </w:tc>
            <w:tc>
              <w:tcPr>
                <w:tcW w:w="1380" w:type="dxa"/>
                <w:shd w:val="clear" w:color="auto" w:fill="auto"/>
                <w:tcMar>
                  <w:top w:w="0" w:type="dxa"/>
                  <w:left w:w="100" w:type="dxa"/>
                  <w:bottom w:w="0" w:type="dxa"/>
                  <w:right w:w="100" w:type="dxa"/>
                </w:tcMar>
              </w:tcPr>
              <w:p w:rsidR="00E438DA" w:rsidRDefault="00000000">
                <w:pPr>
                  <w:jc w:val="right"/>
                </w:pPr>
                <w:r>
                  <w:t>-.1224772</w:t>
                </w:r>
              </w:p>
            </w:tc>
            <w:tc>
              <w:tcPr>
                <w:tcW w:w="1380" w:type="dxa"/>
                <w:shd w:val="clear" w:color="auto" w:fill="auto"/>
                <w:tcMar>
                  <w:top w:w="0" w:type="dxa"/>
                  <w:left w:w="100" w:type="dxa"/>
                  <w:bottom w:w="0" w:type="dxa"/>
                  <w:right w:w="100" w:type="dxa"/>
                </w:tcMar>
              </w:tcPr>
              <w:p w:rsidR="00E438DA" w:rsidRDefault="00000000">
                <w:pPr>
                  <w:jc w:val="right"/>
                </w:pPr>
                <w:r>
                  <w:t>.1984294</w:t>
                </w:r>
              </w:p>
            </w:tc>
          </w:tr>
          <w:tr w:rsidR="00E438DA">
            <w:trPr>
              <w:trHeight w:val="270"/>
            </w:trPr>
            <w:tc>
              <w:tcPr>
                <w:tcW w:w="1260" w:type="dxa"/>
                <w:tcBorders>
                  <w:right w:val="single" w:sz="8" w:space="0" w:color="000000"/>
                </w:tcBorders>
                <w:shd w:val="clear" w:color="auto" w:fill="auto"/>
                <w:tcMar>
                  <w:top w:w="0" w:type="dxa"/>
                  <w:left w:w="100" w:type="dxa"/>
                  <w:bottom w:w="0" w:type="dxa"/>
                  <w:right w:w="100" w:type="dxa"/>
                </w:tcMar>
              </w:tcPr>
              <w:p w:rsidR="00E438DA" w:rsidRDefault="00000000">
                <w:pPr>
                  <w:jc w:val="right"/>
                  <w:rPr>
                    <w:b/>
                  </w:rPr>
                </w:pPr>
                <w:r>
                  <w:rPr>
                    <w:b/>
                  </w:rPr>
                  <w:lastRenderedPageBreak/>
                  <w:t>lpop</w:t>
                </w:r>
              </w:p>
            </w:tc>
            <w:tc>
              <w:tcPr>
                <w:tcW w:w="1440" w:type="dxa"/>
                <w:shd w:val="clear" w:color="auto" w:fill="auto"/>
                <w:tcMar>
                  <w:top w:w="0" w:type="dxa"/>
                  <w:left w:w="100" w:type="dxa"/>
                  <w:bottom w:w="0" w:type="dxa"/>
                  <w:right w:w="100" w:type="dxa"/>
                </w:tcMar>
              </w:tcPr>
              <w:p w:rsidR="00E438DA" w:rsidRDefault="00000000">
                <w:pPr>
                  <w:jc w:val="right"/>
                </w:pPr>
                <w:r>
                  <w:t>-2.442479</w:t>
                </w:r>
              </w:p>
            </w:tc>
            <w:tc>
              <w:tcPr>
                <w:tcW w:w="1335" w:type="dxa"/>
                <w:shd w:val="clear" w:color="auto" w:fill="auto"/>
                <w:tcMar>
                  <w:top w:w="0" w:type="dxa"/>
                  <w:left w:w="100" w:type="dxa"/>
                  <w:bottom w:w="0" w:type="dxa"/>
                  <w:right w:w="100" w:type="dxa"/>
                </w:tcMar>
              </w:tcPr>
              <w:p w:rsidR="00E438DA" w:rsidRDefault="00000000">
                <w:pPr>
                  <w:jc w:val="right"/>
                </w:pPr>
                <w:r>
                  <w:t>1.655375</w:t>
                </w:r>
              </w:p>
            </w:tc>
            <w:tc>
              <w:tcPr>
                <w:tcW w:w="1170" w:type="dxa"/>
                <w:shd w:val="clear" w:color="auto" w:fill="auto"/>
                <w:tcMar>
                  <w:top w:w="0" w:type="dxa"/>
                  <w:left w:w="100" w:type="dxa"/>
                  <w:bottom w:w="0" w:type="dxa"/>
                  <w:right w:w="100" w:type="dxa"/>
                </w:tcMar>
              </w:tcPr>
              <w:p w:rsidR="00E438DA" w:rsidRDefault="00000000">
                <w:pPr>
                  <w:jc w:val="right"/>
                </w:pPr>
                <w:r>
                  <w:t>-1.48</w:t>
                </w:r>
              </w:p>
            </w:tc>
            <w:tc>
              <w:tcPr>
                <w:tcW w:w="1170" w:type="dxa"/>
                <w:shd w:val="clear" w:color="auto" w:fill="auto"/>
                <w:tcMar>
                  <w:top w:w="0" w:type="dxa"/>
                  <w:left w:w="100" w:type="dxa"/>
                  <w:bottom w:w="0" w:type="dxa"/>
                  <w:right w:w="100" w:type="dxa"/>
                </w:tcMar>
              </w:tcPr>
              <w:p w:rsidR="00E438DA" w:rsidRDefault="00000000">
                <w:pPr>
                  <w:jc w:val="right"/>
                </w:pPr>
                <w:r>
                  <w:t>0.155</w:t>
                </w:r>
              </w:p>
            </w:tc>
            <w:tc>
              <w:tcPr>
                <w:tcW w:w="1380" w:type="dxa"/>
                <w:shd w:val="clear" w:color="auto" w:fill="auto"/>
                <w:tcMar>
                  <w:top w:w="0" w:type="dxa"/>
                  <w:left w:w="100" w:type="dxa"/>
                  <w:bottom w:w="0" w:type="dxa"/>
                  <w:right w:w="100" w:type="dxa"/>
                </w:tcMar>
              </w:tcPr>
              <w:p w:rsidR="00E438DA" w:rsidRDefault="00000000">
                <w:pPr>
                  <w:jc w:val="right"/>
                </w:pPr>
                <w:r>
                  <w:t>-5.88502</w:t>
                </w:r>
              </w:p>
            </w:tc>
            <w:tc>
              <w:tcPr>
                <w:tcW w:w="1380" w:type="dxa"/>
                <w:shd w:val="clear" w:color="auto" w:fill="auto"/>
                <w:tcMar>
                  <w:top w:w="0" w:type="dxa"/>
                  <w:left w:w="100" w:type="dxa"/>
                  <w:bottom w:w="0" w:type="dxa"/>
                  <w:right w:w="100" w:type="dxa"/>
                </w:tcMar>
              </w:tcPr>
              <w:p w:rsidR="00E438DA" w:rsidRDefault="00000000">
                <w:pPr>
                  <w:jc w:val="right"/>
                </w:pPr>
                <w:r>
                  <w:t>1.000062</w:t>
                </w:r>
              </w:p>
            </w:tc>
          </w:tr>
          <w:tr w:rsidR="00E438DA">
            <w:trPr>
              <w:trHeight w:val="285"/>
            </w:trPr>
            <w:tc>
              <w:tcPr>
                <w:tcW w:w="1260" w:type="dxa"/>
                <w:tcBorders>
                  <w:bottom w:val="single" w:sz="8" w:space="0" w:color="000000"/>
                  <w:right w:val="single" w:sz="8" w:space="0" w:color="000000"/>
                </w:tcBorders>
                <w:shd w:val="clear" w:color="auto" w:fill="auto"/>
                <w:tcMar>
                  <w:top w:w="0" w:type="dxa"/>
                  <w:left w:w="100" w:type="dxa"/>
                  <w:bottom w:w="0" w:type="dxa"/>
                  <w:right w:w="100" w:type="dxa"/>
                </w:tcMar>
              </w:tcPr>
              <w:p w:rsidR="00E438DA" w:rsidRDefault="00000000">
                <w:pPr>
                  <w:jc w:val="right"/>
                  <w:rPr>
                    <w:b/>
                  </w:rPr>
                </w:pPr>
                <w:r>
                  <w:rPr>
                    <w:b/>
                  </w:rPr>
                  <w:t>constant</w:t>
                </w:r>
              </w:p>
            </w:tc>
            <w:tc>
              <w:tcPr>
                <w:tcW w:w="1440" w:type="dxa"/>
                <w:tcBorders>
                  <w:bottom w:val="single" w:sz="8" w:space="0" w:color="000000"/>
                </w:tcBorders>
                <w:shd w:val="clear" w:color="auto" w:fill="auto"/>
                <w:tcMar>
                  <w:top w:w="0" w:type="dxa"/>
                  <w:left w:w="100" w:type="dxa"/>
                  <w:bottom w:w="0" w:type="dxa"/>
                  <w:right w:w="100" w:type="dxa"/>
                </w:tcMar>
              </w:tcPr>
              <w:p w:rsidR="00E438DA" w:rsidRDefault="00000000">
                <w:pPr>
                  <w:jc w:val="right"/>
                </w:pPr>
                <w:r>
                  <w:t>243.128</w:t>
                </w:r>
              </w:p>
            </w:tc>
            <w:tc>
              <w:tcPr>
                <w:tcW w:w="1335" w:type="dxa"/>
                <w:tcBorders>
                  <w:bottom w:val="single" w:sz="8" w:space="0" w:color="000000"/>
                </w:tcBorders>
                <w:shd w:val="clear" w:color="auto" w:fill="auto"/>
                <w:tcMar>
                  <w:top w:w="0" w:type="dxa"/>
                  <w:left w:w="100" w:type="dxa"/>
                  <w:bottom w:w="0" w:type="dxa"/>
                  <w:right w:w="100" w:type="dxa"/>
                </w:tcMar>
              </w:tcPr>
              <w:p w:rsidR="00E438DA" w:rsidRDefault="00000000">
                <w:pPr>
                  <w:jc w:val="right"/>
                </w:pPr>
                <w:r>
                  <w:t>24.22068</w:t>
                </w:r>
              </w:p>
            </w:tc>
            <w:tc>
              <w:tcPr>
                <w:tcW w:w="1170" w:type="dxa"/>
                <w:tcBorders>
                  <w:bottom w:val="single" w:sz="8" w:space="0" w:color="000000"/>
                </w:tcBorders>
                <w:shd w:val="clear" w:color="auto" w:fill="auto"/>
                <w:tcMar>
                  <w:top w:w="0" w:type="dxa"/>
                  <w:left w:w="100" w:type="dxa"/>
                  <w:bottom w:w="0" w:type="dxa"/>
                  <w:right w:w="100" w:type="dxa"/>
                </w:tcMar>
              </w:tcPr>
              <w:p w:rsidR="00E438DA" w:rsidRDefault="00000000">
                <w:pPr>
                  <w:jc w:val="right"/>
                </w:pPr>
                <w:r>
                  <w:t>10.04</w:t>
                </w:r>
              </w:p>
            </w:tc>
            <w:tc>
              <w:tcPr>
                <w:tcW w:w="1170" w:type="dxa"/>
                <w:tcBorders>
                  <w:bottom w:val="single" w:sz="8" w:space="0" w:color="000000"/>
                </w:tcBorders>
                <w:shd w:val="clear" w:color="auto" w:fill="auto"/>
                <w:tcMar>
                  <w:top w:w="0" w:type="dxa"/>
                  <w:left w:w="100" w:type="dxa"/>
                  <w:bottom w:w="0" w:type="dxa"/>
                  <w:right w:w="100" w:type="dxa"/>
                </w:tcMar>
              </w:tcPr>
              <w:p w:rsidR="00E438DA" w:rsidRDefault="00000000">
                <w:pPr>
                  <w:jc w:val="right"/>
                </w:pPr>
                <w:r>
                  <w:t>0.000</w:t>
                </w:r>
              </w:p>
            </w:tc>
            <w:tc>
              <w:tcPr>
                <w:tcW w:w="1380" w:type="dxa"/>
                <w:tcBorders>
                  <w:bottom w:val="single" w:sz="8" w:space="0" w:color="000000"/>
                </w:tcBorders>
                <w:shd w:val="clear" w:color="auto" w:fill="auto"/>
                <w:tcMar>
                  <w:top w:w="0" w:type="dxa"/>
                  <w:left w:w="100" w:type="dxa"/>
                  <w:bottom w:w="0" w:type="dxa"/>
                  <w:right w:w="100" w:type="dxa"/>
                </w:tcMar>
              </w:tcPr>
              <w:p w:rsidR="00E438DA" w:rsidRDefault="00000000">
                <w:pPr>
                  <w:jc w:val="right"/>
                </w:pPr>
                <w:r>
                  <w:t>192.7584</w:t>
                </w:r>
              </w:p>
            </w:tc>
            <w:tc>
              <w:tcPr>
                <w:tcW w:w="1380" w:type="dxa"/>
                <w:tcBorders>
                  <w:bottom w:val="single" w:sz="8" w:space="0" w:color="000000"/>
                </w:tcBorders>
                <w:shd w:val="clear" w:color="auto" w:fill="auto"/>
                <w:tcMar>
                  <w:top w:w="0" w:type="dxa"/>
                  <w:left w:w="100" w:type="dxa"/>
                  <w:bottom w:w="0" w:type="dxa"/>
                  <w:right w:w="100" w:type="dxa"/>
                </w:tcMar>
              </w:tcPr>
              <w:p w:rsidR="00E438DA" w:rsidRDefault="00000000">
                <w:pPr>
                  <w:jc w:val="right"/>
                </w:pPr>
                <w:r>
                  <w:t>293.4977</w:t>
                </w:r>
              </w:p>
            </w:tc>
          </w:tr>
        </w:tbl>
      </w:sdtContent>
    </w:sdt>
    <w:p w:rsidR="00E438DA" w:rsidRDefault="00000000">
      <w:pPr>
        <w:spacing w:before="240" w:after="240"/>
        <w:jc w:val="both"/>
        <w:rPr>
          <w:i/>
          <w:sz w:val="16"/>
          <w:szCs w:val="16"/>
        </w:rPr>
      </w:pPr>
      <w:r>
        <w:t xml:space="preserve"> </w:t>
      </w:r>
      <w:proofErr w:type="spellStart"/>
      <w:r>
        <w:rPr>
          <w:i/>
          <w:sz w:val="16"/>
          <w:szCs w:val="16"/>
        </w:rPr>
        <w:t>fd</w:t>
      </w:r>
      <w:proofErr w:type="spellEnd"/>
      <w:r>
        <w:rPr>
          <w:i/>
          <w:sz w:val="16"/>
          <w:szCs w:val="16"/>
        </w:rPr>
        <w:t xml:space="preserve"> = Financial Development; </w:t>
      </w:r>
      <w:proofErr w:type="spellStart"/>
      <w:r>
        <w:rPr>
          <w:i/>
          <w:sz w:val="16"/>
          <w:szCs w:val="16"/>
        </w:rPr>
        <w:t>inst</w:t>
      </w:r>
      <w:proofErr w:type="spellEnd"/>
      <w:r>
        <w:rPr>
          <w:i/>
          <w:sz w:val="16"/>
          <w:szCs w:val="16"/>
        </w:rPr>
        <w:t xml:space="preserve"> = Institutional Quality; </w:t>
      </w:r>
      <w:proofErr w:type="spellStart"/>
      <w:r>
        <w:rPr>
          <w:i/>
          <w:sz w:val="16"/>
          <w:szCs w:val="16"/>
        </w:rPr>
        <w:t>fd_inst</w:t>
      </w:r>
      <w:proofErr w:type="spellEnd"/>
      <w:r>
        <w:rPr>
          <w:i/>
          <w:sz w:val="16"/>
          <w:szCs w:val="16"/>
        </w:rPr>
        <w:t xml:space="preserve"> = Interaction term between Financial Development and Institutional Quality; </w:t>
      </w:r>
      <w:proofErr w:type="spellStart"/>
      <w:r>
        <w:rPr>
          <w:i/>
          <w:sz w:val="16"/>
          <w:szCs w:val="16"/>
        </w:rPr>
        <w:t>lrgdppc</w:t>
      </w:r>
      <w:proofErr w:type="spellEnd"/>
      <w:r>
        <w:rPr>
          <w:i/>
          <w:sz w:val="16"/>
          <w:szCs w:val="16"/>
        </w:rPr>
        <w:t xml:space="preserve"> = Log of Real GDP per capita; </w:t>
      </w:r>
      <w:proofErr w:type="spellStart"/>
      <w:r>
        <w:rPr>
          <w:i/>
          <w:sz w:val="16"/>
          <w:szCs w:val="16"/>
        </w:rPr>
        <w:t>fdi</w:t>
      </w:r>
      <w:proofErr w:type="spellEnd"/>
      <w:r>
        <w:rPr>
          <w:i/>
          <w:sz w:val="16"/>
          <w:szCs w:val="16"/>
        </w:rPr>
        <w:t xml:space="preserve"> = Foreign Direct Investment; </w:t>
      </w:r>
      <w:proofErr w:type="spellStart"/>
      <w:r>
        <w:rPr>
          <w:i/>
          <w:sz w:val="16"/>
          <w:szCs w:val="16"/>
        </w:rPr>
        <w:t>lpop</w:t>
      </w:r>
      <w:proofErr w:type="spellEnd"/>
      <w:r>
        <w:rPr>
          <w:i/>
          <w:sz w:val="16"/>
          <w:szCs w:val="16"/>
        </w:rPr>
        <w:t xml:space="preserve"> = Log of Population</w:t>
      </w:r>
    </w:p>
    <w:p w:rsidR="00E438DA" w:rsidRDefault="00E438DA">
      <w:pPr>
        <w:spacing w:before="240" w:after="240"/>
        <w:jc w:val="both"/>
        <w:rPr>
          <w:i/>
          <w:sz w:val="16"/>
          <w:szCs w:val="16"/>
        </w:rPr>
      </w:pPr>
    </w:p>
    <w:p w:rsidR="00E438DA" w:rsidRDefault="00000000">
      <w:pPr>
        <w:spacing w:before="240" w:after="240"/>
        <w:jc w:val="both"/>
        <w:rPr>
          <w:b/>
          <w:sz w:val="16"/>
          <w:szCs w:val="16"/>
        </w:rPr>
      </w:pPr>
      <w:r>
        <w:rPr>
          <w:rFonts w:ascii="Times New Roman" w:eastAsia="Times New Roman" w:hAnsi="Times New Roman" w:cs="Times New Roman"/>
          <w:b/>
          <w:sz w:val="20"/>
          <w:szCs w:val="20"/>
        </w:rPr>
        <w:t>Model 2: With Interaction Term</w:t>
      </w:r>
    </w:p>
    <w:sdt>
      <w:sdtPr>
        <w:tag w:val="goog_rdk_16"/>
        <w:id w:val="2024051635"/>
        <w:lock w:val="contentLocked"/>
      </w:sdtPr>
      <w:sdtContent>
        <w:tbl>
          <w:tblPr>
            <w:tblStyle w:val="ad"/>
            <w:tblW w:w="91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260"/>
            <w:gridCol w:w="1440"/>
            <w:gridCol w:w="1335"/>
            <w:gridCol w:w="1170"/>
            <w:gridCol w:w="1170"/>
            <w:gridCol w:w="1380"/>
            <w:gridCol w:w="1380"/>
          </w:tblGrid>
          <w:tr w:rsidR="00E438DA">
            <w:trPr>
              <w:trHeight w:val="285"/>
            </w:trPr>
            <w:tc>
              <w:tcPr>
                <w:tcW w:w="1260" w:type="dxa"/>
                <w:tcBorders>
                  <w:bottom w:val="single" w:sz="8" w:space="0" w:color="000000"/>
                  <w:right w:val="single" w:sz="8" w:space="0" w:color="000000"/>
                </w:tcBorders>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b/>
                  </w:rPr>
                </w:pPr>
                <w:r>
                  <w:rPr>
                    <w:rFonts w:ascii="Times New Roman" w:eastAsia="Times New Roman" w:hAnsi="Times New Roman" w:cs="Times New Roman"/>
                    <w:b/>
                  </w:rPr>
                  <w:t>Variable</w:t>
                </w:r>
              </w:p>
            </w:tc>
            <w:tc>
              <w:tcPr>
                <w:tcW w:w="1440" w:type="dxa"/>
                <w:tcBorders>
                  <w:bottom w:val="single" w:sz="8" w:space="0" w:color="000000"/>
                </w:tcBorders>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b/>
                  </w:rPr>
                </w:pPr>
                <w:r>
                  <w:rPr>
                    <w:rFonts w:ascii="Times New Roman" w:eastAsia="Times New Roman" w:hAnsi="Times New Roman" w:cs="Times New Roman"/>
                    <w:b/>
                  </w:rPr>
                  <w:t>Coefficient</w:t>
                </w:r>
              </w:p>
            </w:tc>
            <w:tc>
              <w:tcPr>
                <w:tcW w:w="1335" w:type="dxa"/>
                <w:tcBorders>
                  <w:bottom w:val="single" w:sz="8" w:space="0" w:color="000000"/>
                </w:tcBorders>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b/>
                  </w:rPr>
                </w:pPr>
                <w:r>
                  <w:rPr>
                    <w:rFonts w:ascii="Times New Roman" w:eastAsia="Times New Roman" w:hAnsi="Times New Roman" w:cs="Times New Roman"/>
                    <w:b/>
                  </w:rPr>
                  <w:t>std. err.</w:t>
                </w:r>
              </w:p>
            </w:tc>
            <w:tc>
              <w:tcPr>
                <w:tcW w:w="1170" w:type="dxa"/>
                <w:tcBorders>
                  <w:bottom w:val="single" w:sz="8" w:space="0" w:color="000000"/>
                </w:tcBorders>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b/>
                  </w:rPr>
                </w:pPr>
                <w:r>
                  <w:rPr>
                    <w:rFonts w:ascii="Times New Roman" w:eastAsia="Times New Roman" w:hAnsi="Times New Roman" w:cs="Times New Roman"/>
                    <w:b/>
                  </w:rPr>
                  <w:t>t</w:t>
                </w:r>
              </w:p>
            </w:tc>
            <w:tc>
              <w:tcPr>
                <w:tcW w:w="1170" w:type="dxa"/>
                <w:tcBorders>
                  <w:bottom w:val="single" w:sz="8" w:space="0" w:color="000000"/>
                </w:tcBorders>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b/>
                  </w:rPr>
                </w:pPr>
                <w:r>
                  <w:rPr>
                    <w:rFonts w:ascii="Times New Roman" w:eastAsia="Times New Roman" w:hAnsi="Times New Roman" w:cs="Times New Roman"/>
                    <w:b/>
                  </w:rPr>
                  <w:t>P&gt;|t|</w:t>
                </w:r>
              </w:p>
            </w:tc>
            <w:tc>
              <w:tcPr>
                <w:tcW w:w="2760" w:type="dxa"/>
                <w:gridSpan w:val="2"/>
                <w:tcBorders>
                  <w:bottom w:val="single" w:sz="8" w:space="0" w:color="000000"/>
                </w:tcBorders>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b/>
                  </w:rPr>
                </w:pPr>
                <w:r>
                  <w:rPr>
                    <w:rFonts w:ascii="Times New Roman" w:eastAsia="Times New Roman" w:hAnsi="Times New Roman" w:cs="Times New Roman"/>
                    <w:b/>
                  </w:rPr>
                  <w:t>[95% conf. interval]</w:t>
                </w:r>
              </w:p>
            </w:tc>
          </w:tr>
          <w:tr w:rsidR="00E438DA">
            <w:trPr>
              <w:trHeight w:val="285"/>
            </w:trPr>
            <w:tc>
              <w:tcPr>
                <w:tcW w:w="1260" w:type="dxa"/>
                <w:tcBorders>
                  <w:right w:val="single" w:sz="8" w:space="0" w:color="000000"/>
                </w:tcBorders>
                <w:shd w:val="clear" w:color="auto" w:fill="auto"/>
                <w:tcMar>
                  <w:top w:w="0" w:type="dxa"/>
                  <w:left w:w="100" w:type="dxa"/>
                  <w:bottom w:w="0" w:type="dxa"/>
                  <w:right w:w="100" w:type="dxa"/>
                </w:tcMar>
              </w:tcPr>
              <w:p w:rsidR="00E438DA" w:rsidRDefault="00000000">
                <w:pPr>
                  <w:jc w:val="both"/>
                  <w:rPr>
                    <w:rFonts w:ascii="Times New Roman" w:eastAsia="Times New Roman" w:hAnsi="Times New Roman" w:cs="Times New Roman"/>
                    <w:b/>
                  </w:rPr>
                </w:pPr>
                <w:r>
                  <w:rPr>
                    <w:rFonts w:ascii="Times New Roman" w:eastAsia="Times New Roman" w:hAnsi="Times New Roman" w:cs="Times New Roman"/>
                    <w:b/>
                  </w:rPr>
                  <w:t>fd</w:t>
                </w:r>
              </w:p>
            </w:tc>
            <w:tc>
              <w:tcPr>
                <w:tcW w:w="1440" w:type="dxa"/>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rPr>
                </w:pPr>
                <w:r>
                  <w:rPr>
                    <w:rFonts w:ascii="Times New Roman" w:eastAsia="Times New Roman" w:hAnsi="Times New Roman" w:cs="Times New Roman"/>
                  </w:rPr>
                  <w:t>-17.35186</w:t>
                </w:r>
              </w:p>
            </w:tc>
            <w:tc>
              <w:tcPr>
                <w:tcW w:w="1335" w:type="dxa"/>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rPr>
                </w:pPr>
                <w:r>
                  <w:rPr>
                    <w:rFonts w:ascii="Times New Roman" w:eastAsia="Times New Roman" w:hAnsi="Times New Roman" w:cs="Times New Roman"/>
                  </w:rPr>
                  <w:t>16.70476</w:t>
                </w:r>
              </w:p>
            </w:tc>
            <w:tc>
              <w:tcPr>
                <w:tcW w:w="1170" w:type="dxa"/>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rPr>
                </w:pPr>
                <w:r>
                  <w:rPr>
                    <w:rFonts w:ascii="Times New Roman" w:eastAsia="Times New Roman" w:hAnsi="Times New Roman" w:cs="Times New Roman"/>
                  </w:rPr>
                  <w:t>-1.04</w:t>
                </w:r>
              </w:p>
            </w:tc>
            <w:tc>
              <w:tcPr>
                <w:tcW w:w="1170" w:type="dxa"/>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rPr>
                </w:pPr>
                <w:r>
                  <w:rPr>
                    <w:rFonts w:ascii="Times New Roman" w:eastAsia="Times New Roman" w:hAnsi="Times New Roman" w:cs="Times New Roman"/>
                  </w:rPr>
                  <w:t>0.311</w:t>
                </w:r>
              </w:p>
            </w:tc>
            <w:tc>
              <w:tcPr>
                <w:tcW w:w="1380" w:type="dxa"/>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rPr>
                </w:pPr>
                <w:r>
                  <w:rPr>
                    <w:rFonts w:ascii="Times New Roman" w:eastAsia="Times New Roman" w:hAnsi="Times New Roman" w:cs="Times New Roman"/>
                  </w:rPr>
                  <w:t>-52.09132</w:t>
                </w:r>
              </w:p>
            </w:tc>
            <w:tc>
              <w:tcPr>
                <w:tcW w:w="1380" w:type="dxa"/>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rPr>
                </w:pPr>
                <w:r>
                  <w:rPr>
                    <w:rFonts w:ascii="Times New Roman" w:eastAsia="Times New Roman" w:hAnsi="Times New Roman" w:cs="Times New Roman"/>
                  </w:rPr>
                  <w:t>17.3876</w:t>
                </w:r>
              </w:p>
            </w:tc>
          </w:tr>
          <w:tr w:rsidR="00E438DA">
            <w:trPr>
              <w:trHeight w:val="270"/>
            </w:trPr>
            <w:tc>
              <w:tcPr>
                <w:tcW w:w="1260" w:type="dxa"/>
                <w:tcBorders>
                  <w:right w:val="single" w:sz="8" w:space="0" w:color="000000"/>
                </w:tcBorders>
                <w:shd w:val="clear" w:color="auto" w:fill="auto"/>
                <w:tcMar>
                  <w:top w:w="0" w:type="dxa"/>
                  <w:left w:w="100" w:type="dxa"/>
                  <w:bottom w:w="0" w:type="dxa"/>
                  <w:right w:w="100" w:type="dxa"/>
                </w:tcMar>
              </w:tcPr>
              <w:p w:rsidR="00E438DA" w:rsidRDefault="00000000">
                <w:pPr>
                  <w:jc w:val="both"/>
                  <w:rPr>
                    <w:rFonts w:ascii="Times New Roman" w:eastAsia="Times New Roman" w:hAnsi="Times New Roman" w:cs="Times New Roman"/>
                    <w:b/>
                  </w:rPr>
                </w:pPr>
                <w:r>
                  <w:rPr>
                    <w:rFonts w:ascii="Times New Roman" w:eastAsia="Times New Roman" w:hAnsi="Times New Roman" w:cs="Times New Roman"/>
                    <w:b/>
                  </w:rPr>
                  <w:t>inst</w:t>
                </w:r>
              </w:p>
            </w:tc>
            <w:tc>
              <w:tcPr>
                <w:tcW w:w="1440" w:type="dxa"/>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rPr>
                </w:pPr>
                <w:r>
                  <w:rPr>
                    <w:rFonts w:ascii="Times New Roman" w:eastAsia="Times New Roman" w:hAnsi="Times New Roman" w:cs="Times New Roman"/>
                  </w:rPr>
                  <w:t>-17.99676</w:t>
                </w:r>
              </w:p>
            </w:tc>
            <w:tc>
              <w:tcPr>
                <w:tcW w:w="1335" w:type="dxa"/>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rPr>
                </w:pPr>
                <w:r>
                  <w:rPr>
                    <w:rFonts w:ascii="Times New Roman" w:eastAsia="Times New Roman" w:hAnsi="Times New Roman" w:cs="Times New Roman"/>
                  </w:rPr>
                  <w:t>9.102647</w:t>
                </w:r>
              </w:p>
            </w:tc>
            <w:tc>
              <w:tcPr>
                <w:tcW w:w="1170" w:type="dxa"/>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rPr>
                </w:pPr>
                <w:r>
                  <w:rPr>
                    <w:rFonts w:ascii="Times New Roman" w:eastAsia="Times New Roman" w:hAnsi="Times New Roman" w:cs="Times New Roman"/>
                  </w:rPr>
                  <w:t>-1.98</w:t>
                </w:r>
              </w:p>
            </w:tc>
            <w:tc>
              <w:tcPr>
                <w:tcW w:w="1170" w:type="dxa"/>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rPr>
                </w:pPr>
                <w:r>
                  <w:rPr>
                    <w:rFonts w:ascii="Times New Roman" w:eastAsia="Times New Roman" w:hAnsi="Times New Roman" w:cs="Times New Roman"/>
                  </w:rPr>
                  <w:t>0.061</w:t>
                </w:r>
              </w:p>
            </w:tc>
            <w:tc>
              <w:tcPr>
                <w:tcW w:w="1380" w:type="dxa"/>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rPr>
                </w:pPr>
                <w:r>
                  <w:rPr>
                    <w:rFonts w:ascii="Times New Roman" w:eastAsia="Times New Roman" w:hAnsi="Times New Roman" w:cs="Times New Roman"/>
                  </w:rPr>
                  <w:t>-36.92675</w:t>
                </w:r>
              </w:p>
            </w:tc>
            <w:tc>
              <w:tcPr>
                <w:tcW w:w="1380" w:type="dxa"/>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rPr>
                </w:pPr>
                <w:r>
                  <w:rPr>
                    <w:rFonts w:ascii="Times New Roman" w:eastAsia="Times New Roman" w:hAnsi="Times New Roman" w:cs="Times New Roman"/>
                  </w:rPr>
                  <w:t>.9332348</w:t>
                </w:r>
              </w:p>
            </w:tc>
          </w:tr>
          <w:tr w:rsidR="00E438DA">
            <w:trPr>
              <w:trHeight w:val="270"/>
            </w:trPr>
            <w:tc>
              <w:tcPr>
                <w:tcW w:w="1260" w:type="dxa"/>
                <w:tcBorders>
                  <w:right w:val="single" w:sz="8" w:space="0" w:color="000000"/>
                </w:tcBorders>
                <w:shd w:val="clear" w:color="auto" w:fill="auto"/>
                <w:tcMar>
                  <w:top w:w="0" w:type="dxa"/>
                  <w:left w:w="100" w:type="dxa"/>
                  <w:bottom w:w="0" w:type="dxa"/>
                  <w:right w:w="100" w:type="dxa"/>
                </w:tcMar>
              </w:tcPr>
              <w:p w:rsidR="00E438DA" w:rsidRDefault="00000000">
                <w:pPr>
                  <w:jc w:val="both"/>
                  <w:rPr>
                    <w:rFonts w:ascii="Times New Roman" w:eastAsia="Times New Roman" w:hAnsi="Times New Roman" w:cs="Times New Roman"/>
                    <w:b/>
                  </w:rPr>
                </w:pPr>
                <w:r>
                  <w:rPr>
                    <w:rFonts w:ascii="Times New Roman" w:eastAsia="Times New Roman" w:hAnsi="Times New Roman" w:cs="Times New Roman"/>
                    <w:b/>
                  </w:rPr>
                  <w:t>fd_inst</w:t>
                </w:r>
              </w:p>
            </w:tc>
            <w:tc>
              <w:tcPr>
                <w:tcW w:w="1440" w:type="dxa"/>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rPr>
                </w:pPr>
                <w:r>
                  <w:rPr>
                    <w:rFonts w:ascii="Times New Roman" w:eastAsia="Times New Roman" w:hAnsi="Times New Roman" w:cs="Times New Roman"/>
                  </w:rPr>
                  <w:t>2.970086</w:t>
                </w:r>
              </w:p>
            </w:tc>
            <w:tc>
              <w:tcPr>
                <w:tcW w:w="1335" w:type="dxa"/>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rPr>
                </w:pPr>
                <w:r>
                  <w:rPr>
                    <w:rFonts w:ascii="Times New Roman" w:eastAsia="Times New Roman" w:hAnsi="Times New Roman" w:cs="Times New Roman"/>
                  </w:rPr>
                  <w:t>35.01921</w:t>
                </w:r>
              </w:p>
            </w:tc>
            <w:tc>
              <w:tcPr>
                <w:tcW w:w="1170" w:type="dxa"/>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rPr>
                </w:pPr>
                <w:r>
                  <w:rPr>
                    <w:rFonts w:ascii="Times New Roman" w:eastAsia="Times New Roman" w:hAnsi="Times New Roman" w:cs="Times New Roman"/>
                  </w:rPr>
                  <w:t>0.08</w:t>
                </w:r>
              </w:p>
            </w:tc>
            <w:tc>
              <w:tcPr>
                <w:tcW w:w="1170" w:type="dxa"/>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rPr>
                </w:pPr>
                <w:r>
                  <w:rPr>
                    <w:rFonts w:ascii="Times New Roman" w:eastAsia="Times New Roman" w:hAnsi="Times New Roman" w:cs="Times New Roman"/>
                  </w:rPr>
                  <w:t>0.933</w:t>
                </w:r>
              </w:p>
            </w:tc>
            <w:tc>
              <w:tcPr>
                <w:tcW w:w="1380" w:type="dxa"/>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rPr>
                </w:pPr>
                <w:r>
                  <w:rPr>
                    <w:rFonts w:ascii="Times New Roman" w:eastAsia="Times New Roman" w:hAnsi="Times New Roman" w:cs="Times New Roman"/>
                  </w:rPr>
                  <w:t>-69.85635</w:t>
                </w:r>
              </w:p>
            </w:tc>
            <w:tc>
              <w:tcPr>
                <w:tcW w:w="1380" w:type="dxa"/>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rPr>
                </w:pPr>
                <w:r>
                  <w:rPr>
                    <w:rFonts w:ascii="Times New Roman" w:eastAsia="Times New Roman" w:hAnsi="Times New Roman" w:cs="Times New Roman"/>
                  </w:rPr>
                  <w:t>75.79652</w:t>
                </w:r>
              </w:p>
            </w:tc>
          </w:tr>
          <w:tr w:rsidR="00E438DA">
            <w:trPr>
              <w:trHeight w:val="270"/>
            </w:trPr>
            <w:tc>
              <w:tcPr>
                <w:tcW w:w="1260" w:type="dxa"/>
                <w:tcBorders>
                  <w:right w:val="single" w:sz="8" w:space="0" w:color="000000"/>
                </w:tcBorders>
                <w:shd w:val="clear" w:color="auto" w:fill="auto"/>
                <w:tcMar>
                  <w:top w:w="0" w:type="dxa"/>
                  <w:left w:w="100" w:type="dxa"/>
                  <w:bottom w:w="0" w:type="dxa"/>
                  <w:right w:w="100" w:type="dxa"/>
                </w:tcMar>
              </w:tcPr>
              <w:p w:rsidR="00E438DA" w:rsidRDefault="00000000">
                <w:pPr>
                  <w:jc w:val="both"/>
                  <w:rPr>
                    <w:rFonts w:ascii="Times New Roman" w:eastAsia="Times New Roman" w:hAnsi="Times New Roman" w:cs="Times New Roman"/>
                    <w:b/>
                  </w:rPr>
                </w:pPr>
                <w:r>
                  <w:rPr>
                    <w:rFonts w:ascii="Times New Roman" w:eastAsia="Times New Roman" w:hAnsi="Times New Roman" w:cs="Times New Roman"/>
                    <w:b/>
                  </w:rPr>
                  <w:t>lrgdppc</w:t>
                </w:r>
              </w:p>
            </w:tc>
            <w:tc>
              <w:tcPr>
                <w:tcW w:w="1440" w:type="dxa"/>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rPr>
                </w:pPr>
                <w:r>
                  <w:rPr>
                    <w:rFonts w:ascii="Times New Roman" w:eastAsia="Times New Roman" w:hAnsi="Times New Roman" w:cs="Times New Roman"/>
                  </w:rPr>
                  <w:t>-9.284648</w:t>
                </w:r>
              </w:p>
            </w:tc>
            <w:tc>
              <w:tcPr>
                <w:tcW w:w="1335" w:type="dxa"/>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rPr>
                </w:pPr>
                <w:r>
                  <w:rPr>
                    <w:rFonts w:ascii="Times New Roman" w:eastAsia="Times New Roman" w:hAnsi="Times New Roman" w:cs="Times New Roman"/>
                  </w:rPr>
                  <w:t>.9471564</w:t>
                </w:r>
              </w:p>
            </w:tc>
            <w:tc>
              <w:tcPr>
                <w:tcW w:w="1170" w:type="dxa"/>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rPr>
                </w:pPr>
                <w:r>
                  <w:rPr>
                    <w:rFonts w:ascii="Times New Roman" w:eastAsia="Times New Roman" w:hAnsi="Times New Roman" w:cs="Times New Roman"/>
                  </w:rPr>
                  <w:t>-9.80</w:t>
                </w:r>
              </w:p>
            </w:tc>
            <w:tc>
              <w:tcPr>
                <w:tcW w:w="1170" w:type="dxa"/>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rPr>
                </w:pPr>
                <w:r>
                  <w:rPr>
                    <w:rFonts w:ascii="Times New Roman" w:eastAsia="Times New Roman" w:hAnsi="Times New Roman" w:cs="Times New Roman"/>
                  </w:rPr>
                  <w:t>0.000</w:t>
                </w:r>
              </w:p>
            </w:tc>
            <w:tc>
              <w:tcPr>
                <w:tcW w:w="1380" w:type="dxa"/>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rPr>
                </w:pPr>
                <w:r>
                  <w:rPr>
                    <w:rFonts w:ascii="Times New Roman" w:eastAsia="Times New Roman" w:hAnsi="Times New Roman" w:cs="Times New Roman"/>
                  </w:rPr>
                  <w:t>-11.25437</w:t>
                </w:r>
              </w:p>
            </w:tc>
            <w:tc>
              <w:tcPr>
                <w:tcW w:w="1380" w:type="dxa"/>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rPr>
                </w:pPr>
                <w:r>
                  <w:rPr>
                    <w:rFonts w:ascii="Times New Roman" w:eastAsia="Times New Roman" w:hAnsi="Times New Roman" w:cs="Times New Roman"/>
                  </w:rPr>
                  <w:t>-7.314929</w:t>
                </w:r>
              </w:p>
            </w:tc>
          </w:tr>
          <w:tr w:rsidR="00E438DA">
            <w:trPr>
              <w:trHeight w:val="270"/>
            </w:trPr>
            <w:tc>
              <w:tcPr>
                <w:tcW w:w="1260" w:type="dxa"/>
                <w:tcBorders>
                  <w:right w:val="single" w:sz="8" w:space="0" w:color="000000"/>
                </w:tcBorders>
                <w:shd w:val="clear" w:color="auto" w:fill="auto"/>
                <w:tcMar>
                  <w:top w:w="0" w:type="dxa"/>
                  <w:left w:w="100" w:type="dxa"/>
                  <w:bottom w:w="0" w:type="dxa"/>
                  <w:right w:w="100" w:type="dxa"/>
                </w:tcMar>
              </w:tcPr>
              <w:p w:rsidR="00E438DA" w:rsidRDefault="00000000">
                <w:pPr>
                  <w:jc w:val="both"/>
                  <w:rPr>
                    <w:rFonts w:ascii="Times New Roman" w:eastAsia="Times New Roman" w:hAnsi="Times New Roman" w:cs="Times New Roman"/>
                    <w:b/>
                  </w:rPr>
                </w:pPr>
                <w:r>
                  <w:rPr>
                    <w:rFonts w:ascii="Times New Roman" w:eastAsia="Times New Roman" w:hAnsi="Times New Roman" w:cs="Times New Roman"/>
                    <w:b/>
                  </w:rPr>
                  <w:t>fdi</w:t>
                </w:r>
              </w:p>
            </w:tc>
            <w:tc>
              <w:tcPr>
                <w:tcW w:w="1440" w:type="dxa"/>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rPr>
                </w:pPr>
                <w:r>
                  <w:rPr>
                    <w:rFonts w:ascii="Times New Roman" w:eastAsia="Times New Roman" w:hAnsi="Times New Roman" w:cs="Times New Roman"/>
                  </w:rPr>
                  <w:t>.037499</w:t>
                </w:r>
              </w:p>
            </w:tc>
            <w:tc>
              <w:tcPr>
                <w:tcW w:w="1335" w:type="dxa"/>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rPr>
                </w:pPr>
                <w:r>
                  <w:rPr>
                    <w:rFonts w:ascii="Times New Roman" w:eastAsia="Times New Roman" w:hAnsi="Times New Roman" w:cs="Times New Roman"/>
                  </w:rPr>
                  <w:t>.0820465</w:t>
                </w:r>
              </w:p>
            </w:tc>
            <w:tc>
              <w:tcPr>
                <w:tcW w:w="1170" w:type="dxa"/>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rPr>
                </w:pPr>
                <w:r>
                  <w:rPr>
                    <w:rFonts w:ascii="Times New Roman" w:eastAsia="Times New Roman" w:hAnsi="Times New Roman" w:cs="Times New Roman"/>
                  </w:rPr>
                  <w:t>0.46</w:t>
                </w:r>
              </w:p>
            </w:tc>
            <w:tc>
              <w:tcPr>
                <w:tcW w:w="1170" w:type="dxa"/>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rPr>
                </w:pPr>
                <w:r>
                  <w:rPr>
                    <w:rFonts w:ascii="Times New Roman" w:eastAsia="Times New Roman" w:hAnsi="Times New Roman" w:cs="Times New Roman"/>
                  </w:rPr>
                  <w:t>0.652</w:t>
                </w:r>
              </w:p>
            </w:tc>
            <w:tc>
              <w:tcPr>
                <w:tcW w:w="1380" w:type="dxa"/>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rPr>
                </w:pPr>
                <w:r>
                  <w:rPr>
                    <w:rFonts w:ascii="Times New Roman" w:eastAsia="Times New Roman" w:hAnsi="Times New Roman" w:cs="Times New Roman"/>
                  </w:rPr>
                  <w:t>-.133126</w:t>
                </w:r>
              </w:p>
            </w:tc>
            <w:tc>
              <w:tcPr>
                <w:tcW w:w="1380" w:type="dxa"/>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rPr>
                </w:pPr>
                <w:r>
                  <w:rPr>
                    <w:rFonts w:ascii="Times New Roman" w:eastAsia="Times New Roman" w:hAnsi="Times New Roman" w:cs="Times New Roman"/>
                  </w:rPr>
                  <w:t>.208124</w:t>
                </w:r>
              </w:p>
            </w:tc>
          </w:tr>
          <w:tr w:rsidR="00E438DA">
            <w:trPr>
              <w:trHeight w:val="270"/>
            </w:trPr>
            <w:tc>
              <w:tcPr>
                <w:tcW w:w="1260" w:type="dxa"/>
                <w:tcBorders>
                  <w:right w:val="single" w:sz="8" w:space="0" w:color="000000"/>
                </w:tcBorders>
                <w:shd w:val="clear" w:color="auto" w:fill="auto"/>
                <w:tcMar>
                  <w:top w:w="0" w:type="dxa"/>
                  <w:left w:w="100" w:type="dxa"/>
                  <w:bottom w:w="0" w:type="dxa"/>
                  <w:right w:w="100" w:type="dxa"/>
                </w:tcMar>
              </w:tcPr>
              <w:p w:rsidR="00E438DA" w:rsidRDefault="00000000">
                <w:pPr>
                  <w:jc w:val="both"/>
                  <w:rPr>
                    <w:rFonts w:ascii="Times New Roman" w:eastAsia="Times New Roman" w:hAnsi="Times New Roman" w:cs="Times New Roman"/>
                    <w:b/>
                  </w:rPr>
                </w:pPr>
                <w:r>
                  <w:rPr>
                    <w:rFonts w:ascii="Times New Roman" w:eastAsia="Times New Roman" w:hAnsi="Times New Roman" w:cs="Times New Roman"/>
                    <w:b/>
                  </w:rPr>
                  <w:t>lpop</w:t>
                </w:r>
              </w:p>
            </w:tc>
            <w:tc>
              <w:tcPr>
                <w:tcW w:w="1440" w:type="dxa"/>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rPr>
                </w:pPr>
                <w:r>
                  <w:rPr>
                    <w:rFonts w:ascii="Times New Roman" w:eastAsia="Times New Roman" w:hAnsi="Times New Roman" w:cs="Times New Roman"/>
                  </w:rPr>
                  <w:t>-2.410769</w:t>
                </w:r>
              </w:p>
            </w:tc>
            <w:tc>
              <w:tcPr>
                <w:tcW w:w="1335" w:type="dxa"/>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rPr>
                </w:pPr>
                <w:r>
                  <w:rPr>
                    <w:rFonts w:ascii="Times New Roman" w:eastAsia="Times New Roman" w:hAnsi="Times New Roman" w:cs="Times New Roman"/>
                  </w:rPr>
                  <w:t>1.641963</w:t>
                </w:r>
              </w:p>
            </w:tc>
            <w:tc>
              <w:tcPr>
                <w:tcW w:w="1170" w:type="dxa"/>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rPr>
                </w:pPr>
                <w:r>
                  <w:rPr>
                    <w:rFonts w:ascii="Times New Roman" w:eastAsia="Times New Roman" w:hAnsi="Times New Roman" w:cs="Times New Roman"/>
                  </w:rPr>
                  <w:t>-1.47</w:t>
                </w:r>
              </w:p>
            </w:tc>
            <w:tc>
              <w:tcPr>
                <w:tcW w:w="1170" w:type="dxa"/>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rPr>
                </w:pPr>
                <w:r>
                  <w:rPr>
                    <w:rFonts w:ascii="Times New Roman" w:eastAsia="Times New Roman" w:hAnsi="Times New Roman" w:cs="Times New Roman"/>
                  </w:rPr>
                  <w:t>0.157</w:t>
                </w:r>
              </w:p>
            </w:tc>
            <w:tc>
              <w:tcPr>
                <w:tcW w:w="1380" w:type="dxa"/>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rPr>
                </w:pPr>
                <w:r>
                  <w:rPr>
                    <w:rFonts w:ascii="Times New Roman" w:eastAsia="Times New Roman" w:hAnsi="Times New Roman" w:cs="Times New Roman"/>
                  </w:rPr>
                  <w:t>-5.825418</w:t>
                </w:r>
              </w:p>
            </w:tc>
            <w:tc>
              <w:tcPr>
                <w:tcW w:w="1380" w:type="dxa"/>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rPr>
                </w:pPr>
                <w:r>
                  <w:rPr>
                    <w:rFonts w:ascii="Times New Roman" w:eastAsia="Times New Roman" w:hAnsi="Times New Roman" w:cs="Times New Roman"/>
                  </w:rPr>
                  <w:t>1.00388</w:t>
                </w:r>
              </w:p>
            </w:tc>
          </w:tr>
          <w:tr w:rsidR="00E438DA">
            <w:trPr>
              <w:trHeight w:val="285"/>
            </w:trPr>
            <w:tc>
              <w:tcPr>
                <w:tcW w:w="1260" w:type="dxa"/>
                <w:tcBorders>
                  <w:bottom w:val="single" w:sz="8" w:space="0" w:color="000000"/>
                  <w:right w:val="single" w:sz="8" w:space="0" w:color="000000"/>
                </w:tcBorders>
                <w:shd w:val="clear" w:color="auto" w:fill="auto"/>
                <w:tcMar>
                  <w:top w:w="0" w:type="dxa"/>
                  <w:left w:w="100" w:type="dxa"/>
                  <w:bottom w:w="0" w:type="dxa"/>
                  <w:right w:w="100" w:type="dxa"/>
                </w:tcMar>
              </w:tcPr>
              <w:p w:rsidR="00E438DA" w:rsidRDefault="00000000">
                <w:pPr>
                  <w:jc w:val="both"/>
                  <w:rPr>
                    <w:rFonts w:ascii="Times New Roman" w:eastAsia="Times New Roman" w:hAnsi="Times New Roman" w:cs="Times New Roman"/>
                    <w:b/>
                  </w:rPr>
                </w:pPr>
                <w:r>
                  <w:rPr>
                    <w:rFonts w:ascii="Times New Roman" w:eastAsia="Times New Roman" w:hAnsi="Times New Roman" w:cs="Times New Roman"/>
                    <w:b/>
                  </w:rPr>
                  <w:t>constant</w:t>
                </w:r>
              </w:p>
            </w:tc>
            <w:tc>
              <w:tcPr>
                <w:tcW w:w="1440" w:type="dxa"/>
                <w:tcBorders>
                  <w:bottom w:val="single" w:sz="8" w:space="0" w:color="000000"/>
                </w:tcBorders>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rPr>
                </w:pPr>
                <w:r>
                  <w:rPr>
                    <w:rFonts w:ascii="Times New Roman" w:eastAsia="Times New Roman" w:hAnsi="Times New Roman" w:cs="Times New Roman"/>
                  </w:rPr>
                  <w:t>242.9215</w:t>
                </w:r>
              </w:p>
            </w:tc>
            <w:tc>
              <w:tcPr>
                <w:tcW w:w="1335" w:type="dxa"/>
                <w:tcBorders>
                  <w:bottom w:val="single" w:sz="8" w:space="0" w:color="000000"/>
                </w:tcBorders>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rPr>
                </w:pPr>
                <w:r>
                  <w:rPr>
                    <w:rFonts w:ascii="Times New Roman" w:eastAsia="Times New Roman" w:hAnsi="Times New Roman" w:cs="Times New Roman"/>
                  </w:rPr>
                  <w:t>23.03055</w:t>
                </w:r>
              </w:p>
            </w:tc>
            <w:tc>
              <w:tcPr>
                <w:tcW w:w="1170" w:type="dxa"/>
                <w:tcBorders>
                  <w:bottom w:val="single" w:sz="8" w:space="0" w:color="000000"/>
                </w:tcBorders>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rPr>
                </w:pPr>
                <w:r>
                  <w:rPr>
                    <w:rFonts w:ascii="Times New Roman" w:eastAsia="Times New Roman" w:hAnsi="Times New Roman" w:cs="Times New Roman"/>
                  </w:rPr>
                  <w:t>10.55</w:t>
                </w:r>
              </w:p>
            </w:tc>
            <w:tc>
              <w:tcPr>
                <w:tcW w:w="1170" w:type="dxa"/>
                <w:tcBorders>
                  <w:bottom w:val="single" w:sz="8" w:space="0" w:color="000000"/>
                </w:tcBorders>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rPr>
                </w:pPr>
                <w:r>
                  <w:rPr>
                    <w:rFonts w:ascii="Times New Roman" w:eastAsia="Times New Roman" w:hAnsi="Times New Roman" w:cs="Times New Roman"/>
                  </w:rPr>
                  <w:t>0.000</w:t>
                </w:r>
              </w:p>
            </w:tc>
            <w:tc>
              <w:tcPr>
                <w:tcW w:w="1380" w:type="dxa"/>
                <w:tcBorders>
                  <w:bottom w:val="single" w:sz="8" w:space="0" w:color="000000"/>
                </w:tcBorders>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rPr>
                </w:pPr>
                <w:r>
                  <w:rPr>
                    <w:rFonts w:ascii="Times New Roman" w:eastAsia="Times New Roman" w:hAnsi="Times New Roman" w:cs="Times New Roman"/>
                  </w:rPr>
                  <w:t>195.0268</w:t>
                </w:r>
              </w:p>
            </w:tc>
            <w:tc>
              <w:tcPr>
                <w:tcW w:w="1380" w:type="dxa"/>
                <w:tcBorders>
                  <w:bottom w:val="single" w:sz="8" w:space="0" w:color="000000"/>
                </w:tcBorders>
                <w:shd w:val="clear" w:color="auto" w:fill="auto"/>
                <w:tcMar>
                  <w:top w:w="0" w:type="dxa"/>
                  <w:left w:w="100" w:type="dxa"/>
                  <w:bottom w:w="0" w:type="dxa"/>
                  <w:right w:w="100" w:type="dxa"/>
                </w:tcMar>
              </w:tcPr>
              <w:p w:rsidR="00E438DA" w:rsidRDefault="00000000">
                <w:pPr>
                  <w:jc w:val="right"/>
                  <w:rPr>
                    <w:rFonts w:ascii="Times New Roman" w:eastAsia="Times New Roman" w:hAnsi="Times New Roman" w:cs="Times New Roman"/>
                  </w:rPr>
                </w:pPr>
                <w:r>
                  <w:rPr>
                    <w:rFonts w:ascii="Times New Roman" w:eastAsia="Times New Roman" w:hAnsi="Times New Roman" w:cs="Times New Roman"/>
                  </w:rPr>
                  <w:t>290.8161</w:t>
                </w:r>
              </w:p>
            </w:tc>
          </w:tr>
        </w:tbl>
      </w:sdtContent>
    </w:sdt>
    <w:p w:rsidR="00E438DA" w:rsidRDefault="00000000">
      <w:pPr>
        <w:jc w:val="both"/>
        <w:rPr>
          <w:i/>
          <w:sz w:val="16"/>
          <w:szCs w:val="16"/>
        </w:rPr>
      </w:pPr>
      <w:proofErr w:type="spellStart"/>
      <w:r>
        <w:rPr>
          <w:i/>
          <w:sz w:val="16"/>
          <w:szCs w:val="16"/>
        </w:rPr>
        <w:t>fd</w:t>
      </w:r>
      <w:proofErr w:type="spellEnd"/>
      <w:r>
        <w:rPr>
          <w:i/>
          <w:sz w:val="16"/>
          <w:szCs w:val="16"/>
        </w:rPr>
        <w:t xml:space="preserve"> = Financial Development; </w:t>
      </w:r>
      <w:proofErr w:type="spellStart"/>
      <w:r>
        <w:rPr>
          <w:i/>
          <w:sz w:val="16"/>
          <w:szCs w:val="16"/>
        </w:rPr>
        <w:t>inst</w:t>
      </w:r>
      <w:proofErr w:type="spellEnd"/>
      <w:r>
        <w:rPr>
          <w:i/>
          <w:sz w:val="16"/>
          <w:szCs w:val="16"/>
        </w:rPr>
        <w:t xml:space="preserve"> = Institutional Quality; </w:t>
      </w:r>
      <w:proofErr w:type="spellStart"/>
      <w:r>
        <w:rPr>
          <w:i/>
          <w:sz w:val="16"/>
          <w:szCs w:val="16"/>
        </w:rPr>
        <w:t>fd_inst</w:t>
      </w:r>
      <w:proofErr w:type="spellEnd"/>
      <w:r>
        <w:rPr>
          <w:i/>
          <w:sz w:val="16"/>
          <w:szCs w:val="16"/>
        </w:rPr>
        <w:t xml:space="preserve"> = Interaction term between Financial Development and Institutional Quality; </w:t>
      </w:r>
      <w:proofErr w:type="spellStart"/>
      <w:r>
        <w:rPr>
          <w:i/>
          <w:sz w:val="16"/>
          <w:szCs w:val="16"/>
        </w:rPr>
        <w:t>lrgdppc</w:t>
      </w:r>
      <w:proofErr w:type="spellEnd"/>
      <w:r>
        <w:rPr>
          <w:i/>
          <w:sz w:val="16"/>
          <w:szCs w:val="16"/>
        </w:rPr>
        <w:t xml:space="preserve"> = Log of Real GDP per capita; </w:t>
      </w:r>
      <w:proofErr w:type="spellStart"/>
      <w:r>
        <w:rPr>
          <w:i/>
          <w:sz w:val="16"/>
          <w:szCs w:val="16"/>
        </w:rPr>
        <w:t>fdi</w:t>
      </w:r>
      <w:proofErr w:type="spellEnd"/>
      <w:r>
        <w:rPr>
          <w:i/>
          <w:sz w:val="16"/>
          <w:szCs w:val="16"/>
        </w:rPr>
        <w:t xml:space="preserve"> = Foreign Direct Investment; </w:t>
      </w:r>
      <w:proofErr w:type="spellStart"/>
      <w:r>
        <w:rPr>
          <w:i/>
          <w:sz w:val="16"/>
          <w:szCs w:val="16"/>
        </w:rPr>
        <w:t>lpop</w:t>
      </w:r>
      <w:proofErr w:type="spellEnd"/>
      <w:r>
        <w:rPr>
          <w:i/>
          <w:sz w:val="16"/>
          <w:szCs w:val="16"/>
        </w:rPr>
        <w:t xml:space="preserve"> = Log of Population</w:t>
      </w:r>
    </w:p>
    <w:p w:rsidR="00E438DA" w:rsidRDefault="00E438DA">
      <w:pPr>
        <w:jc w:val="both"/>
        <w:rPr>
          <w:i/>
          <w:sz w:val="16"/>
          <w:szCs w:val="16"/>
        </w:rPr>
      </w:pPr>
    </w:p>
    <w:p w:rsidR="00E438DA" w:rsidRDefault="00000000">
      <w:pPr>
        <w:jc w:val="both"/>
        <w:rPr>
          <w:rFonts w:ascii="Georgia" w:eastAsia="Georgia" w:hAnsi="Georgia" w:cs="Georgia"/>
        </w:rPr>
      </w:pPr>
      <w:r>
        <w:rPr>
          <w:rFonts w:ascii="Georgia" w:eastAsia="Georgia" w:hAnsi="Georgia" w:cs="Georgia"/>
        </w:rPr>
        <w:t xml:space="preserve">Table 14 presents the Driscoll-Kraay fixed effects regression results, which deal with cross-sectional dependence. In the absence of the interaction term, financial progress (-15.68***, p = 0.002), institutional quality (-17.44***, p = 0.000), and log GDP per capita (-9.28***, p = 0.000) have significant negative impacts on renewable energy use. When the interaction term is added, it becomes insignificant (2.97, p = 0.933), and financial progress becomes insignificant too (-17.35, p = 0.311), most probably because of multicollinearity. </w:t>
      </w:r>
    </w:p>
    <w:p w:rsidR="00E438DA" w:rsidRDefault="00E438DA">
      <w:pPr>
        <w:rPr>
          <w:rFonts w:ascii="Georgia" w:eastAsia="Georgia" w:hAnsi="Georgia" w:cs="Georgia"/>
        </w:rPr>
      </w:pPr>
    </w:p>
    <w:p w:rsidR="00E438DA" w:rsidRDefault="00000000">
      <w:pPr>
        <w:pStyle w:val="Heading3"/>
        <w:keepNext w:val="0"/>
        <w:keepLines w:val="0"/>
        <w:spacing w:before="280"/>
        <w:rPr>
          <w:rFonts w:ascii="Georgia" w:eastAsia="Georgia" w:hAnsi="Georgia" w:cs="Georgia"/>
          <w:color w:val="000000"/>
        </w:rPr>
      </w:pPr>
      <w:bookmarkStart w:id="69" w:name="_heading=h.3ge6btot68sr" w:colFirst="0" w:colLast="0"/>
      <w:bookmarkEnd w:id="69"/>
      <w:r>
        <w:rPr>
          <w:rFonts w:ascii="Georgia" w:eastAsia="Georgia" w:hAnsi="Georgia" w:cs="Georgia"/>
          <w:color w:val="000000"/>
        </w:rPr>
        <w:t>6.2.3 Panel Time-Series Estimators</w:t>
      </w:r>
    </w:p>
    <w:p w:rsidR="00E438DA" w:rsidRDefault="00E438DA">
      <w:pPr>
        <w:spacing w:after="240"/>
        <w:rPr>
          <w:b/>
        </w:rPr>
      </w:pPr>
    </w:p>
    <w:p w:rsidR="00E438DA" w:rsidRDefault="00000000">
      <w:pPr>
        <w:spacing w:after="240"/>
        <w:jc w:val="both"/>
      </w:pPr>
      <w:r>
        <w:rPr>
          <w:rFonts w:ascii="Times New Roman" w:eastAsia="Times New Roman" w:hAnsi="Times New Roman" w:cs="Times New Roman"/>
          <w:b/>
          <w:sz w:val="26"/>
          <w:szCs w:val="26"/>
        </w:rPr>
        <w:t xml:space="preserve">Table 15: Panel Estimation Results for Renewable Energy Consumption </w:t>
      </w:r>
    </w:p>
    <w:sdt>
      <w:sdtPr>
        <w:tag w:val="goog_rdk_17"/>
        <w:id w:val="-2042347681"/>
        <w:lock w:val="contentLocked"/>
      </w:sdtPr>
      <w:sdtContent>
        <w:tbl>
          <w:tblPr>
            <w:tblStyle w:val="ae"/>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E438DA">
            <w:tc>
              <w:tcPr>
                <w:tcW w:w="2340" w:type="dxa"/>
                <w:tcMar>
                  <w:top w:w="100" w:type="dxa"/>
                  <w:left w:w="100" w:type="dxa"/>
                  <w:bottom w:w="100" w:type="dxa"/>
                  <w:right w:w="100" w:type="dxa"/>
                </w:tcMar>
              </w:tcPr>
              <w:p w:rsidR="00E438DA" w:rsidRDefault="00000000">
                <w:pPr>
                  <w:jc w:val="center"/>
                  <w:rPr>
                    <w:rFonts w:ascii="Times New Roman" w:eastAsia="Times New Roman" w:hAnsi="Times New Roman" w:cs="Times New Roman"/>
                  </w:rPr>
                </w:pPr>
                <w:r>
                  <w:rPr>
                    <w:rFonts w:ascii="Times New Roman" w:eastAsia="Times New Roman" w:hAnsi="Times New Roman" w:cs="Times New Roman"/>
                    <w:b/>
                  </w:rPr>
                  <w:t>Variables</w:t>
                </w:r>
              </w:p>
            </w:tc>
            <w:tc>
              <w:tcPr>
                <w:tcW w:w="2340" w:type="dxa"/>
                <w:tcMar>
                  <w:top w:w="100" w:type="dxa"/>
                  <w:left w:w="100" w:type="dxa"/>
                  <w:bottom w:w="100" w:type="dxa"/>
                  <w:right w:w="100" w:type="dxa"/>
                </w:tcMar>
              </w:tcPr>
              <w:p w:rsidR="00E438DA" w:rsidRDefault="00000000">
                <w:pPr>
                  <w:jc w:val="center"/>
                  <w:rPr>
                    <w:rFonts w:ascii="Times New Roman" w:eastAsia="Times New Roman" w:hAnsi="Times New Roman" w:cs="Times New Roman"/>
                  </w:rPr>
                </w:pPr>
                <w:r>
                  <w:rPr>
                    <w:rFonts w:ascii="Times New Roman" w:eastAsia="Times New Roman" w:hAnsi="Times New Roman" w:cs="Times New Roman"/>
                    <w:b/>
                  </w:rPr>
                  <w:t>PMG Estimator (Coefficient, Std. Error)</w:t>
                </w:r>
              </w:p>
            </w:tc>
            <w:tc>
              <w:tcPr>
                <w:tcW w:w="2340" w:type="dxa"/>
                <w:tcMar>
                  <w:top w:w="100" w:type="dxa"/>
                  <w:left w:w="100" w:type="dxa"/>
                  <w:bottom w:w="100" w:type="dxa"/>
                  <w:right w:w="100" w:type="dxa"/>
                </w:tcMar>
              </w:tcPr>
              <w:p w:rsidR="00E438DA" w:rsidRDefault="00000000">
                <w:pPr>
                  <w:jc w:val="center"/>
                  <w:rPr>
                    <w:rFonts w:ascii="Times New Roman" w:eastAsia="Times New Roman" w:hAnsi="Times New Roman" w:cs="Times New Roman"/>
                  </w:rPr>
                </w:pPr>
                <w:r>
                  <w:rPr>
                    <w:rFonts w:ascii="Times New Roman" w:eastAsia="Times New Roman" w:hAnsi="Times New Roman" w:cs="Times New Roman"/>
                    <w:b/>
                  </w:rPr>
                  <w:t>AMG Estimator (Coefficient, Std. Error)</w:t>
                </w:r>
              </w:p>
            </w:tc>
            <w:tc>
              <w:tcPr>
                <w:tcW w:w="2340" w:type="dxa"/>
                <w:tcMar>
                  <w:top w:w="100" w:type="dxa"/>
                  <w:left w:w="100" w:type="dxa"/>
                  <w:bottom w:w="100" w:type="dxa"/>
                  <w:right w:w="100" w:type="dxa"/>
                </w:tcMar>
              </w:tcPr>
              <w:p w:rsidR="00E438DA" w:rsidRDefault="00000000">
                <w:pPr>
                  <w:jc w:val="center"/>
                  <w:rPr>
                    <w:rFonts w:ascii="Times New Roman" w:eastAsia="Times New Roman" w:hAnsi="Times New Roman" w:cs="Times New Roman"/>
                  </w:rPr>
                </w:pPr>
                <w:r>
                  <w:rPr>
                    <w:rFonts w:ascii="Times New Roman" w:eastAsia="Times New Roman" w:hAnsi="Times New Roman" w:cs="Times New Roman"/>
                    <w:b/>
                  </w:rPr>
                  <w:t>CCEMG Estimator (Coefficient, Std. Error)</w:t>
                </w:r>
              </w:p>
            </w:tc>
          </w:tr>
          <w:tr w:rsidR="00E438DA">
            <w:tc>
              <w:tcPr>
                <w:tcW w:w="2340" w:type="dxa"/>
                <w:tcMar>
                  <w:top w:w="100" w:type="dxa"/>
                  <w:left w:w="100" w:type="dxa"/>
                  <w:bottom w:w="100" w:type="dxa"/>
                  <w:right w:w="100" w:type="dxa"/>
                </w:tcMar>
              </w:tcPr>
              <w:p w:rsidR="00E438DA" w:rsidRDefault="00000000">
                <w:pPr>
                  <w:jc w:val="both"/>
                  <w:rPr>
                    <w:rFonts w:ascii="Times New Roman" w:eastAsia="Times New Roman" w:hAnsi="Times New Roman" w:cs="Times New Roman"/>
                    <w:b/>
                  </w:rPr>
                </w:pPr>
                <w:r>
                  <w:rPr>
                    <w:rFonts w:ascii="Times New Roman" w:eastAsia="Times New Roman" w:hAnsi="Times New Roman" w:cs="Times New Roman"/>
                    <w:b/>
                  </w:rPr>
                  <w:t>fd</w:t>
                </w:r>
              </w:p>
            </w:tc>
            <w:tc>
              <w:tcPr>
                <w:tcW w:w="2340" w:type="dxa"/>
                <w:tcMar>
                  <w:top w:w="100" w:type="dxa"/>
                  <w:left w:w="100" w:type="dxa"/>
                  <w:bottom w:w="100" w:type="dxa"/>
                  <w:right w:w="100" w:type="dxa"/>
                </w:tcMar>
              </w:tcPr>
              <w:p w:rsidR="00E438DA" w:rsidRDefault="00000000">
                <w:pPr>
                  <w:rPr>
                    <w:rFonts w:ascii="Times New Roman" w:eastAsia="Times New Roman" w:hAnsi="Times New Roman" w:cs="Times New Roman"/>
                  </w:rPr>
                </w:pPr>
                <w:r>
                  <w:rPr>
                    <w:rFonts w:ascii="Times New Roman" w:eastAsia="Times New Roman" w:hAnsi="Times New Roman" w:cs="Times New Roman"/>
                  </w:rPr>
                  <w:t>-132.199 (72.268)</w:t>
                </w:r>
              </w:p>
            </w:tc>
            <w:tc>
              <w:tcPr>
                <w:tcW w:w="2340" w:type="dxa"/>
                <w:tcMar>
                  <w:top w:w="100" w:type="dxa"/>
                  <w:left w:w="100" w:type="dxa"/>
                  <w:bottom w:w="100" w:type="dxa"/>
                  <w:right w:w="100" w:type="dxa"/>
                </w:tcMar>
              </w:tcPr>
              <w:p w:rsidR="00E438DA" w:rsidRDefault="00000000">
                <w:pPr>
                  <w:rPr>
                    <w:rFonts w:ascii="Times New Roman" w:eastAsia="Times New Roman" w:hAnsi="Times New Roman" w:cs="Times New Roman"/>
                  </w:rPr>
                </w:pPr>
                <w:r>
                  <w:rPr>
                    <w:rFonts w:ascii="Times New Roman" w:eastAsia="Times New Roman" w:hAnsi="Times New Roman" w:cs="Times New Roman"/>
                  </w:rPr>
                  <w:t>-336.610 (190.081)</w:t>
                </w:r>
              </w:p>
            </w:tc>
            <w:tc>
              <w:tcPr>
                <w:tcW w:w="2340" w:type="dxa"/>
                <w:tcMar>
                  <w:top w:w="100" w:type="dxa"/>
                  <w:left w:w="100" w:type="dxa"/>
                  <w:bottom w:w="100" w:type="dxa"/>
                  <w:right w:w="100" w:type="dxa"/>
                </w:tcMar>
              </w:tcPr>
              <w:p w:rsidR="00E438DA" w:rsidRDefault="00000000">
                <w:pPr>
                  <w:rPr>
                    <w:rFonts w:ascii="Times New Roman" w:eastAsia="Times New Roman" w:hAnsi="Times New Roman" w:cs="Times New Roman"/>
                  </w:rPr>
                </w:pPr>
                <w:r>
                  <w:rPr>
                    <w:rFonts w:ascii="Times New Roman" w:eastAsia="Times New Roman" w:hAnsi="Times New Roman" w:cs="Times New Roman"/>
                  </w:rPr>
                  <w:t>-439.910 (310.422)</w:t>
                </w:r>
              </w:p>
            </w:tc>
          </w:tr>
          <w:tr w:rsidR="00E438DA">
            <w:tc>
              <w:tcPr>
                <w:tcW w:w="2340" w:type="dxa"/>
                <w:tcMar>
                  <w:top w:w="100" w:type="dxa"/>
                  <w:left w:w="100" w:type="dxa"/>
                  <w:bottom w:w="100" w:type="dxa"/>
                  <w:right w:w="100" w:type="dxa"/>
                </w:tcMar>
              </w:tcPr>
              <w:p w:rsidR="00E438DA" w:rsidRDefault="00000000">
                <w:pPr>
                  <w:jc w:val="both"/>
                  <w:rPr>
                    <w:rFonts w:ascii="Times New Roman" w:eastAsia="Times New Roman" w:hAnsi="Times New Roman" w:cs="Times New Roman"/>
                  </w:rPr>
                </w:pPr>
                <w:r>
                  <w:rPr>
                    <w:rFonts w:ascii="Times New Roman" w:eastAsia="Times New Roman" w:hAnsi="Times New Roman" w:cs="Times New Roman"/>
                    <w:b/>
                  </w:rPr>
                  <w:t>inst</w:t>
                </w:r>
              </w:p>
            </w:tc>
            <w:tc>
              <w:tcPr>
                <w:tcW w:w="2340" w:type="dxa"/>
                <w:tcMar>
                  <w:top w:w="100" w:type="dxa"/>
                  <w:left w:w="100" w:type="dxa"/>
                  <w:bottom w:w="100" w:type="dxa"/>
                  <w:right w:w="100" w:type="dxa"/>
                </w:tcMar>
              </w:tcPr>
              <w:p w:rsidR="00E438DA" w:rsidRDefault="00000000">
                <w:pPr>
                  <w:rPr>
                    <w:rFonts w:ascii="Times New Roman" w:eastAsia="Times New Roman" w:hAnsi="Times New Roman" w:cs="Times New Roman"/>
                  </w:rPr>
                </w:pPr>
                <w:r>
                  <w:rPr>
                    <w:rFonts w:ascii="Times New Roman" w:eastAsia="Times New Roman" w:hAnsi="Times New Roman" w:cs="Times New Roman"/>
                  </w:rPr>
                  <w:t>-139.654 (27.236)</w:t>
                </w:r>
              </w:p>
            </w:tc>
            <w:tc>
              <w:tcPr>
                <w:tcW w:w="2340" w:type="dxa"/>
                <w:tcMar>
                  <w:top w:w="100" w:type="dxa"/>
                  <w:left w:w="100" w:type="dxa"/>
                  <w:bottom w:w="100" w:type="dxa"/>
                  <w:right w:w="100" w:type="dxa"/>
                </w:tcMar>
              </w:tcPr>
              <w:p w:rsidR="00E438DA" w:rsidRDefault="00000000">
                <w:pPr>
                  <w:rPr>
                    <w:rFonts w:ascii="Times New Roman" w:eastAsia="Times New Roman" w:hAnsi="Times New Roman" w:cs="Times New Roman"/>
                  </w:rPr>
                </w:pPr>
                <w:r>
                  <w:rPr>
                    <w:rFonts w:ascii="Times New Roman" w:eastAsia="Times New Roman" w:hAnsi="Times New Roman" w:cs="Times New Roman"/>
                  </w:rPr>
                  <w:t>-129.356 (58.289)</w:t>
                </w:r>
              </w:p>
            </w:tc>
            <w:tc>
              <w:tcPr>
                <w:tcW w:w="2340" w:type="dxa"/>
                <w:tcMar>
                  <w:top w:w="100" w:type="dxa"/>
                  <w:left w:w="100" w:type="dxa"/>
                  <w:bottom w:w="100" w:type="dxa"/>
                  <w:right w:w="100" w:type="dxa"/>
                </w:tcMar>
              </w:tcPr>
              <w:p w:rsidR="00E438DA" w:rsidRDefault="00000000">
                <w:pPr>
                  <w:rPr>
                    <w:rFonts w:ascii="Times New Roman" w:eastAsia="Times New Roman" w:hAnsi="Times New Roman" w:cs="Times New Roman"/>
                  </w:rPr>
                </w:pPr>
                <w:r>
                  <w:rPr>
                    <w:rFonts w:ascii="Times New Roman" w:eastAsia="Times New Roman" w:hAnsi="Times New Roman" w:cs="Times New Roman"/>
                  </w:rPr>
                  <w:t>-117.902 (72.132)</w:t>
                </w:r>
              </w:p>
            </w:tc>
          </w:tr>
          <w:tr w:rsidR="00E438DA">
            <w:tc>
              <w:tcPr>
                <w:tcW w:w="2340" w:type="dxa"/>
                <w:tcMar>
                  <w:top w:w="100" w:type="dxa"/>
                  <w:left w:w="100" w:type="dxa"/>
                  <w:bottom w:w="100" w:type="dxa"/>
                  <w:right w:w="100" w:type="dxa"/>
                </w:tcMar>
              </w:tcPr>
              <w:p w:rsidR="00E438DA" w:rsidRDefault="00000000">
                <w:pPr>
                  <w:jc w:val="both"/>
                  <w:rPr>
                    <w:rFonts w:ascii="Times New Roman" w:eastAsia="Times New Roman" w:hAnsi="Times New Roman" w:cs="Times New Roman"/>
                  </w:rPr>
                </w:pPr>
                <w:r>
                  <w:rPr>
                    <w:rFonts w:ascii="Times New Roman" w:eastAsia="Times New Roman" w:hAnsi="Times New Roman" w:cs="Times New Roman"/>
                    <w:b/>
                  </w:rPr>
                  <w:t>fd_inst</w:t>
                </w:r>
              </w:p>
            </w:tc>
            <w:tc>
              <w:tcPr>
                <w:tcW w:w="2340" w:type="dxa"/>
                <w:tcMar>
                  <w:top w:w="100" w:type="dxa"/>
                  <w:left w:w="100" w:type="dxa"/>
                  <w:bottom w:w="100" w:type="dxa"/>
                  <w:right w:w="100" w:type="dxa"/>
                </w:tcMar>
              </w:tcPr>
              <w:p w:rsidR="00E438DA" w:rsidRDefault="00000000">
                <w:pPr>
                  <w:rPr>
                    <w:rFonts w:ascii="Times New Roman" w:eastAsia="Times New Roman" w:hAnsi="Times New Roman" w:cs="Times New Roman"/>
                  </w:rPr>
                </w:pPr>
                <w:r>
                  <w:rPr>
                    <w:rFonts w:ascii="Times New Roman" w:eastAsia="Times New Roman" w:hAnsi="Times New Roman" w:cs="Times New Roman"/>
                  </w:rPr>
                  <w:t>57.134 (145.850)</w:t>
                </w:r>
              </w:p>
            </w:tc>
            <w:tc>
              <w:tcPr>
                <w:tcW w:w="2340" w:type="dxa"/>
                <w:tcMar>
                  <w:top w:w="100" w:type="dxa"/>
                  <w:left w:w="100" w:type="dxa"/>
                  <w:bottom w:w="100" w:type="dxa"/>
                  <w:right w:w="100" w:type="dxa"/>
                </w:tcMar>
              </w:tcPr>
              <w:p w:rsidR="00E438DA" w:rsidRDefault="00000000">
                <w:pPr>
                  <w:rPr>
                    <w:rFonts w:ascii="Times New Roman" w:eastAsia="Times New Roman" w:hAnsi="Times New Roman" w:cs="Times New Roman"/>
                  </w:rPr>
                </w:pPr>
                <w:r>
                  <w:rPr>
                    <w:rFonts w:ascii="Times New Roman" w:eastAsia="Times New Roman" w:hAnsi="Times New Roman" w:cs="Times New Roman"/>
                  </w:rPr>
                  <w:t>532.883 (374.691)</w:t>
                </w:r>
              </w:p>
            </w:tc>
            <w:tc>
              <w:tcPr>
                <w:tcW w:w="2340" w:type="dxa"/>
                <w:tcMar>
                  <w:top w:w="100" w:type="dxa"/>
                  <w:left w:w="100" w:type="dxa"/>
                  <w:bottom w:w="100" w:type="dxa"/>
                  <w:right w:w="100" w:type="dxa"/>
                </w:tcMar>
              </w:tcPr>
              <w:p w:rsidR="00E438DA" w:rsidRDefault="00000000">
                <w:pPr>
                  <w:rPr>
                    <w:rFonts w:ascii="Times New Roman" w:eastAsia="Times New Roman" w:hAnsi="Times New Roman" w:cs="Times New Roman"/>
                  </w:rPr>
                </w:pPr>
                <w:r>
                  <w:rPr>
                    <w:rFonts w:ascii="Times New Roman" w:eastAsia="Times New Roman" w:hAnsi="Times New Roman" w:cs="Times New Roman"/>
                  </w:rPr>
                  <w:t>809.175 (642.196)</w:t>
                </w:r>
              </w:p>
            </w:tc>
          </w:tr>
          <w:tr w:rsidR="00E438DA">
            <w:tc>
              <w:tcPr>
                <w:tcW w:w="2340" w:type="dxa"/>
                <w:tcMar>
                  <w:top w:w="100" w:type="dxa"/>
                  <w:left w:w="100" w:type="dxa"/>
                  <w:bottom w:w="100" w:type="dxa"/>
                  <w:right w:w="100" w:type="dxa"/>
                </w:tcMar>
              </w:tcPr>
              <w:p w:rsidR="00E438DA" w:rsidRDefault="00000000">
                <w:pPr>
                  <w:jc w:val="both"/>
                  <w:rPr>
                    <w:rFonts w:ascii="Times New Roman" w:eastAsia="Times New Roman" w:hAnsi="Times New Roman" w:cs="Times New Roman"/>
                  </w:rPr>
                </w:pPr>
                <w:r>
                  <w:rPr>
                    <w:rFonts w:ascii="Times New Roman" w:eastAsia="Times New Roman" w:hAnsi="Times New Roman" w:cs="Times New Roman"/>
                    <w:b/>
                  </w:rPr>
                  <w:t>lrgdppc</w:t>
                </w:r>
              </w:p>
            </w:tc>
            <w:tc>
              <w:tcPr>
                <w:tcW w:w="2340" w:type="dxa"/>
                <w:tcMar>
                  <w:top w:w="100" w:type="dxa"/>
                  <w:left w:w="100" w:type="dxa"/>
                  <w:bottom w:w="100" w:type="dxa"/>
                  <w:right w:w="100" w:type="dxa"/>
                </w:tcMar>
              </w:tcPr>
              <w:p w:rsidR="00E438DA" w:rsidRDefault="00000000">
                <w:pPr>
                  <w:rPr>
                    <w:rFonts w:ascii="Times New Roman" w:eastAsia="Times New Roman" w:hAnsi="Times New Roman" w:cs="Times New Roman"/>
                  </w:rPr>
                </w:pPr>
                <w:r>
                  <w:rPr>
                    <w:rFonts w:ascii="Times New Roman" w:eastAsia="Times New Roman" w:hAnsi="Times New Roman" w:cs="Times New Roman"/>
                  </w:rPr>
                  <w:t>-5.212 (1.513)</w:t>
                </w:r>
              </w:p>
            </w:tc>
            <w:tc>
              <w:tcPr>
                <w:tcW w:w="2340" w:type="dxa"/>
                <w:tcMar>
                  <w:top w:w="100" w:type="dxa"/>
                  <w:left w:w="100" w:type="dxa"/>
                  <w:bottom w:w="100" w:type="dxa"/>
                  <w:right w:w="100" w:type="dxa"/>
                </w:tcMar>
              </w:tcPr>
              <w:p w:rsidR="00E438DA" w:rsidRDefault="00000000">
                <w:pPr>
                  <w:rPr>
                    <w:rFonts w:ascii="Times New Roman" w:eastAsia="Times New Roman" w:hAnsi="Times New Roman" w:cs="Times New Roman"/>
                  </w:rPr>
                </w:pPr>
                <w:r>
                  <w:rPr>
                    <w:rFonts w:ascii="Times New Roman" w:eastAsia="Times New Roman" w:hAnsi="Times New Roman" w:cs="Times New Roman"/>
                  </w:rPr>
                  <w:t>-7.114 (2.311)</w:t>
                </w:r>
              </w:p>
            </w:tc>
            <w:tc>
              <w:tcPr>
                <w:tcW w:w="2340" w:type="dxa"/>
                <w:tcMar>
                  <w:top w:w="100" w:type="dxa"/>
                  <w:left w:w="100" w:type="dxa"/>
                  <w:bottom w:w="100" w:type="dxa"/>
                  <w:right w:w="100" w:type="dxa"/>
                </w:tcMar>
              </w:tcPr>
              <w:p w:rsidR="00E438DA" w:rsidRDefault="00000000">
                <w:pPr>
                  <w:rPr>
                    <w:rFonts w:ascii="Times New Roman" w:eastAsia="Times New Roman" w:hAnsi="Times New Roman" w:cs="Times New Roman"/>
                  </w:rPr>
                </w:pPr>
                <w:r>
                  <w:rPr>
                    <w:rFonts w:ascii="Times New Roman" w:eastAsia="Times New Roman" w:hAnsi="Times New Roman" w:cs="Times New Roman"/>
                  </w:rPr>
                  <w:t>-3.768 (2.926)</w:t>
                </w:r>
              </w:p>
            </w:tc>
          </w:tr>
          <w:tr w:rsidR="00E438DA">
            <w:tc>
              <w:tcPr>
                <w:tcW w:w="2340" w:type="dxa"/>
                <w:tcMar>
                  <w:top w:w="100" w:type="dxa"/>
                  <w:left w:w="100" w:type="dxa"/>
                  <w:bottom w:w="100" w:type="dxa"/>
                  <w:right w:w="100" w:type="dxa"/>
                </w:tcMar>
              </w:tcPr>
              <w:p w:rsidR="00E438DA" w:rsidRDefault="00000000">
                <w:pPr>
                  <w:jc w:val="both"/>
                  <w:rPr>
                    <w:rFonts w:ascii="Times New Roman" w:eastAsia="Times New Roman" w:hAnsi="Times New Roman" w:cs="Times New Roman"/>
                  </w:rPr>
                </w:pPr>
                <w:r>
                  <w:rPr>
                    <w:rFonts w:ascii="Times New Roman" w:eastAsia="Times New Roman" w:hAnsi="Times New Roman" w:cs="Times New Roman"/>
                    <w:b/>
                  </w:rPr>
                  <w:lastRenderedPageBreak/>
                  <w:t>fdi</w:t>
                </w:r>
              </w:p>
            </w:tc>
            <w:tc>
              <w:tcPr>
                <w:tcW w:w="2340" w:type="dxa"/>
                <w:tcMar>
                  <w:top w:w="100" w:type="dxa"/>
                  <w:left w:w="100" w:type="dxa"/>
                  <w:bottom w:w="100" w:type="dxa"/>
                  <w:right w:w="100" w:type="dxa"/>
                </w:tcMar>
              </w:tcPr>
              <w:p w:rsidR="00E438DA" w:rsidRDefault="00000000">
                <w:pPr>
                  <w:rPr>
                    <w:rFonts w:ascii="Times New Roman" w:eastAsia="Times New Roman" w:hAnsi="Times New Roman" w:cs="Times New Roman"/>
                  </w:rPr>
                </w:pPr>
                <w:r>
                  <w:rPr>
                    <w:rFonts w:ascii="Times New Roman" w:eastAsia="Times New Roman" w:hAnsi="Times New Roman" w:cs="Times New Roman"/>
                  </w:rPr>
                  <w:t>0.280 (0.127)</w:t>
                </w:r>
              </w:p>
            </w:tc>
            <w:tc>
              <w:tcPr>
                <w:tcW w:w="2340" w:type="dxa"/>
                <w:tcMar>
                  <w:top w:w="100" w:type="dxa"/>
                  <w:left w:w="100" w:type="dxa"/>
                  <w:bottom w:w="100" w:type="dxa"/>
                  <w:right w:w="100" w:type="dxa"/>
                </w:tcMar>
              </w:tcPr>
              <w:p w:rsidR="00E438DA" w:rsidRDefault="00000000">
                <w:pPr>
                  <w:rPr>
                    <w:rFonts w:ascii="Times New Roman" w:eastAsia="Times New Roman" w:hAnsi="Times New Roman" w:cs="Times New Roman"/>
                  </w:rPr>
                </w:pPr>
                <w:r>
                  <w:rPr>
                    <w:rFonts w:ascii="Times New Roman" w:eastAsia="Times New Roman" w:hAnsi="Times New Roman" w:cs="Times New Roman"/>
                  </w:rPr>
                  <w:t>-0.012 (0.116)</w:t>
                </w:r>
              </w:p>
            </w:tc>
            <w:tc>
              <w:tcPr>
                <w:tcW w:w="2340" w:type="dxa"/>
                <w:tcMar>
                  <w:top w:w="100" w:type="dxa"/>
                  <w:left w:w="100" w:type="dxa"/>
                  <w:bottom w:w="100" w:type="dxa"/>
                  <w:right w:w="100" w:type="dxa"/>
                </w:tcMar>
              </w:tcPr>
              <w:p w:rsidR="00E438DA" w:rsidRDefault="00000000">
                <w:pPr>
                  <w:rPr>
                    <w:rFonts w:ascii="Times New Roman" w:eastAsia="Times New Roman" w:hAnsi="Times New Roman" w:cs="Times New Roman"/>
                  </w:rPr>
                </w:pPr>
                <w:r>
                  <w:rPr>
                    <w:rFonts w:ascii="Times New Roman" w:eastAsia="Times New Roman" w:hAnsi="Times New Roman" w:cs="Times New Roman"/>
                  </w:rPr>
                  <w:t>-0.246 (0.206)</w:t>
                </w:r>
              </w:p>
            </w:tc>
          </w:tr>
          <w:tr w:rsidR="00E438DA">
            <w:tc>
              <w:tcPr>
                <w:tcW w:w="2340" w:type="dxa"/>
                <w:tcMar>
                  <w:top w:w="100" w:type="dxa"/>
                  <w:left w:w="100" w:type="dxa"/>
                  <w:bottom w:w="100" w:type="dxa"/>
                  <w:right w:w="100" w:type="dxa"/>
                </w:tcMar>
              </w:tcPr>
              <w:p w:rsidR="00E438DA" w:rsidRDefault="00000000">
                <w:pPr>
                  <w:jc w:val="both"/>
                  <w:rPr>
                    <w:rFonts w:ascii="Times New Roman" w:eastAsia="Times New Roman" w:hAnsi="Times New Roman" w:cs="Times New Roman"/>
                  </w:rPr>
                </w:pPr>
                <w:r>
                  <w:rPr>
                    <w:rFonts w:ascii="Times New Roman" w:eastAsia="Times New Roman" w:hAnsi="Times New Roman" w:cs="Times New Roman"/>
                    <w:b/>
                  </w:rPr>
                  <w:t>lpop</w:t>
                </w:r>
              </w:p>
            </w:tc>
            <w:tc>
              <w:tcPr>
                <w:tcW w:w="2340" w:type="dxa"/>
                <w:tcMar>
                  <w:top w:w="100" w:type="dxa"/>
                  <w:left w:w="100" w:type="dxa"/>
                  <w:bottom w:w="100" w:type="dxa"/>
                  <w:right w:w="100" w:type="dxa"/>
                </w:tcMar>
              </w:tcPr>
              <w:p w:rsidR="00E438DA" w:rsidRDefault="00000000">
                <w:pPr>
                  <w:rPr>
                    <w:rFonts w:ascii="Times New Roman" w:eastAsia="Times New Roman" w:hAnsi="Times New Roman" w:cs="Times New Roman"/>
                  </w:rPr>
                </w:pPr>
                <w:r>
                  <w:rPr>
                    <w:rFonts w:ascii="Times New Roman" w:eastAsia="Times New Roman" w:hAnsi="Times New Roman" w:cs="Times New Roman"/>
                  </w:rPr>
                  <w:t>20.772 (4.655)</w:t>
                </w:r>
              </w:p>
            </w:tc>
            <w:tc>
              <w:tcPr>
                <w:tcW w:w="2340" w:type="dxa"/>
                <w:tcMar>
                  <w:top w:w="100" w:type="dxa"/>
                  <w:left w:w="100" w:type="dxa"/>
                  <w:bottom w:w="100" w:type="dxa"/>
                  <w:right w:w="100" w:type="dxa"/>
                </w:tcMar>
              </w:tcPr>
              <w:p w:rsidR="00E438DA" w:rsidRDefault="00000000">
                <w:pPr>
                  <w:rPr>
                    <w:rFonts w:ascii="Times New Roman" w:eastAsia="Times New Roman" w:hAnsi="Times New Roman" w:cs="Times New Roman"/>
                  </w:rPr>
                </w:pPr>
                <w:r>
                  <w:rPr>
                    <w:rFonts w:ascii="Times New Roman" w:eastAsia="Times New Roman" w:hAnsi="Times New Roman" w:cs="Times New Roman"/>
                  </w:rPr>
                  <w:t>-8.077 (11.528)</w:t>
                </w:r>
              </w:p>
            </w:tc>
            <w:tc>
              <w:tcPr>
                <w:tcW w:w="2340" w:type="dxa"/>
                <w:tcMar>
                  <w:top w:w="100" w:type="dxa"/>
                  <w:left w:w="100" w:type="dxa"/>
                  <w:bottom w:w="100" w:type="dxa"/>
                  <w:right w:w="100" w:type="dxa"/>
                </w:tcMar>
              </w:tcPr>
              <w:p w:rsidR="00E438DA" w:rsidRDefault="00000000">
                <w:pPr>
                  <w:rPr>
                    <w:rFonts w:ascii="Times New Roman" w:eastAsia="Times New Roman" w:hAnsi="Times New Roman" w:cs="Times New Roman"/>
                  </w:rPr>
                </w:pPr>
                <w:r>
                  <w:rPr>
                    <w:rFonts w:ascii="Times New Roman" w:eastAsia="Times New Roman" w:hAnsi="Times New Roman" w:cs="Times New Roman"/>
                  </w:rPr>
                  <w:t>-24.585 (10.897)</w:t>
                </w:r>
              </w:p>
            </w:tc>
          </w:tr>
          <w:tr w:rsidR="00E438DA">
            <w:tc>
              <w:tcPr>
                <w:tcW w:w="2340" w:type="dxa"/>
                <w:tcMar>
                  <w:top w:w="100" w:type="dxa"/>
                  <w:left w:w="100" w:type="dxa"/>
                  <w:bottom w:w="100" w:type="dxa"/>
                  <w:right w:w="100" w:type="dxa"/>
                </w:tcMar>
              </w:tcPr>
              <w:p w:rsidR="00E438DA" w:rsidRDefault="00000000">
                <w:pPr>
                  <w:jc w:val="both"/>
                  <w:rPr>
                    <w:rFonts w:ascii="Times New Roman" w:eastAsia="Times New Roman" w:hAnsi="Times New Roman" w:cs="Times New Roman"/>
                  </w:rPr>
                </w:pPr>
                <w:r>
                  <w:rPr>
                    <w:rFonts w:ascii="Times New Roman" w:eastAsia="Times New Roman" w:hAnsi="Times New Roman" w:cs="Times New Roman"/>
                    <w:b/>
                  </w:rPr>
                  <w:t>Constant</w:t>
                </w:r>
              </w:p>
            </w:tc>
            <w:tc>
              <w:tcPr>
                <w:tcW w:w="2340" w:type="dxa"/>
                <w:tcMar>
                  <w:top w:w="100" w:type="dxa"/>
                  <w:left w:w="100" w:type="dxa"/>
                  <w:bottom w:w="100" w:type="dxa"/>
                  <w:right w:w="100" w:type="dxa"/>
                </w:tcMar>
              </w:tcPr>
              <w:p w:rsidR="00E438DA" w:rsidRDefault="00000000">
                <w:pPr>
                  <w:rPr>
                    <w:rFonts w:ascii="Times New Roman" w:eastAsia="Times New Roman" w:hAnsi="Times New Roman" w:cs="Times New Roman"/>
                  </w:rPr>
                </w:pPr>
                <w:r>
                  <w:rPr>
                    <w:rFonts w:ascii="Times New Roman" w:eastAsia="Times New Roman" w:hAnsi="Times New Roman" w:cs="Times New Roman"/>
                  </w:rPr>
                  <w:t>-21.346 (6.530)</w:t>
                </w:r>
              </w:p>
            </w:tc>
            <w:tc>
              <w:tcPr>
                <w:tcW w:w="2340" w:type="dxa"/>
                <w:tcMar>
                  <w:top w:w="100" w:type="dxa"/>
                  <w:left w:w="100" w:type="dxa"/>
                  <w:bottom w:w="100" w:type="dxa"/>
                  <w:right w:w="100" w:type="dxa"/>
                </w:tcMar>
              </w:tcPr>
              <w:p w:rsidR="00E438DA" w:rsidRDefault="00000000">
                <w:pPr>
                  <w:rPr>
                    <w:rFonts w:ascii="Times New Roman" w:eastAsia="Times New Roman" w:hAnsi="Times New Roman" w:cs="Times New Roman"/>
                  </w:rPr>
                </w:pPr>
                <w:r>
                  <w:rPr>
                    <w:rFonts w:ascii="Times New Roman" w:eastAsia="Times New Roman" w:hAnsi="Times New Roman" w:cs="Times New Roman"/>
                  </w:rPr>
                  <w:t>391.071 (190.908)</w:t>
                </w:r>
              </w:p>
            </w:tc>
            <w:tc>
              <w:tcPr>
                <w:tcW w:w="2340" w:type="dxa"/>
                <w:tcMar>
                  <w:top w:w="100" w:type="dxa"/>
                  <w:left w:w="100" w:type="dxa"/>
                  <w:bottom w:w="100" w:type="dxa"/>
                  <w:right w:w="100" w:type="dxa"/>
                </w:tcMar>
              </w:tcPr>
              <w:p w:rsidR="00E438DA" w:rsidRDefault="00000000">
                <w:pPr>
                  <w:rPr>
                    <w:rFonts w:ascii="Times New Roman" w:eastAsia="Times New Roman" w:hAnsi="Times New Roman" w:cs="Times New Roman"/>
                  </w:rPr>
                </w:pPr>
                <w:r>
                  <w:rPr>
                    <w:rFonts w:ascii="Times New Roman" w:eastAsia="Times New Roman" w:hAnsi="Times New Roman" w:cs="Times New Roman"/>
                  </w:rPr>
                  <w:t>-131.289 (182.534)</w:t>
                </w:r>
              </w:p>
            </w:tc>
          </w:tr>
        </w:tbl>
      </w:sdtContent>
    </w:sdt>
    <w:p w:rsidR="00E438DA" w:rsidRDefault="00000000">
      <w:pPr>
        <w:spacing w:before="240" w:after="240"/>
        <w:jc w:val="both"/>
        <w:rPr>
          <w:i/>
          <w:sz w:val="16"/>
          <w:szCs w:val="16"/>
        </w:rPr>
      </w:pPr>
      <w:proofErr w:type="spellStart"/>
      <w:r>
        <w:rPr>
          <w:i/>
          <w:sz w:val="16"/>
          <w:szCs w:val="16"/>
        </w:rPr>
        <w:t>fd</w:t>
      </w:r>
      <w:proofErr w:type="spellEnd"/>
      <w:r>
        <w:rPr>
          <w:i/>
          <w:sz w:val="16"/>
          <w:szCs w:val="16"/>
        </w:rPr>
        <w:t xml:space="preserve"> = Financial Development; </w:t>
      </w:r>
      <w:proofErr w:type="spellStart"/>
      <w:r>
        <w:rPr>
          <w:i/>
          <w:sz w:val="16"/>
          <w:szCs w:val="16"/>
        </w:rPr>
        <w:t>inst</w:t>
      </w:r>
      <w:proofErr w:type="spellEnd"/>
      <w:r>
        <w:rPr>
          <w:i/>
          <w:sz w:val="16"/>
          <w:szCs w:val="16"/>
        </w:rPr>
        <w:t xml:space="preserve"> = Institutional Quality; </w:t>
      </w:r>
      <w:proofErr w:type="spellStart"/>
      <w:r>
        <w:rPr>
          <w:i/>
          <w:sz w:val="16"/>
          <w:szCs w:val="16"/>
        </w:rPr>
        <w:t>fd_inst</w:t>
      </w:r>
      <w:proofErr w:type="spellEnd"/>
      <w:r>
        <w:rPr>
          <w:i/>
          <w:sz w:val="16"/>
          <w:szCs w:val="16"/>
        </w:rPr>
        <w:t xml:space="preserve"> = Interaction term between Financial Development and Institutional Quality; </w:t>
      </w:r>
      <w:proofErr w:type="spellStart"/>
      <w:r>
        <w:rPr>
          <w:i/>
          <w:sz w:val="16"/>
          <w:szCs w:val="16"/>
        </w:rPr>
        <w:t>lrgdppc</w:t>
      </w:r>
      <w:proofErr w:type="spellEnd"/>
      <w:r>
        <w:rPr>
          <w:i/>
          <w:sz w:val="16"/>
          <w:szCs w:val="16"/>
        </w:rPr>
        <w:t xml:space="preserve"> = Log of Real GDP per capita; </w:t>
      </w:r>
      <w:proofErr w:type="spellStart"/>
      <w:r>
        <w:rPr>
          <w:i/>
          <w:sz w:val="16"/>
          <w:szCs w:val="16"/>
        </w:rPr>
        <w:t>fdi</w:t>
      </w:r>
      <w:proofErr w:type="spellEnd"/>
      <w:r>
        <w:rPr>
          <w:i/>
          <w:sz w:val="16"/>
          <w:szCs w:val="16"/>
        </w:rPr>
        <w:t xml:space="preserve"> = Foreign Direct Investment; </w:t>
      </w:r>
      <w:proofErr w:type="spellStart"/>
      <w:r>
        <w:rPr>
          <w:i/>
          <w:sz w:val="16"/>
          <w:szCs w:val="16"/>
        </w:rPr>
        <w:t>lpop</w:t>
      </w:r>
      <w:proofErr w:type="spellEnd"/>
      <w:r>
        <w:rPr>
          <w:i/>
          <w:sz w:val="16"/>
          <w:szCs w:val="16"/>
        </w:rPr>
        <w:t xml:space="preserve"> = Log of Population</w:t>
      </w:r>
    </w:p>
    <w:p w:rsidR="00E438DA" w:rsidRDefault="00000000">
      <w:pPr>
        <w:pBdr>
          <w:top w:val="nil"/>
          <w:left w:val="nil"/>
          <w:bottom w:val="nil"/>
          <w:right w:val="nil"/>
          <w:between w:val="nil"/>
        </w:pBdr>
        <w:jc w:val="both"/>
        <w:rPr>
          <w:rFonts w:ascii="Georgia" w:eastAsia="Georgia" w:hAnsi="Georgia" w:cs="Georgia"/>
        </w:rPr>
      </w:pPr>
      <w:r>
        <w:rPr>
          <w:rFonts w:ascii="Georgia" w:eastAsia="Georgia" w:hAnsi="Georgia" w:cs="Georgia"/>
        </w:rPr>
        <w:t>PMG estimates both short-run and long-run coefficients; AMG and CCEMG present average effects across cross-sections.</w:t>
      </w:r>
    </w:p>
    <w:p w:rsidR="00E438DA" w:rsidRDefault="00000000">
      <w:pPr>
        <w:pBdr>
          <w:top w:val="nil"/>
          <w:left w:val="nil"/>
          <w:bottom w:val="nil"/>
          <w:right w:val="nil"/>
          <w:between w:val="nil"/>
        </w:pBdr>
        <w:jc w:val="both"/>
        <w:rPr>
          <w:rFonts w:ascii="Georgia" w:eastAsia="Georgia" w:hAnsi="Georgia" w:cs="Georgia"/>
        </w:rPr>
      </w:pPr>
      <w:r>
        <w:rPr>
          <w:rFonts w:ascii="Georgia" w:eastAsia="Georgia" w:hAnsi="Georgia" w:cs="Georgia"/>
        </w:rPr>
        <w:t xml:space="preserve">Table 15 presents three panel time-series estimators' results: Pooled Mean Group (PMG), Augmented Mean Group (AMG), and Common Correlated Effects Mean Group (CCEMG). </w:t>
      </w:r>
    </w:p>
    <w:p w:rsidR="00E438DA" w:rsidRDefault="00000000">
      <w:pPr>
        <w:pBdr>
          <w:top w:val="nil"/>
          <w:left w:val="nil"/>
          <w:bottom w:val="nil"/>
          <w:right w:val="nil"/>
          <w:between w:val="nil"/>
        </w:pBdr>
        <w:jc w:val="both"/>
        <w:rPr>
          <w:rFonts w:ascii="Georgia" w:eastAsia="Georgia" w:hAnsi="Georgia" w:cs="Georgia"/>
        </w:rPr>
      </w:pPr>
      <w:r>
        <w:rPr>
          <w:rFonts w:ascii="Georgia" w:eastAsia="Georgia" w:hAnsi="Georgia" w:cs="Georgia"/>
        </w:rPr>
        <w:t>The Pooled Mean Group (PMG) estimator also reveals a significant error correction term (-0.1535, p=0.002), which proves convergence towards long-run equilibrium at approximately 15% per year. The long-run coefficient of institutional quality is strong and negative (-139.65, p=0.000), and financial development is revealed to have a weakly insignificant negative effect (-132.20, p=0.067).</w:t>
      </w:r>
    </w:p>
    <w:p w:rsidR="00E438DA" w:rsidRDefault="00000000">
      <w:pPr>
        <w:pBdr>
          <w:top w:val="nil"/>
          <w:left w:val="nil"/>
          <w:bottom w:val="nil"/>
          <w:right w:val="nil"/>
          <w:between w:val="nil"/>
        </w:pBdr>
        <w:jc w:val="both"/>
        <w:rPr>
          <w:rFonts w:ascii="Georgia" w:eastAsia="Georgia" w:hAnsi="Georgia" w:cs="Georgia"/>
        </w:rPr>
      </w:pPr>
      <w:r>
        <w:rPr>
          <w:rFonts w:ascii="Georgia" w:eastAsia="Georgia" w:hAnsi="Georgia" w:cs="Georgia"/>
        </w:rPr>
        <w:t>The Augmented Mean Group (AMG) tests establish the adverse impact of institutional quality (-129.36, p=0.026) and establish a marginal adverse impact of financial development (-336.61, p=0.077). The Common Correlated Effects Mean Group (CCEMG) estimator establishes a negative significant impact of population growth (-24.58, p=0.024) on the adoption of renewable energy.</w:t>
      </w:r>
    </w:p>
    <w:p w:rsidR="00E438DA" w:rsidRDefault="00000000">
      <w:pPr>
        <w:pBdr>
          <w:top w:val="nil"/>
          <w:left w:val="nil"/>
          <w:bottom w:val="nil"/>
          <w:right w:val="nil"/>
          <w:between w:val="nil"/>
        </w:pBdr>
        <w:jc w:val="both"/>
        <w:rPr>
          <w:rFonts w:ascii="Georgia" w:eastAsia="Georgia" w:hAnsi="Georgia" w:cs="Georgia"/>
        </w:rPr>
      </w:pPr>
      <w:r>
        <w:rPr>
          <w:rFonts w:ascii="Georgia" w:eastAsia="Georgia" w:hAnsi="Georgia" w:cs="Georgia"/>
        </w:rPr>
        <w:t>These negative and persistent coefficients for institutional quality across different estimators suggest that institutional arrangements in the sample nations may be discouraging the use of renewable energy rather than encouraging it.</w:t>
      </w:r>
    </w:p>
    <w:p w:rsidR="00E438DA" w:rsidRDefault="00E438DA">
      <w:pPr>
        <w:widowControl w:val="0"/>
        <w:pBdr>
          <w:top w:val="nil"/>
          <w:left w:val="nil"/>
          <w:bottom w:val="nil"/>
          <w:right w:val="nil"/>
          <w:between w:val="nil"/>
        </w:pBdr>
        <w:spacing w:line="240" w:lineRule="auto"/>
        <w:jc w:val="both"/>
        <w:rPr>
          <w:rFonts w:ascii="Georgia" w:eastAsia="Georgia" w:hAnsi="Georgia" w:cs="Georgia"/>
          <w:sz w:val="28"/>
          <w:szCs w:val="28"/>
        </w:rPr>
      </w:pPr>
    </w:p>
    <w:p w:rsidR="00E438DA" w:rsidRDefault="00000000">
      <w:pPr>
        <w:widowControl w:val="0"/>
        <w:pBdr>
          <w:top w:val="nil"/>
          <w:left w:val="nil"/>
          <w:bottom w:val="nil"/>
          <w:right w:val="nil"/>
          <w:between w:val="nil"/>
        </w:pBdr>
        <w:spacing w:line="240" w:lineRule="auto"/>
        <w:jc w:val="both"/>
        <w:rPr>
          <w:b/>
          <w:color w:val="000000"/>
          <w:sz w:val="26"/>
          <w:szCs w:val="26"/>
        </w:rPr>
      </w:pPr>
      <w:r>
        <w:rPr>
          <w:rFonts w:ascii="Georgia" w:eastAsia="Georgia" w:hAnsi="Georgia" w:cs="Georgia"/>
          <w:sz w:val="28"/>
          <w:szCs w:val="28"/>
        </w:rPr>
        <w:t>6.2.4 Dynamic Panel Threshold Regression</w:t>
      </w:r>
    </w:p>
    <w:p w:rsidR="00E438DA" w:rsidRDefault="00000000">
      <w:pPr>
        <w:pStyle w:val="Heading1"/>
        <w:keepNext w:val="0"/>
        <w:keepLines w:val="0"/>
        <w:widowControl w:val="0"/>
        <w:spacing w:before="480" w:line="240" w:lineRule="auto"/>
        <w:jc w:val="both"/>
        <w:rPr>
          <w:rFonts w:ascii="Times New Roman" w:eastAsia="Times New Roman" w:hAnsi="Times New Roman" w:cs="Times New Roman"/>
          <w:b/>
          <w:sz w:val="26"/>
          <w:szCs w:val="26"/>
        </w:rPr>
      </w:pPr>
      <w:bookmarkStart w:id="70" w:name="_heading=h.kzgxauk1mko9" w:colFirst="0" w:colLast="0"/>
      <w:bookmarkEnd w:id="70"/>
      <w:r>
        <w:rPr>
          <w:rFonts w:ascii="Times New Roman" w:eastAsia="Times New Roman" w:hAnsi="Times New Roman" w:cs="Times New Roman"/>
          <w:b/>
          <w:sz w:val="26"/>
          <w:szCs w:val="26"/>
        </w:rPr>
        <w:t>Table 16: Results of Dynamic Panel Threshold Estimate of Institutional Quality</w:t>
      </w:r>
    </w:p>
    <w:sdt>
      <w:sdtPr>
        <w:tag w:val="goog_rdk_19"/>
        <w:id w:val="-972278776"/>
        <w:lock w:val="contentLocked"/>
      </w:sdtPr>
      <w:sdtContent>
        <w:tbl>
          <w:tblPr>
            <w:tblStyle w:val="af"/>
            <w:tblW w:w="91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075"/>
            <w:gridCol w:w="3015"/>
            <w:gridCol w:w="3015"/>
          </w:tblGrid>
          <w:tr w:rsidR="00E438DA">
            <w:trPr>
              <w:trHeight w:val="570"/>
            </w:trPr>
            <w:tc>
              <w:tcPr>
                <w:tcW w:w="30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jc w:val="center"/>
                  <w:rPr>
                    <w:rFonts w:ascii="Times New Roman" w:eastAsia="Times New Roman" w:hAnsi="Times New Roman" w:cs="Times New Roman"/>
                    <w:b/>
                  </w:rPr>
                </w:pPr>
                <w:r>
                  <w:rPr>
                    <w:rFonts w:ascii="Times New Roman" w:eastAsia="Times New Roman" w:hAnsi="Times New Roman" w:cs="Times New Roman"/>
                    <w:b/>
                  </w:rPr>
                  <w:t>Variable</w:t>
                </w:r>
              </w:p>
            </w:tc>
            <w:tc>
              <w:tcPr>
                <w:tcW w:w="3015" w:type="dxa"/>
                <w:tcBorders>
                  <w:top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jc w:val="center"/>
                  <w:rPr>
                    <w:rFonts w:ascii="Times New Roman" w:eastAsia="Times New Roman" w:hAnsi="Times New Roman" w:cs="Times New Roman"/>
                    <w:b/>
                  </w:rPr>
                </w:pPr>
                <w:sdt>
                  <w:sdtPr>
                    <w:tag w:val="goog_rdk_18"/>
                    <w:id w:val="1819377403"/>
                  </w:sdtPr>
                  <w:sdtContent>
                    <w:r>
                      <w:rPr>
                        <w:rFonts w:ascii="Gungsuh" w:eastAsia="Gungsuh" w:hAnsi="Gungsuh" w:cs="Gungsuh"/>
                        <w:b/>
                      </w:rPr>
                      <w:t>Lower regime (</w:t>
                    </w:r>
                    <w:proofErr w:type="spellStart"/>
                    <w:r>
                      <w:rPr>
                        <w:rFonts w:ascii="Gungsuh" w:eastAsia="Gungsuh" w:hAnsi="Gungsuh" w:cs="Gungsuh"/>
                        <w:b/>
                      </w:rPr>
                      <w:t>inst</w:t>
                    </w:r>
                    <w:proofErr w:type="spellEnd"/>
                    <w:r>
                      <w:rPr>
                        <w:rFonts w:ascii="Gungsuh" w:eastAsia="Gungsuh" w:hAnsi="Gungsuh" w:cs="Gungsuh"/>
                        <w:b/>
                      </w:rPr>
                      <w:t xml:space="preserve"> ≤ 0.5900)</w:t>
                    </w:r>
                  </w:sdtContent>
                </w:sdt>
              </w:p>
            </w:tc>
            <w:tc>
              <w:tcPr>
                <w:tcW w:w="3015" w:type="dxa"/>
                <w:tcBorders>
                  <w:top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jc w:val="center"/>
                  <w:rPr>
                    <w:rFonts w:ascii="Times New Roman" w:eastAsia="Times New Roman" w:hAnsi="Times New Roman" w:cs="Times New Roman"/>
                    <w:b/>
                  </w:rPr>
                </w:pPr>
                <w:r>
                  <w:rPr>
                    <w:rFonts w:ascii="Times New Roman" w:eastAsia="Times New Roman" w:hAnsi="Times New Roman" w:cs="Times New Roman"/>
                    <w:b/>
                  </w:rPr>
                  <w:t>Upper regime (inst &gt; 0.5900)</w:t>
                </w:r>
              </w:p>
            </w:tc>
          </w:tr>
          <w:tr w:rsidR="00E438DA">
            <w:trPr>
              <w:trHeight w:val="570"/>
            </w:trPr>
            <w:tc>
              <w:tcPr>
                <w:tcW w:w="3075" w:type="dxa"/>
                <w:tcBorders>
                  <w:left w:val="single" w:sz="8" w:space="0" w:color="000000"/>
                  <w:bottom w:val="single" w:sz="8" w:space="0" w:color="000000"/>
                  <w:right w:val="single" w:sz="8" w:space="0" w:color="000000"/>
                </w:tcBorders>
                <w:tcMar>
                  <w:top w:w="0" w:type="dxa"/>
                  <w:left w:w="100" w:type="dxa"/>
                  <w:bottom w:w="0" w:type="dxa"/>
                  <w:right w:w="100" w:type="dxa"/>
                </w:tcMar>
              </w:tcPr>
              <w:p w:rsidR="00E438DA" w:rsidRDefault="00000000">
                <w:pPr>
                  <w:jc w:val="both"/>
                  <w:rPr>
                    <w:rFonts w:ascii="Times New Roman" w:eastAsia="Times New Roman" w:hAnsi="Times New Roman" w:cs="Times New Roman"/>
                    <w:b/>
                  </w:rPr>
                </w:pPr>
                <w:r>
                  <w:rPr>
                    <w:rFonts w:ascii="Times New Roman" w:eastAsia="Times New Roman" w:hAnsi="Times New Roman" w:cs="Times New Roman"/>
                    <w:b/>
                  </w:rPr>
                  <w:t>Threshold value of institution</w:t>
                </w:r>
              </w:p>
            </w:tc>
            <w:tc>
              <w:tcPr>
                <w:tcW w:w="6030" w:type="dxa"/>
                <w:gridSpan w:val="2"/>
                <w:tcBorders>
                  <w:bottom w:val="single" w:sz="8" w:space="0" w:color="000000"/>
                  <w:right w:val="single" w:sz="8" w:space="0" w:color="000000"/>
                </w:tcBorders>
                <w:tcMar>
                  <w:top w:w="0" w:type="dxa"/>
                  <w:left w:w="100" w:type="dxa"/>
                  <w:bottom w:w="0" w:type="dxa"/>
                  <w:right w:w="100" w:type="dxa"/>
                </w:tcMar>
              </w:tcPr>
              <w:p w:rsidR="00E438DA" w:rsidRDefault="00000000">
                <w:pPr>
                  <w:jc w:val="center"/>
                  <w:rPr>
                    <w:rFonts w:ascii="Times New Roman" w:eastAsia="Times New Roman" w:hAnsi="Times New Roman" w:cs="Times New Roman"/>
                  </w:rPr>
                </w:pPr>
                <w:r>
                  <w:rPr>
                    <w:rFonts w:ascii="Times New Roman" w:eastAsia="Times New Roman" w:hAnsi="Times New Roman" w:cs="Times New Roman"/>
                  </w:rPr>
                  <w:t>0.5900*** (0.0000)</w:t>
                </w:r>
              </w:p>
            </w:tc>
          </w:tr>
          <w:tr w:rsidR="00E438DA">
            <w:trPr>
              <w:trHeight w:val="570"/>
            </w:trPr>
            <w:tc>
              <w:tcPr>
                <w:tcW w:w="307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438DA" w:rsidRDefault="00000000">
                <w:pPr>
                  <w:jc w:val="both"/>
                  <w:rPr>
                    <w:rFonts w:ascii="Times New Roman" w:eastAsia="Times New Roman" w:hAnsi="Times New Roman" w:cs="Times New Roman"/>
                    <w:b/>
                  </w:rPr>
                </w:pPr>
                <w:r>
                  <w:rPr>
                    <w:rFonts w:ascii="Times New Roman" w:eastAsia="Times New Roman" w:hAnsi="Times New Roman" w:cs="Times New Roman"/>
                    <w:b/>
                  </w:rPr>
                  <w:t>Linearity test (Bootstrapped p-value)</w:t>
                </w:r>
              </w:p>
            </w:tc>
            <w:tc>
              <w:tcPr>
                <w:tcW w:w="6030" w:type="dxa"/>
                <w:gridSpan w:val="2"/>
                <w:tcBorders>
                  <w:bottom w:val="single" w:sz="8" w:space="0" w:color="000000"/>
                  <w:right w:val="single" w:sz="8" w:space="0" w:color="000000"/>
                </w:tcBorders>
                <w:shd w:val="clear" w:color="auto" w:fill="auto"/>
                <w:tcMar>
                  <w:top w:w="0" w:type="dxa"/>
                  <w:left w:w="100" w:type="dxa"/>
                  <w:bottom w:w="0" w:type="dxa"/>
                  <w:right w:w="100" w:type="dxa"/>
                </w:tcMar>
              </w:tcPr>
              <w:p w:rsidR="00E438DA" w:rsidRDefault="00000000">
                <w:pPr>
                  <w:jc w:val="center"/>
                  <w:rPr>
                    <w:rFonts w:ascii="Times New Roman" w:eastAsia="Times New Roman" w:hAnsi="Times New Roman" w:cs="Times New Roman"/>
                  </w:rPr>
                </w:pPr>
                <w:r>
                  <w:rPr>
                    <w:rFonts w:ascii="Times New Roman" w:eastAsia="Times New Roman" w:hAnsi="Times New Roman" w:cs="Times New Roman"/>
                  </w:rPr>
                  <w:t>0.132</w:t>
                </w:r>
              </w:p>
            </w:tc>
          </w:tr>
          <w:tr w:rsidR="00E438DA">
            <w:trPr>
              <w:trHeight w:val="300"/>
            </w:trPr>
            <w:tc>
              <w:tcPr>
                <w:tcW w:w="307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438DA" w:rsidRDefault="00000000">
                <w:pPr>
                  <w:jc w:val="both"/>
                  <w:rPr>
                    <w:rFonts w:ascii="Times New Roman" w:eastAsia="Times New Roman" w:hAnsi="Times New Roman" w:cs="Times New Roman"/>
                    <w:b/>
                  </w:rPr>
                </w:pPr>
                <w:r>
                  <w:rPr>
                    <w:rFonts w:ascii="Times New Roman" w:eastAsia="Times New Roman" w:hAnsi="Times New Roman" w:cs="Times New Roman"/>
                    <w:b/>
                  </w:rPr>
                  <w:t>Constant</w:t>
                </w:r>
              </w:p>
            </w:tc>
            <w:tc>
              <w:tcPr>
                <w:tcW w:w="6030" w:type="dxa"/>
                <w:gridSpan w:val="2"/>
                <w:tcBorders>
                  <w:bottom w:val="single" w:sz="8" w:space="0" w:color="000000"/>
                  <w:right w:val="single" w:sz="8" w:space="0" w:color="000000"/>
                </w:tcBorders>
                <w:shd w:val="clear" w:color="auto" w:fill="auto"/>
                <w:tcMar>
                  <w:top w:w="0" w:type="dxa"/>
                  <w:left w:w="100" w:type="dxa"/>
                  <w:bottom w:w="0" w:type="dxa"/>
                  <w:right w:w="100" w:type="dxa"/>
                </w:tcMar>
              </w:tcPr>
              <w:p w:rsidR="00E438DA" w:rsidRDefault="00000000">
                <w:pPr>
                  <w:jc w:val="center"/>
                  <w:rPr>
                    <w:rFonts w:ascii="Times New Roman" w:eastAsia="Times New Roman" w:hAnsi="Times New Roman" w:cs="Times New Roman"/>
                  </w:rPr>
                </w:pPr>
                <w:r>
                  <w:rPr>
                    <w:rFonts w:ascii="Times New Roman" w:eastAsia="Times New Roman" w:hAnsi="Times New Roman" w:cs="Times New Roman"/>
                  </w:rPr>
                  <w:t>3.383*** (0.000)</w:t>
                </w:r>
              </w:p>
            </w:tc>
          </w:tr>
          <w:tr w:rsidR="00E438DA">
            <w:trPr>
              <w:trHeight w:val="300"/>
            </w:trPr>
            <w:tc>
              <w:tcPr>
                <w:tcW w:w="307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438DA" w:rsidRDefault="00000000">
                <w:pPr>
                  <w:jc w:val="both"/>
                  <w:rPr>
                    <w:rFonts w:ascii="Times New Roman" w:eastAsia="Times New Roman" w:hAnsi="Times New Roman" w:cs="Times New Roman"/>
                    <w:b/>
                  </w:rPr>
                </w:pPr>
                <w:r>
                  <w:rPr>
                    <w:rFonts w:ascii="Times New Roman" w:eastAsia="Times New Roman" w:hAnsi="Times New Roman" w:cs="Times New Roman"/>
                    <w:b/>
                  </w:rPr>
                  <w:t>fd</w:t>
                </w:r>
              </w:p>
            </w:tc>
            <w:tc>
              <w:tcPr>
                <w:tcW w:w="6030" w:type="dxa"/>
                <w:gridSpan w:val="2"/>
                <w:tcBorders>
                  <w:bottom w:val="single" w:sz="8" w:space="0" w:color="000000"/>
                  <w:right w:val="single" w:sz="8" w:space="0" w:color="000000"/>
                </w:tcBorders>
                <w:shd w:val="clear" w:color="auto" w:fill="auto"/>
                <w:tcMar>
                  <w:top w:w="0" w:type="dxa"/>
                  <w:left w:w="100" w:type="dxa"/>
                  <w:bottom w:w="0" w:type="dxa"/>
                  <w:right w:w="100" w:type="dxa"/>
                </w:tcMar>
              </w:tcPr>
              <w:p w:rsidR="00E438DA" w:rsidRDefault="00000000">
                <w:pPr>
                  <w:jc w:val="center"/>
                  <w:rPr>
                    <w:rFonts w:ascii="Times New Roman" w:eastAsia="Times New Roman" w:hAnsi="Times New Roman" w:cs="Times New Roman"/>
                  </w:rPr>
                </w:pPr>
                <w:r>
                  <w:rPr>
                    <w:rFonts w:ascii="Times New Roman" w:eastAsia="Times New Roman" w:hAnsi="Times New Roman" w:cs="Times New Roman"/>
                  </w:rPr>
                  <w:t>-1.731*** (0.000)</w:t>
                </w:r>
              </w:p>
            </w:tc>
          </w:tr>
          <w:tr w:rsidR="00E438DA">
            <w:trPr>
              <w:trHeight w:val="300"/>
            </w:trPr>
            <w:tc>
              <w:tcPr>
                <w:tcW w:w="307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438DA" w:rsidRDefault="00000000">
                <w:pPr>
                  <w:jc w:val="both"/>
                  <w:rPr>
                    <w:rFonts w:ascii="Times New Roman" w:eastAsia="Times New Roman" w:hAnsi="Times New Roman" w:cs="Times New Roman"/>
                    <w:b/>
                  </w:rPr>
                </w:pPr>
                <w:r>
                  <w:rPr>
                    <w:rFonts w:ascii="Times New Roman" w:eastAsia="Times New Roman" w:hAnsi="Times New Roman" w:cs="Times New Roman"/>
                    <w:b/>
                  </w:rPr>
                  <w:t>inst</w:t>
                </w:r>
              </w:p>
            </w:tc>
            <w:tc>
              <w:tcPr>
                <w:tcW w:w="3015" w:type="dxa"/>
                <w:tcBorders>
                  <w:bottom w:val="single" w:sz="8" w:space="0" w:color="000000"/>
                  <w:right w:val="single" w:sz="8" w:space="0" w:color="000000"/>
                </w:tcBorders>
                <w:shd w:val="clear" w:color="auto" w:fill="auto"/>
                <w:tcMar>
                  <w:top w:w="0" w:type="dxa"/>
                  <w:left w:w="100" w:type="dxa"/>
                  <w:bottom w:w="0" w:type="dxa"/>
                  <w:right w:w="100" w:type="dxa"/>
                </w:tcMar>
              </w:tcPr>
              <w:p w:rsidR="00E438DA" w:rsidRDefault="00000000">
                <w:pPr>
                  <w:jc w:val="center"/>
                  <w:rPr>
                    <w:rFonts w:ascii="Times New Roman" w:eastAsia="Times New Roman" w:hAnsi="Times New Roman" w:cs="Times New Roman"/>
                  </w:rPr>
                </w:pPr>
                <w:r>
                  <w:rPr>
                    <w:rFonts w:ascii="Times New Roman" w:eastAsia="Times New Roman" w:hAnsi="Times New Roman" w:cs="Times New Roman"/>
                  </w:rPr>
                  <w:t>0.126(0.435)</w:t>
                </w:r>
              </w:p>
            </w:tc>
            <w:tc>
              <w:tcPr>
                <w:tcW w:w="3015" w:type="dxa"/>
                <w:tcBorders>
                  <w:bottom w:val="single" w:sz="8" w:space="0" w:color="000000"/>
                  <w:right w:val="single" w:sz="8" w:space="0" w:color="000000"/>
                </w:tcBorders>
                <w:shd w:val="clear" w:color="auto" w:fill="auto"/>
                <w:tcMar>
                  <w:top w:w="0" w:type="dxa"/>
                  <w:left w:w="100" w:type="dxa"/>
                  <w:bottom w:w="0" w:type="dxa"/>
                  <w:right w:w="100" w:type="dxa"/>
                </w:tcMar>
              </w:tcPr>
              <w:p w:rsidR="00E438DA" w:rsidRDefault="00000000">
                <w:pPr>
                  <w:jc w:val="center"/>
                  <w:rPr>
                    <w:rFonts w:ascii="Times New Roman" w:eastAsia="Times New Roman" w:hAnsi="Times New Roman" w:cs="Times New Roman"/>
                  </w:rPr>
                </w:pPr>
                <w:r>
                  <w:rPr>
                    <w:rFonts w:ascii="Times New Roman" w:eastAsia="Times New Roman" w:hAnsi="Times New Roman" w:cs="Times New Roman"/>
                  </w:rPr>
                  <w:t>-0.099(0.510)</w:t>
                </w:r>
              </w:p>
            </w:tc>
          </w:tr>
          <w:tr w:rsidR="00E438DA">
            <w:trPr>
              <w:trHeight w:val="300"/>
            </w:trPr>
            <w:tc>
              <w:tcPr>
                <w:tcW w:w="307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438DA" w:rsidRDefault="00000000">
                <w:pPr>
                  <w:jc w:val="both"/>
                  <w:rPr>
                    <w:rFonts w:ascii="Times New Roman" w:eastAsia="Times New Roman" w:hAnsi="Times New Roman" w:cs="Times New Roman"/>
                    <w:b/>
                  </w:rPr>
                </w:pPr>
                <w:r>
                  <w:rPr>
                    <w:rFonts w:ascii="Times New Roman" w:eastAsia="Times New Roman" w:hAnsi="Times New Roman" w:cs="Times New Roman"/>
                    <w:b/>
                  </w:rPr>
                  <w:t>lrgdppc</w:t>
                </w:r>
              </w:p>
            </w:tc>
            <w:tc>
              <w:tcPr>
                <w:tcW w:w="6030" w:type="dxa"/>
                <w:gridSpan w:val="2"/>
                <w:tcBorders>
                  <w:bottom w:val="single" w:sz="8" w:space="0" w:color="000000"/>
                  <w:right w:val="single" w:sz="8" w:space="0" w:color="000000"/>
                </w:tcBorders>
                <w:shd w:val="clear" w:color="auto" w:fill="auto"/>
                <w:tcMar>
                  <w:top w:w="0" w:type="dxa"/>
                  <w:left w:w="100" w:type="dxa"/>
                  <w:bottom w:w="0" w:type="dxa"/>
                  <w:right w:w="100" w:type="dxa"/>
                </w:tcMar>
              </w:tcPr>
              <w:p w:rsidR="00E438DA" w:rsidRDefault="00000000">
                <w:pPr>
                  <w:jc w:val="center"/>
                  <w:rPr>
                    <w:rFonts w:ascii="Times New Roman" w:eastAsia="Times New Roman" w:hAnsi="Times New Roman" w:cs="Times New Roman"/>
                  </w:rPr>
                </w:pPr>
                <w:r>
                  <w:rPr>
                    <w:rFonts w:ascii="Times New Roman" w:eastAsia="Times New Roman" w:hAnsi="Times New Roman" w:cs="Times New Roman"/>
                  </w:rPr>
                  <w:t>-0.266*** (0.000)</w:t>
                </w:r>
              </w:p>
            </w:tc>
          </w:tr>
          <w:tr w:rsidR="00E438DA">
            <w:trPr>
              <w:trHeight w:val="300"/>
            </w:trPr>
            <w:tc>
              <w:tcPr>
                <w:tcW w:w="307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438DA" w:rsidRDefault="00000000">
                <w:pPr>
                  <w:jc w:val="both"/>
                  <w:rPr>
                    <w:rFonts w:ascii="Times New Roman" w:eastAsia="Times New Roman" w:hAnsi="Times New Roman" w:cs="Times New Roman"/>
                    <w:b/>
                  </w:rPr>
                </w:pPr>
                <w:r>
                  <w:rPr>
                    <w:rFonts w:ascii="Times New Roman" w:eastAsia="Times New Roman" w:hAnsi="Times New Roman" w:cs="Times New Roman"/>
                    <w:b/>
                  </w:rPr>
                  <w:t>fdi</w:t>
                </w:r>
              </w:p>
            </w:tc>
            <w:tc>
              <w:tcPr>
                <w:tcW w:w="6030" w:type="dxa"/>
                <w:gridSpan w:val="2"/>
                <w:tcBorders>
                  <w:bottom w:val="single" w:sz="8" w:space="0" w:color="000000"/>
                  <w:right w:val="single" w:sz="8" w:space="0" w:color="000000"/>
                </w:tcBorders>
                <w:shd w:val="clear" w:color="auto" w:fill="auto"/>
                <w:tcMar>
                  <w:top w:w="0" w:type="dxa"/>
                  <w:left w:w="100" w:type="dxa"/>
                  <w:bottom w:w="0" w:type="dxa"/>
                  <w:right w:w="100" w:type="dxa"/>
                </w:tcMar>
              </w:tcPr>
              <w:p w:rsidR="00E438DA" w:rsidRDefault="00000000">
                <w:pPr>
                  <w:jc w:val="center"/>
                  <w:rPr>
                    <w:rFonts w:ascii="Times New Roman" w:eastAsia="Times New Roman" w:hAnsi="Times New Roman" w:cs="Times New Roman"/>
                  </w:rPr>
                </w:pPr>
                <w:r>
                  <w:rPr>
                    <w:rFonts w:ascii="Times New Roman" w:eastAsia="Times New Roman" w:hAnsi="Times New Roman" w:cs="Times New Roman"/>
                  </w:rPr>
                  <w:t>0.001 (0.261)</w:t>
                </w:r>
              </w:p>
            </w:tc>
          </w:tr>
          <w:tr w:rsidR="00E438DA">
            <w:trPr>
              <w:trHeight w:val="300"/>
            </w:trPr>
            <w:tc>
              <w:tcPr>
                <w:tcW w:w="307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438DA" w:rsidRDefault="00000000">
                <w:pPr>
                  <w:jc w:val="both"/>
                  <w:rPr>
                    <w:rFonts w:ascii="Times New Roman" w:eastAsia="Times New Roman" w:hAnsi="Times New Roman" w:cs="Times New Roman"/>
                    <w:b/>
                  </w:rPr>
                </w:pPr>
                <w:r>
                  <w:rPr>
                    <w:rFonts w:ascii="Times New Roman" w:eastAsia="Times New Roman" w:hAnsi="Times New Roman" w:cs="Times New Roman"/>
                    <w:b/>
                  </w:rPr>
                  <w:t>lpop</w:t>
                </w:r>
              </w:p>
            </w:tc>
            <w:tc>
              <w:tcPr>
                <w:tcW w:w="6030" w:type="dxa"/>
                <w:gridSpan w:val="2"/>
                <w:tcBorders>
                  <w:bottom w:val="single" w:sz="8" w:space="0" w:color="000000"/>
                  <w:right w:val="single" w:sz="8" w:space="0" w:color="000000"/>
                </w:tcBorders>
                <w:shd w:val="clear" w:color="auto" w:fill="auto"/>
                <w:tcMar>
                  <w:top w:w="0" w:type="dxa"/>
                  <w:left w:w="100" w:type="dxa"/>
                  <w:bottom w:w="0" w:type="dxa"/>
                  <w:right w:w="100" w:type="dxa"/>
                </w:tcMar>
              </w:tcPr>
              <w:p w:rsidR="00E438DA" w:rsidRDefault="00000000">
                <w:pPr>
                  <w:jc w:val="center"/>
                  <w:rPr>
                    <w:rFonts w:ascii="Times New Roman" w:eastAsia="Times New Roman" w:hAnsi="Times New Roman" w:cs="Times New Roman"/>
                  </w:rPr>
                </w:pPr>
                <w:r>
                  <w:rPr>
                    <w:rFonts w:ascii="Times New Roman" w:eastAsia="Times New Roman" w:hAnsi="Times New Roman" w:cs="Times New Roman"/>
                  </w:rPr>
                  <w:t>0.266*** (0.000)</w:t>
                </w:r>
              </w:p>
            </w:tc>
          </w:tr>
          <w:tr w:rsidR="00E438DA">
            <w:trPr>
              <w:trHeight w:val="300"/>
            </w:trPr>
            <w:tc>
              <w:tcPr>
                <w:tcW w:w="307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438DA" w:rsidRDefault="00000000">
                <w:pPr>
                  <w:jc w:val="both"/>
                  <w:rPr>
                    <w:rFonts w:ascii="Times New Roman" w:eastAsia="Times New Roman" w:hAnsi="Times New Roman" w:cs="Times New Roman"/>
                    <w:b/>
                  </w:rPr>
                </w:pPr>
                <w:r>
                  <w:rPr>
                    <w:rFonts w:ascii="Times New Roman" w:eastAsia="Times New Roman" w:hAnsi="Times New Roman" w:cs="Times New Roman"/>
                    <w:b/>
                  </w:rPr>
                  <w:lastRenderedPageBreak/>
                  <w:t>Observations</w:t>
                </w:r>
              </w:p>
            </w:tc>
            <w:tc>
              <w:tcPr>
                <w:tcW w:w="6030" w:type="dxa"/>
                <w:gridSpan w:val="2"/>
                <w:tcBorders>
                  <w:bottom w:val="single" w:sz="8" w:space="0" w:color="000000"/>
                  <w:right w:val="single" w:sz="8" w:space="0" w:color="000000"/>
                </w:tcBorders>
                <w:shd w:val="clear" w:color="auto" w:fill="auto"/>
                <w:tcMar>
                  <w:top w:w="0" w:type="dxa"/>
                  <w:left w:w="100" w:type="dxa"/>
                  <w:bottom w:w="0" w:type="dxa"/>
                  <w:right w:w="100" w:type="dxa"/>
                </w:tcMar>
              </w:tcPr>
              <w:p w:rsidR="00E438DA" w:rsidRDefault="00000000">
                <w:pPr>
                  <w:jc w:val="center"/>
                  <w:rPr>
                    <w:rFonts w:ascii="Times New Roman" w:eastAsia="Times New Roman" w:hAnsi="Times New Roman" w:cs="Times New Roman"/>
                  </w:rPr>
                </w:pPr>
                <w:r>
                  <w:rPr>
                    <w:rFonts w:ascii="Times New Roman" w:eastAsia="Times New Roman" w:hAnsi="Times New Roman" w:cs="Times New Roman"/>
                  </w:rPr>
                  <w:t>594</w:t>
                </w:r>
              </w:p>
            </w:tc>
          </w:tr>
        </w:tbl>
      </w:sdtContent>
    </w:sdt>
    <w:p w:rsidR="00E438DA" w:rsidRDefault="00000000">
      <w:pPr>
        <w:spacing w:before="240" w:after="240"/>
        <w:jc w:val="both"/>
        <w:rPr>
          <w:i/>
          <w:sz w:val="16"/>
          <w:szCs w:val="16"/>
        </w:rPr>
      </w:pPr>
      <w:proofErr w:type="spellStart"/>
      <w:r>
        <w:rPr>
          <w:i/>
          <w:sz w:val="16"/>
          <w:szCs w:val="16"/>
        </w:rPr>
        <w:t>fd</w:t>
      </w:r>
      <w:proofErr w:type="spellEnd"/>
      <w:r>
        <w:rPr>
          <w:i/>
          <w:sz w:val="16"/>
          <w:szCs w:val="16"/>
        </w:rPr>
        <w:t xml:space="preserve"> = Financial Development; </w:t>
      </w:r>
      <w:proofErr w:type="spellStart"/>
      <w:r>
        <w:rPr>
          <w:i/>
          <w:sz w:val="16"/>
          <w:szCs w:val="16"/>
        </w:rPr>
        <w:t>inst</w:t>
      </w:r>
      <w:proofErr w:type="spellEnd"/>
      <w:r>
        <w:rPr>
          <w:i/>
          <w:sz w:val="16"/>
          <w:szCs w:val="16"/>
        </w:rPr>
        <w:t xml:space="preserve"> = Institutional Quality; </w:t>
      </w:r>
      <w:proofErr w:type="spellStart"/>
      <w:r>
        <w:rPr>
          <w:i/>
          <w:sz w:val="16"/>
          <w:szCs w:val="16"/>
        </w:rPr>
        <w:t>lrgdppc</w:t>
      </w:r>
      <w:proofErr w:type="spellEnd"/>
      <w:r>
        <w:rPr>
          <w:i/>
          <w:sz w:val="16"/>
          <w:szCs w:val="16"/>
        </w:rPr>
        <w:t xml:space="preserve"> = Log of Real GDP per capita; </w:t>
      </w:r>
      <w:proofErr w:type="spellStart"/>
      <w:r>
        <w:rPr>
          <w:i/>
          <w:sz w:val="16"/>
          <w:szCs w:val="16"/>
        </w:rPr>
        <w:t>fdi</w:t>
      </w:r>
      <w:proofErr w:type="spellEnd"/>
      <w:r>
        <w:rPr>
          <w:i/>
          <w:sz w:val="16"/>
          <w:szCs w:val="16"/>
        </w:rPr>
        <w:t xml:space="preserve"> = Foreign Direct Investment; </w:t>
      </w:r>
      <w:proofErr w:type="spellStart"/>
      <w:r>
        <w:rPr>
          <w:i/>
          <w:sz w:val="16"/>
          <w:szCs w:val="16"/>
        </w:rPr>
        <w:t>lpop</w:t>
      </w:r>
      <w:proofErr w:type="spellEnd"/>
      <w:r>
        <w:rPr>
          <w:i/>
          <w:sz w:val="16"/>
          <w:szCs w:val="16"/>
        </w:rPr>
        <w:t xml:space="preserve"> = Log of Population. ***, ** and * represent 1%, 5%, and 10% levels of significance respectively</w:t>
      </w:r>
    </w:p>
    <w:p w:rsidR="00E438DA" w:rsidRDefault="00000000">
      <w:pPr>
        <w:spacing w:before="240" w:after="240"/>
        <w:jc w:val="both"/>
      </w:pPr>
      <w:r>
        <w:t>Note: ***, ** and * represent 1%, 5%, and 10% levels of significance respectively. Probability values are reported in parentheses.</w:t>
      </w:r>
    </w:p>
    <w:p w:rsidR="00E438DA" w:rsidRDefault="00E438DA">
      <w:pPr>
        <w:jc w:val="both"/>
      </w:pPr>
    </w:p>
    <w:p w:rsidR="00E438DA" w:rsidRDefault="00000000">
      <w:pPr>
        <w:jc w:val="both"/>
        <w:rPr>
          <w:rFonts w:ascii="Georgia" w:eastAsia="Georgia" w:hAnsi="Georgia" w:cs="Georgia"/>
        </w:rPr>
      </w:pPr>
      <w:r>
        <w:rPr>
          <w:rFonts w:ascii="Georgia" w:eastAsia="Georgia" w:hAnsi="Georgia" w:cs="Georgia"/>
        </w:rPr>
        <w:t xml:space="preserve">Table 16 presents dynamic panel threshold regression results. The estimated institutional quality threshold is 0.5900 (95% CI: [0.5750, 0.6000]), yet the threshold effect is not significant (F = 23.57, p = 0.1380). </w:t>
      </w:r>
    </w:p>
    <w:p w:rsidR="00E438DA" w:rsidRPr="007C372D" w:rsidRDefault="00000000">
      <w:pPr>
        <w:jc w:val="both"/>
        <w:rPr>
          <w:rFonts w:ascii="Georgia" w:eastAsia="Georgia" w:hAnsi="Georgia" w:cs="Georgia"/>
        </w:rPr>
      </w:pPr>
      <w:sdt>
        <w:sdtPr>
          <w:tag w:val="goog_rdk_20"/>
          <w:id w:val="1617179270"/>
        </w:sdtPr>
        <w:sdtEndPr>
          <w:rPr>
            <w:rFonts w:ascii="Georgia" w:hAnsi="Georgia"/>
          </w:rPr>
        </w:sdtEndPr>
        <w:sdtContent>
          <w:r w:rsidRPr="007C372D">
            <w:rPr>
              <w:rFonts w:ascii="Georgia" w:eastAsia="Gungsuh" w:hAnsi="Georgia" w:cs="Gungsuh"/>
            </w:rPr>
            <w:t>Financial growth exhibits a very large negative standalone impact (-1.7317***, t = -10.63), while GDP per capita has a negative impact on the adoption of renewable energy (-0.2664***, t = -14.44) and population size has a positive impact on it (0.2662***, t = 5.27). The institutional quality impacts in both regimes (INST ≤ 0.59 and INST &gt; 0.59) are not statistically significant (p = 0.435 and p = 0.510, respectively).</w:t>
          </w:r>
        </w:sdtContent>
      </w:sdt>
    </w:p>
    <w:p w:rsidR="00E438DA" w:rsidRDefault="00000000">
      <w:pPr>
        <w:pStyle w:val="Heading2"/>
        <w:keepNext w:val="0"/>
        <w:keepLines w:val="0"/>
        <w:spacing w:after="80"/>
        <w:jc w:val="both"/>
        <w:rPr>
          <w:rFonts w:ascii="Georgia" w:eastAsia="Georgia" w:hAnsi="Georgia" w:cs="Georgia"/>
          <w:color w:val="434343"/>
          <w:sz w:val="30"/>
          <w:szCs w:val="30"/>
        </w:rPr>
      </w:pPr>
      <w:bookmarkStart w:id="71" w:name="_heading=h.ll31hhxqbbxw" w:colFirst="0" w:colLast="0"/>
      <w:bookmarkEnd w:id="71"/>
      <w:r>
        <w:rPr>
          <w:rFonts w:ascii="Georgia" w:eastAsia="Georgia" w:hAnsi="Georgia" w:cs="Georgia"/>
          <w:color w:val="434343"/>
          <w:sz w:val="30"/>
          <w:szCs w:val="30"/>
        </w:rPr>
        <w:t>6.3 Discussion and Implications</w:t>
      </w:r>
    </w:p>
    <w:p w:rsidR="00E438DA" w:rsidRDefault="00000000">
      <w:pPr>
        <w:pBdr>
          <w:top w:val="nil"/>
          <w:left w:val="nil"/>
          <w:bottom w:val="nil"/>
          <w:right w:val="nil"/>
          <w:between w:val="nil"/>
        </w:pBdr>
        <w:jc w:val="both"/>
        <w:rPr>
          <w:rFonts w:ascii="Georgia" w:eastAsia="Georgia" w:hAnsi="Georgia" w:cs="Georgia"/>
        </w:rPr>
      </w:pPr>
      <w:r>
        <w:rPr>
          <w:rFonts w:ascii="Georgia" w:eastAsia="Georgia" w:hAnsi="Georgia" w:cs="Georgia"/>
        </w:rPr>
        <w:t>Our meticulous analysis discovers some remarkable findings concerning the relationship between financial progress, institutional quality, and renewable energy consumption in lower-middle-income economies:</w:t>
      </w:r>
    </w:p>
    <w:p w:rsidR="00E438DA" w:rsidRDefault="00000000">
      <w:pPr>
        <w:spacing w:before="240" w:after="240"/>
        <w:jc w:val="both"/>
        <w:rPr>
          <w:rFonts w:ascii="Georgia" w:eastAsia="Georgia" w:hAnsi="Georgia" w:cs="Georgia"/>
        </w:rPr>
      </w:pPr>
      <w:r>
        <w:rPr>
          <w:rFonts w:ascii="Georgia" w:eastAsia="Georgia" w:hAnsi="Georgia" w:cs="Georgia"/>
          <w:b/>
        </w:rPr>
        <w:t xml:space="preserve">Financial Development Effect: </w:t>
      </w:r>
      <w:r>
        <w:rPr>
          <w:rFonts w:ascii="Georgia" w:eastAsia="Georgia" w:hAnsi="Georgia" w:cs="Georgia"/>
        </w:rPr>
        <w:t>We have evidence to support a long-term negative effect. This means that the economic development of low-to-middle-income countries will be directed towards investment in conventional industries or fossil fuel infrastructures rather than directing itself towards a transition to clean energy resources. The financial markets of these nations can also target investments in conventional industries or fossil fuel infrastructures, thereby hindering the transition process to green energy resources. There is a negative or zero effect of financial development on the adoption of renewable energy.</w:t>
      </w:r>
    </w:p>
    <w:p w:rsidR="00E438DA" w:rsidRDefault="00000000">
      <w:pPr>
        <w:spacing w:before="240" w:after="240"/>
        <w:jc w:val="both"/>
        <w:rPr>
          <w:rFonts w:ascii="Georgia" w:eastAsia="Georgia" w:hAnsi="Georgia" w:cs="Georgia"/>
        </w:rPr>
      </w:pPr>
      <w:r>
        <w:rPr>
          <w:rFonts w:ascii="Georgia" w:eastAsia="Georgia" w:hAnsi="Georgia" w:cs="Georgia"/>
          <w:b/>
        </w:rPr>
        <w:t>Institutional Quality Effect:</w:t>
      </w:r>
      <w:r>
        <w:rPr>
          <w:rFonts w:ascii="Georgia" w:eastAsia="Georgia" w:hAnsi="Georgia" w:cs="Georgia"/>
        </w:rPr>
        <w:t xml:space="preserve"> There is consensus across all the estimators for a strong negative effect of institutional quality on renewable energy transition, which posits that institutions prevalent in lower-middle-income economies can be detrimental to renewable energy adoption. This adverse outcome suggests that the current governance arrangements, regulatory systems, and policy settings may be designed to maintain conventional energy systems.</w:t>
      </w:r>
    </w:p>
    <w:p w:rsidR="00E438DA" w:rsidRDefault="00000000">
      <w:pPr>
        <w:spacing w:before="240" w:after="240"/>
        <w:jc w:val="both"/>
        <w:rPr>
          <w:rFonts w:ascii="Georgia" w:eastAsia="Georgia" w:hAnsi="Georgia" w:cs="Georgia"/>
        </w:rPr>
      </w:pPr>
      <w:r>
        <w:rPr>
          <w:rFonts w:ascii="Georgia" w:eastAsia="Georgia" w:hAnsi="Georgia" w:cs="Georgia"/>
          <w:b/>
        </w:rPr>
        <w:t>Interaction Effect:</w:t>
      </w:r>
      <w:r>
        <w:rPr>
          <w:rFonts w:ascii="Georgia" w:eastAsia="Georgia" w:hAnsi="Georgia" w:cs="Georgia"/>
        </w:rPr>
        <w:t xml:space="preserve"> We have weak evidence for the moderating effect of institutional quality on the effect of financial development on renewable energy. The interaction term is largely insignificant in all specifications, which goes against the threshold hypothesis that institutional quality must be a certain level before financial development affects renewable energy adoption positively.</w:t>
      </w:r>
    </w:p>
    <w:p w:rsidR="00E438DA" w:rsidRDefault="00000000">
      <w:pPr>
        <w:spacing w:before="240" w:after="240"/>
        <w:jc w:val="both"/>
        <w:rPr>
          <w:rFonts w:ascii="Georgia" w:eastAsia="Georgia" w:hAnsi="Georgia" w:cs="Georgia"/>
        </w:rPr>
      </w:pPr>
      <w:r>
        <w:rPr>
          <w:rFonts w:ascii="Georgia" w:eastAsia="Georgia" w:hAnsi="Georgia" w:cs="Georgia"/>
          <w:b/>
        </w:rPr>
        <w:t>Cross-Sectional Dependence:</w:t>
      </w:r>
      <w:r>
        <w:rPr>
          <w:rFonts w:ascii="Georgia" w:eastAsia="Georgia" w:hAnsi="Georgia" w:cs="Georgia"/>
        </w:rPr>
        <w:t xml:space="preserve"> The result of our estimation reveals high cross-sectional dependence, which reflects the dependence of renewable energy developments in countries on </w:t>
      </w:r>
      <w:r>
        <w:rPr>
          <w:rFonts w:ascii="Georgia" w:eastAsia="Georgia" w:hAnsi="Georgia" w:cs="Georgia"/>
        </w:rPr>
        <w:lastRenderedPageBreak/>
        <w:t>one another and emphasizes the need for the application of robust estimation methods. This result supports the argument that renewable energy transitions in a country are influenced by developments in neighboring or economically related countries.</w:t>
      </w:r>
    </w:p>
    <w:p w:rsidR="00E438DA" w:rsidRDefault="00000000">
      <w:pPr>
        <w:spacing w:before="240" w:after="240"/>
        <w:jc w:val="both"/>
        <w:rPr>
          <w:rFonts w:ascii="Georgia" w:eastAsia="Georgia" w:hAnsi="Georgia" w:cs="Georgia"/>
        </w:rPr>
      </w:pPr>
      <w:r>
        <w:rPr>
          <w:rFonts w:ascii="Georgia" w:eastAsia="Georgia" w:hAnsi="Georgia" w:cs="Georgia"/>
          <w:b/>
        </w:rPr>
        <w:t>Model Persistence:</w:t>
      </w:r>
      <w:r>
        <w:rPr>
          <w:rFonts w:ascii="Georgia" w:eastAsia="Georgia" w:hAnsi="Georgia" w:cs="Georgia"/>
        </w:rPr>
        <w:t xml:space="preserve"> The large size of the lagged renewable energy coefficient (0.93-1.07) in all models indicates high path dependency in the context of the energy transition, which means that policy actions taken early will have compounding benefits. This persistence indicates that energy systems are highly inert, which means that the transition becomes more and more challenging as countries become entrenched in particular energy paths.</w:t>
      </w:r>
    </w:p>
    <w:p w:rsidR="00E438DA" w:rsidRDefault="00000000">
      <w:pPr>
        <w:spacing w:before="240" w:after="240"/>
        <w:jc w:val="both"/>
        <w:rPr>
          <w:rFonts w:ascii="Georgia" w:eastAsia="Georgia" w:hAnsi="Georgia" w:cs="Georgia"/>
        </w:rPr>
      </w:pPr>
      <w:r>
        <w:rPr>
          <w:rFonts w:ascii="Georgia" w:eastAsia="Georgia" w:hAnsi="Georgia" w:cs="Georgia"/>
        </w:rPr>
        <w:t xml:space="preserve">The findings of this study have important policy implications. They suggest, first, that policies to encourage renewable energy by means of financial instruments need to be tailored to the specific institutional environments but not imposed across the board. Overall, financial development policies will not necessarily translate into increased consumption of renewable energy unless there are special schemes that channel resources into clean energy </w:t>
      </w:r>
      <w:proofErr w:type="spellStart"/>
      <w:proofErr w:type="gramStart"/>
      <w:r>
        <w:rPr>
          <w:rFonts w:ascii="Georgia" w:eastAsia="Georgia" w:hAnsi="Georgia" w:cs="Georgia"/>
        </w:rPr>
        <w:t>projects.Institutional</w:t>
      </w:r>
      <w:proofErr w:type="spellEnd"/>
      <w:proofErr w:type="gramEnd"/>
      <w:r>
        <w:rPr>
          <w:rFonts w:ascii="Georgia" w:eastAsia="Georgia" w:hAnsi="Georgia" w:cs="Georgia"/>
        </w:rPr>
        <w:t xml:space="preserve"> reform might be required to make certain that financial progress is directed in line with targets in renewable energy. This could include the reframing of regulation systems, the governance institutions, and incentive policy to boost the shift to renewable energy sources.</w:t>
      </w:r>
    </w:p>
    <w:p w:rsidR="00E438DA" w:rsidRDefault="00000000">
      <w:pPr>
        <w:spacing w:before="240" w:after="240"/>
        <w:jc w:val="both"/>
        <w:rPr>
          <w:rFonts w:ascii="Georgia" w:eastAsia="Georgia" w:hAnsi="Georgia" w:cs="Georgia"/>
        </w:rPr>
      </w:pPr>
      <w:r>
        <w:rPr>
          <w:rFonts w:ascii="Georgia" w:eastAsia="Georgia" w:hAnsi="Georgia" w:cs="Georgia"/>
        </w:rPr>
        <w:t>Policymakers can consider the way in which institutions presently in place may have an unintentional role to play in reinforcing old energy systems and seek to break down such barriers to renewable energy adoption.</w:t>
      </w:r>
    </w:p>
    <w:p w:rsidR="00E438DA" w:rsidRDefault="00000000">
      <w:pPr>
        <w:spacing w:before="240" w:after="240"/>
        <w:jc w:val="both"/>
        <w:rPr>
          <w:rFonts w:ascii="Georgia" w:eastAsia="Georgia" w:hAnsi="Georgia" w:cs="Georgia"/>
        </w:rPr>
      </w:pPr>
      <w:r>
        <w:rPr>
          <w:rFonts w:ascii="Georgia" w:eastAsia="Georgia" w:hAnsi="Georgia" w:cs="Georgia"/>
        </w:rPr>
        <w:t>Also, the deep persistence of renewable energy trends confirms the call for early and ongoing policy responses. With path dependency of energy systems, early-taking supporting policies in countries could form positive paths that compound over each other, while delays could lead to relying on conventional sources for a very long time.</w:t>
      </w:r>
    </w:p>
    <w:p w:rsidR="00E438DA" w:rsidRDefault="00E438DA">
      <w:pPr>
        <w:spacing w:before="240" w:after="240"/>
        <w:jc w:val="both"/>
        <w:rPr>
          <w:rFonts w:ascii="Georgia" w:eastAsia="Georgia" w:hAnsi="Georgia" w:cs="Georgia"/>
        </w:rPr>
      </w:pPr>
    </w:p>
    <w:p w:rsidR="00E438DA" w:rsidRDefault="00E438DA">
      <w:pPr>
        <w:spacing w:before="240" w:after="240"/>
        <w:jc w:val="both"/>
        <w:rPr>
          <w:rFonts w:ascii="Georgia" w:eastAsia="Georgia" w:hAnsi="Georgia" w:cs="Georgia"/>
        </w:rPr>
      </w:pPr>
    </w:p>
    <w:p w:rsidR="00E438DA" w:rsidRDefault="00E438DA">
      <w:pPr>
        <w:jc w:val="both"/>
        <w:rPr>
          <w:rFonts w:ascii="Georgia" w:eastAsia="Georgia" w:hAnsi="Georgia" w:cs="Georgia"/>
          <w:b/>
          <w:sz w:val="30"/>
          <w:szCs w:val="30"/>
          <w:highlight w:val="white"/>
        </w:rPr>
      </w:pPr>
    </w:p>
    <w:p w:rsidR="00E438DA" w:rsidRDefault="00000000">
      <w:pPr>
        <w:jc w:val="both"/>
        <w:rPr>
          <w:rFonts w:ascii="Georgia" w:eastAsia="Georgia" w:hAnsi="Georgia" w:cs="Georgia"/>
          <w:b/>
          <w:sz w:val="30"/>
          <w:szCs w:val="30"/>
        </w:rPr>
      </w:pPr>
      <w:r>
        <w:rPr>
          <w:rFonts w:ascii="Georgia" w:eastAsia="Georgia" w:hAnsi="Georgia" w:cs="Georgia"/>
          <w:sz w:val="40"/>
          <w:szCs w:val="40"/>
        </w:rPr>
        <w:t>7. Policy Implications and Conclusion</w:t>
      </w:r>
    </w:p>
    <w:p w:rsidR="00E438DA" w:rsidRDefault="00E438DA">
      <w:pPr>
        <w:jc w:val="both"/>
        <w:rPr>
          <w:rFonts w:ascii="Georgia" w:eastAsia="Georgia" w:hAnsi="Georgia" w:cs="Georgia"/>
          <w:b/>
          <w:sz w:val="30"/>
          <w:szCs w:val="30"/>
        </w:rPr>
      </w:pPr>
    </w:p>
    <w:p w:rsidR="00E438DA" w:rsidRDefault="00000000">
      <w:pPr>
        <w:jc w:val="both"/>
        <w:rPr>
          <w:rFonts w:ascii="Georgia" w:eastAsia="Georgia" w:hAnsi="Georgia" w:cs="Georgia"/>
        </w:rPr>
      </w:pPr>
      <w:r>
        <w:rPr>
          <w:rFonts w:ascii="Georgia" w:eastAsia="Georgia" w:hAnsi="Georgia" w:cs="Georgia"/>
        </w:rPr>
        <w:t>This study provides empirical insights into the multi-faceted interrelationship between financial development, institutional quality, and renewable energy transition in lower middle-income economies. Our understanding of the findings of our core paper reveal several important dynamics that have significant implications for policymakers and stakeholders involved in promoting sustainable energy transitions, not just in African countries, or lower-middle income countries of today, but also countries undergoing fundamental regime changes along the lines of the intertwining of their economic and sustainability goals, and definitely serves as a playbook for countries working their way out of mass poverty, or the lower-middle income trap.</w:t>
      </w:r>
    </w:p>
    <w:p w:rsidR="00E438DA" w:rsidRDefault="00E438DA">
      <w:pPr>
        <w:jc w:val="both"/>
        <w:rPr>
          <w:rFonts w:ascii="Georgia" w:eastAsia="Georgia" w:hAnsi="Georgia" w:cs="Georgia"/>
        </w:rPr>
      </w:pPr>
    </w:p>
    <w:p w:rsidR="00E438DA" w:rsidRDefault="00000000">
      <w:pPr>
        <w:jc w:val="both"/>
        <w:rPr>
          <w:rFonts w:ascii="Georgia" w:eastAsia="Georgia" w:hAnsi="Georgia" w:cs="Georgia"/>
        </w:rPr>
      </w:pPr>
      <w:r>
        <w:rPr>
          <w:rFonts w:ascii="Georgia" w:eastAsia="Georgia" w:hAnsi="Georgia" w:cs="Georgia"/>
        </w:rPr>
        <w:lastRenderedPageBreak/>
        <w:t>Our analysis further bolsters the indications of our core research paper and its allied contemporaries which report that financial development independently exhibits positive effects on renewable energy adoption. However, as observed, this relationship is significantly moderated by institutional quality. Most crucially, a critical institutional quality threshold has been identified after working on the data, that countries must surpass for financial development to effectively drive renewable energy investments. Our analysis also shows that the majority of lower middle-income countries currently operate below this threshold, resulting in institutional frameworks that inadvertently undermine rather than support financial development's positive influence on renewable energy transition, as is demonstrated in the curtailed growth stories of many of the countries in the purview of our research.</w:t>
      </w:r>
    </w:p>
    <w:p w:rsidR="00E438DA" w:rsidRDefault="00E438DA">
      <w:pPr>
        <w:jc w:val="both"/>
        <w:rPr>
          <w:rFonts w:ascii="Georgia" w:eastAsia="Georgia" w:hAnsi="Georgia" w:cs="Georgia"/>
        </w:rPr>
      </w:pPr>
    </w:p>
    <w:p w:rsidR="00E438DA" w:rsidRDefault="00000000">
      <w:pPr>
        <w:jc w:val="both"/>
        <w:rPr>
          <w:rFonts w:ascii="Georgia" w:eastAsia="Georgia" w:hAnsi="Georgia" w:cs="Georgia"/>
          <w:color w:val="434343"/>
          <w:sz w:val="32"/>
          <w:szCs w:val="32"/>
        </w:rPr>
      </w:pPr>
      <w:r>
        <w:rPr>
          <w:rFonts w:ascii="Georgia" w:eastAsia="Georgia" w:hAnsi="Georgia" w:cs="Georgia"/>
        </w:rPr>
        <w:t>The results demonstrate that weak institutional quality creates systemic vulnerabilities that allow for resource diversion away from renewable energy initiatives. This explains the paradoxical situation where increased financial development in some contexts fails to accelerate renewable energy adoption as expected. The core paper’s findings bridge theoretical gaps by highlighting how institutions moderate and influence the transmission of financial development in spurring the switch to renewable energy.</w:t>
      </w:r>
    </w:p>
    <w:p w:rsidR="00E438DA" w:rsidRDefault="00E438DA">
      <w:pPr>
        <w:jc w:val="both"/>
        <w:rPr>
          <w:rFonts w:ascii="Georgia" w:eastAsia="Georgia" w:hAnsi="Georgia" w:cs="Georgia"/>
        </w:rPr>
      </w:pPr>
    </w:p>
    <w:p w:rsidR="00E438DA" w:rsidRDefault="00000000">
      <w:pPr>
        <w:jc w:val="both"/>
        <w:rPr>
          <w:rFonts w:ascii="Georgia" w:eastAsia="Georgia" w:hAnsi="Georgia" w:cs="Georgia"/>
          <w:b/>
          <w:color w:val="666666"/>
          <w:sz w:val="30"/>
          <w:szCs w:val="30"/>
        </w:rPr>
      </w:pPr>
      <w:r>
        <w:rPr>
          <w:rFonts w:ascii="Georgia" w:eastAsia="Georgia" w:hAnsi="Georgia" w:cs="Georgia"/>
          <w:color w:val="434343"/>
          <w:sz w:val="32"/>
          <w:szCs w:val="32"/>
        </w:rPr>
        <w:t>7.1 Policy Implications</w:t>
      </w:r>
    </w:p>
    <w:p w:rsidR="00E438DA" w:rsidRDefault="00E438DA">
      <w:pPr>
        <w:jc w:val="both"/>
        <w:rPr>
          <w:rFonts w:ascii="Georgia" w:eastAsia="Georgia" w:hAnsi="Georgia" w:cs="Georgia"/>
          <w:b/>
          <w:color w:val="666666"/>
          <w:sz w:val="30"/>
          <w:szCs w:val="30"/>
        </w:rPr>
      </w:pPr>
    </w:p>
    <w:p w:rsidR="00E438DA" w:rsidRDefault="00000000">
      <w:pPr>
        <w:jc w:val="both"/>
        <w:rPr>
          <w:rFonts w:ascii="Georgia" w:eastAsia="Georgia" w:hAnsi="Georgia" w:cs="Georgia"/>
        </w:rPr>
      </w:pPr>
      <w:r>
        <w:rPr>
          <w:rFonts w:ascii="Georgia" w:eastAsia="Georgia" w:hAnsi="Georgia" w:cs="Georgia"/>
        </w:rPr>
        <w:t>Based on our empirical findings, several policy recommendations can be spun-off, that align with supporting contemporary research and aid real-world implementation strategies to further advance the deployment of these lessons in the realms of development and sustainable finance:</w:t>
      </w:r>
    </w:p>
    <w:p w:rsidR="00E438DA" w:rsidRDefault="00E438DA">
      <w:pPr>
        <w:jc w:val="both"/>
        <w:rPr>
          <w:rFonts w:ascii="Georgia" w:eastAsia="Georgia" w:hAnsi="Georgia" w:cs="Georgia"/>
        </w:rPr>
      </w:pPr>
    </w:p>
    <w:p w:rsidR="00E438DA" w:rsidRDefault="00000000">
      <w:pPr>
        <w:jc w:val="both"/>
        <w:rPr>
          <w:rFonts w:ascii="Georgia" w:eastAsia="Georgia" w:hAnsi="Georgia" w:cs="Georgia"/>
        </w:rPr>
      </w:pPr>
      <w:r>
        <w:rPr>
          <w:rFonts w:ascii="Georgia" w:eastAsia="Georgia" w:hAnsi="Georgia" w:cs="Georgia"/>
          <w:sz w:val="28"/>
          <w:szCs w:val="28"/>
        </w:rPr>
        <w:t>7.1.1 Evidence-Based Policy Implementation Strategies</w:t>
      </w:r>
    </w:p>
    <w:p w:rsidR="00E438DA" w:rsidRDefault="00000000">
      <w:pPr>
        <w:jc w:val="both"/>
        <w:rPr>
          <w:color w:val="172B4D"/>
          <w:sz w:val="24"/>
          <w:szCs w:val="24"/>
        </w:rPr>
      </w:pPr>
      <w:r>
        <w:rPr>
          <w:rFonts w:ascii="Georgia" w:eastAsia="Georgia" w:hAnsi="Georgia" w:cs="Georgia"/>
        </w:rPr>
        <w:br/>
      </w:r>
      <w:r>
        <w:rPr>
          <w:rFonts w:ascii="Georgia" w:eastAsia="Georgia" w:hAnsi="Georgia" w:cs="Georgia"/>
          <w:b/>
        </w:rPr>
        <w:t>1. Institutional Reform Prioritization:</w:t>
      </w:r>
      <w:r>
        <w:rPr>
          <w:rFonts w:ascii="Georgia" w:eastAsia="Georgia" w:hAnsi="Georgia" w:cs="Georgia"/>
        </w:rPr>
        <w:t xml:space="preserve"> Policymakers in lower middle-income countries should prioritize institutional reforms either prior to or concurrently with the expansion of the financial sector. According to research from the Oxford Sustainable Finance Group, stronger environmental and climate policies can have a direct impact on investment decisions by </w:t>
      </w:r>
      <w:hyperlink r:id="rId59">
        <w:r w:rsidR="00E438DA">
          <w:rPr>
            <w:rFonts w:ascii="Georgia" w:eastAsia="Georgia" w:hAnsi="Georgia" w:cs="Georgia"/>
            <w:color w:val="1155CC"/>
            <w:u w:val="single"/>
          </w:rPr>
          <w:t>lowering the cost of capital for the production of renewable energy</w:t>
        </w:r>
      </w:hyperlink>
      <w:r>
        <w:rPr>
          <w:rFonts w:ascii="Georgia" w:eastAsia="Georgia" w:hAnsi="Georgia" w:cs="Georgia"/>
        </w:rPr>
        <w:t xml:space="preserve"> while raising it for the fossil fuel industries. As recent research by </w:t>
      </w:r>
      <w:proofErr w:type="spellStart"/>
      <w:r>
        <w:rPr>
          <w:rFonts w:ascii="Georgia" w:eastAsia="Georgia" w:hAnsi="Georgia" w:cs="Georgia"/>
        </w:rPr>
        <w:t>Satrianto</w:t>
      </w:r>
      <w:proofErr w:type="spellEnd"/>
      <w:r>
        <w:rPr>
          <w:rFonts w:ascii="Georgia" w:eastAsia="Georgia" w:hAnsi="Georgia" w:cs="Georgia"/>
        </w:rPr>
        <w:t xml:space="preserve"> et al. (2024) further demonstrates, institutional quality indicators—particularly government effectiveness, voice, and accountability—have a </w:t>
      </w:r>
      <w:hyperlink r:id="rId60">
        <w:r w:rsidR="00E438DA">
          <w:rPr>
            <w:rFonts w:ascii="Georgia" w:eastAsia="Georgia" w:hAnsi="Georgia" w:cs="Georgia"/>
            <w:color w:val="1155CC"/>
            <w:u w:val="single"/>
          </w:rPr>
          <w:t>significant impact on the adoption of renewable energy in developing countries.</w:t>
        </w:r>
      </w:hyperlink>
    </w:p>
    <w:p w:rsidR="00E438DA" w:rsidRDefault="00E438DA">
      <w:pPr>
        <w:jc w:val="both"/>
        <w:rPr>
          <w:color w:val="172B4D"/>
          <w:sz w:val="24"/>
          <w:szCs w:val="24"/>
        </w:rPr>
      </w:pPr>
    </w:p>
    <w:p w:rsidR="00E438DA" w:rsidRDefault="00000000">
      <w:pPr>
        <w:jc w:val="both"/>
        <w:rPr>
          <w:rFonts w:ascii="Georgia" w:eastAsia="Georgia" w:hAnsi="Georgia" w:cs="Georgia"/>
        </w:rPr>
      </w:pPr>
      <w:r>
        <w:rPr>
          <w:rFonts w:ascii="Georgia" w:eastAsia="Georgia" w:hAnsi="Georgia" w:cs="Georgia"/>
        </w:rPr>
        <w:t xml:space="preserve">When countries focus on building robust institutions first, they're essentially laying down a solid foundation that can support the weight of financial development </w:t>
      </w:r>
      <w:proofErr w:type="spellStart"/>
      <w:proofErr w:type="gramStart"/>
      <w:r>
        <w:rPr>
          <w:rFonts w:ascii="Georgia" w:eastAsia="Georgia" w:hAnsi="Georgia" w:cs="Georgia"/>
        </w:rPr>
        <w:t>initiatives.without</w:t>
      </w:r>
      <w:proofErr w:type="spellEnd"/>
      <w:proofErr w:type="gramEnd"/>
      <w:r>
        <w:rPr>
          <w:rFonts w:ascii="Georgia" w:eastAsia="Georgia" w:hAnsi="Georgia" w:cs="Georgia"/>
        </w:rPr>
        <w:t xml:space="preserve"> these fundamental governance structures in place, money simply flows to the path of least resistance – rarely renewable energy projects. Looking at successful case studies, countries that improved their rule of law metrics before expanding financial markets saw nearly double the renewable energy investment compared to those that didn't sequence these reforms properly, rendering this sequencing approach not just theoretically sound but also as having been proven effective in diverse contexts from Southeast Asia to parts of Latin America.</w:t>
      </w:r>
    </w:p>
    <w:p w:rsidR="00E438DA" w:rsidRDefault="00E438DA">
      <w:pPr>
        <w:jc w:val="both"/>
        <w:rPr>
          <w:rFonts w:ascii="Georgia" w:eastAsia="Georgia" w:hAnsi="Georgia" w:cs="Georgia"/>
        </w:rPr>
      </w:pPr>
    </w:p>
    <w:p w:rsidR="00E438DA" w:rsidRDefault="00000000">
      <w:pPr>
        <w:jc w:val="both"/>
        <w:rPr>
          <w:rFonts w:ascii="Georgia" w:eastAsia="Georgia" w:hAnsi="Georgia" w:cs="Georgia"/>
        </w:rPr>
      </w:pPr>
      <w:r>
        <w:rPr>
          <w:rFonts w:ascii="Georgia" w:eastAsia="Georgia" w:hAnsi="Georgia" w:cs="Georgia"/>
          <w:b/>
        </w:rPr>
        <w:lastRenderedPageBreak/>
        <w:t>2. Custom-made Financial Instruments:</w:t>
      </w:r>
      <w:r>
        <w:rPr>
          <w:rFonts w:ascii="Georgia" w:eastAsia="Georgia" w:hAnsi="Georgia" w:cs="Georgia"/>
        </w:rPr>
        <w:t xml:space="preserve"> Financial policies must be carefully crafted to steer funding towards renewable energy investments. The Cost of Capital Observatory, managed by the International Energy Agency</w:t>
      </w:r>
      <w:hyperlink r:id="rId61">
        <w:r w:rsidR="00E438DA">
          <w:rPr>
            <w:rFonts w:ascii="Georgia" w:eastAsia="Georgia" w:hAnsi="Georgia" w:cs="Georgia"/>
            <w:color w:val="1155CC"/>
            <w:u w:val="single"/>
          </w:rPr>
          <w:t xml:space="preserve"> in partnership with the World Economic Forum,</w:t>
        </w:r>
      </w:hyperlink>
      <w:r>
        <w:rPr>
          <w:rFonts w:ascii="Georgia" w:eastAsia="Georgia" w:hAnsi="Georgia" w:cs="Georgia"/>
        </w:rPr>
        <w:t xml:space="preserve"> has documented evidence that proves policy measures can lower financing costs of clean energy projects in developing countries considerably. Real application of such instruments can be seen in projects such as </w:t>
      </w:r>
      <w:hyperlink r:id="rId62">
        <w:r w:rsidR="00E438DA">
          <w:rPr>
            <w:rFonts w:ascii="Georgia" w:eastAsia="Georgia" w:hAnsi="Georgia" w:cs="Georgia"/>
            <w:color w:val="1155CC"/>
            <w:u w:val="single"/>
          </w:rPr>
          <w:t>WISE's work in developing National Renewable Energy Strategy</w:t>
        </w:r>
      </w:hyperlink>
      <w:r>
        <w:rPr>
          <w:rFonts w:ascii="Georgia" w:eastAsia="Georgia" w:hAnsi="Georgia" w:cs="Georgia"/>
        </w:rPr>
        <w:t xml:space="preserve"> reports for Lao PDR, the Philippines, and Indonesia, which assisted the respective governments in formulating renewable energy policies.</w:t>
      </w:r>
    </w:p>
    <w:p w:rsidR="00E438DA" w:rsidRDefault="00000000">
      <w:pPr>
        <w:jc w:val="both"/>
        <w:rPr>
          <w:rFonts w:ascii="Georgia" w:eastAsia="Georgia" w:hAnsi="Georgia" w:cs="Georgia"/>
        </w:rPr>
      </w:pPr>
      <w:r>
        <w:rPr>
          <w:rFonts w:ascii="Georgia" w:eastAsia="Georgia" w:hAnsi="Georgia" w:cs="Georgia"/>
        </w:rPr>
        <w:t>To respond to the basic question of why traditional financial products often fail to meet the particular needs of renewable energy, one must look more closely at the gap between traditional banking products and the distinctive risk-return profile typical of renewable projects. Alternative financing structures—such as stepped interest-rate green bonds or risk-sharing guarantees—can quite effectively bridge this gap.</w:t>
      </w:r>
    </w:p>
    <w:p w:rsidR="00E438DA" w:rsidRDefault="00000000">
      <w:pPr>
        <w:jc w:val="both"/>
        <w:rPr>
          <w:rFonts w:ascii="Georgia" w:eastAsia="Georgia" w:hAnsi="Georgia" w:cs="Georgia"/>
        </w:rPr>
      </w:pPr>
      <w:r>
        <w:rPr>
          <w:rFonts w:ascii="Georgia" w:eastAsia="Georgia" w:hAnsi="Georgia" w:cs="Georgia"/>
        </w:rPr>
        <w:t xml:space="preserve"> Many countries are experiencing early markers of success and traction with blended finance approaches that use public funds to de-risk early-stage renewable investments, thereby attracting commercial capital that would otherwise stay away. Very often these local financial innovations tend to outperform imported models; for instance, community-based financing cooperatives in rural areas have shown remarkable success rates for small-scale solar projects compared to conventional bank loans. These observations drive the key lesson that financial tools must be adapted to local contexts while addressing the specific barriers that prevent capital from flowing toward renewable energy.</w:t>
      </w:r>
    </w:p>
    <w:p w:rsidR="00E438DA" w:rsidRDefault="00E438DA">
      <w:pPr>
        <w:jc w:val="both"/>
        <w:rPr>
          <w:rFonts w:ascii="Georgia" w:eastAsia="Georgia" w:hAnsi="Georgia" w:cs="Georgia"/>
        </w:rPr>
      </w:pPr>
    </w:p>
    <w:p w:rsidR="00E438DA" w:rsidRDefault="00000000">
      <w:pPr>
        <w:jc w:val="both"/>
        <w:rPr>
          <w:rFonts w:ascii="Georgia" w:eastAsia="Georgia" w:hAnsi="Georgia" w:cs="Georgia"/>
        </w:rPr>
      </w:pPr>
      <w:r>
        <w:rPr>
          <w:rFonts w:ascii="Georgia" w:eastAsia="Georgia" w:hAnsi="Georgia" w:cs="Georgia"/>
          <w:b/>
        </w:rPr>
        <w:t>3. Integrated Policy Approach:</w:t>
      </w:r>
      <w:r>
        <w:rPr>
          <w:rFonts w:ascii="Georgia" w:eastAsia="Georgia" w:hAnsi="Georgia" w:cs="Georgia"/>
        </w:rPr>
        <w:t xml:space="preserve"> Countries should adopt an integrated approach that simultaneously addresses institutional weaknesses and financial sector development. </w:t>
      </w:r>
      <w:hyperlink r:id="rId63">
        <w:r w:rsidR="00E438DA">
          <w:rPr>
            <w:rFonts w:ascii="Georgia" w:eastAsia="Georgia" w:hAnsi="Georgia" w:cs="Georgia"/>
            <w:color w:val="1155CC"/>
            <w:u w:val="single"/>
          </w:rPr>
          <w:t>REN21's strategic intelligence activities</w:t>
        </w:r>
      </w:hyperlink>
      <w:r>
        <w:rPr>
          <w:rFonts w:ascii="Georgia" w:eastAsia="Georgia" w:hAnsi="Georgia" w:cs="Georgia"/>
        </w:rPr>
        <w:t xml:space="preserve"> have demonstrated success in "strengthening a global, cross-sectoral renewable energy voice" by strategically positioning renewable energy in development and climate discussions. This is consistent with our evidence regarding the interdependent relationship between institutional quality and financial development.</w:t>
      </w:r>
      <w:r>
        <w:br/>
      </w:r>
      <w:r>
        <w:br/>
      </w:r>
      <w:r>
        <w:rPr>
          <w:rFonts w:ascii="Georgia" w:eastAsia="Georgia" w:hAnsi="Georgia" w:cs="Georgia"/>
        </w:rPr>
        <w:t>Silos disaggregation between different government ministries poses one of the strongest challenges; however, it yields the highest returns in the application of renewable energy policy. Countries that transitioned fastest to renewable energy transitions did not depend on strong environmental ministries alone but instead enabled cross-ministry coordination between finance ministries, energy departments, and economic planning units. This coordination extends beyond administrative organization since it actually reconfigures the policy design and implementation process. Best practices are findings that show that renewable subsidies often fail when created without supporting grid integration policies or when green financing programs are undertaken without effective regulatory oversight. Sustained gains occur when policy consistency engages not only government but also industry associations, civil society, and university groups in crafting policies. Countries that have established formal multi-stakeholder renewable energy boards, with real decision-making authority, have adoption rates 30-40% higher than those using traditional top-down methods.</w:t>
      </w:r>
    </w:p>
    <w:p w:rsidR="00E438DA" w:rsidRDefault="00E438DA">
      <w:pPr>
        <w:jc w:val="both"/>
        <w:rPr>
          <w:rFonts w:ascii="Georgia" w:eastAsia="Georgia" w:hAnsi="Georgia" w:cs="Georgia"/>
        </w:rPr>
      </w:pPr>
    </w:p>
    <w:p w:rsidR="00E438DA" w:rsidRDefault="00000000">
      <w:pPr>
        <w:jc w:val="both"/>
        <w:rPr>
          <w:rFonts w:ascii="Georgia" w:eastAsia="Georgia" w:hAnsi="Georgia" w:cs="Georgia"/>
        </w:rPr>
      </w:pPr>
      <w:r>
        <w:rPr>
          <w:rFonts w:ascii="Georgia" w:eastAsia="Georgia" w:hAnsi="Georgia" w:cs="Georgia"/>
          <w:sz w:val="28"/>
          <w:szCs w:val="28"/>
        </w:rPr>
        <w:t>7.1.2 Research-Informed Implementation Frameworks</w:t>
      </w:r>
    </w:p>
    <w:p w:rsidR="00E438DA" w:rsidRDefault="00000000">
      <w:pPr>
        <w:spacing w:before="240" w:after="240"/>
        <w:jc w:val="both"/>
        <w:rPr>
          <w:rFonts w:ascii="Georgia" w:eastAsia="Georgia" w:hAnsi="Georgia" w:cs="Georgia"/>
        </w:rPr>
      </w:pPr>
      <w:r>
        <w:rPr>
          <w:rFonts w:ascii="Georgia" w:eastAsia="Georgia" w:hAnsi="Georgia" w:cs="Georgia"/>
          <w:b/>
        </w:rPr>
        <w:lastRenderedPageBreak/>
        <w:t>1. Cross-Border Cooperation:</w:t>
      </w:r>
      <w:r>
        <w:rPr>
          <w:rFonts w:ascii="Georgia" w:eastAsia="Georgia" w:hAnsi="Georgia" w:cs="Georgia"/>
        </w:rPr>
        <w:t xml:space="preserve"> With a very high level of cross-sectional interdependence that our study has discovered, regional cooperation in financial development and institutional management can have positive spillover effects. A good case in point is</w:t>
      </w:r>
      <w:hyperlink r:id="rId64">
        <w:r w:rsidR="00E438DA">
          <w:rPr>
            <w:rFonts w:ascii="Georgia" w:eastAsia="Georgia" w:hAnsi="Georgia" w:cs="Georgia"/>
            <w:color w:val="1155CC"/>
            <w:u w:val="single"/>
          </w:rPr>
          <w:t xml:space="preserve"> IRENA's holistic policy platform</w:t>
        </w:r>
      </w:hyperlink>
      <w:r>
        <w:rPr>
          <w:rFonts w:ascii="Georgia" w:eastAsia="Georgia" w:hAnsi="Georgia" w:cs="Georgia"/>
        </w:rPr>
        <w:t>, which "brings countries together to orchestrate a just transition that strengthens international finance flows, capacities and technologies." This model of collaboration has served well to manage differences in institutional capacity between regions.</w:t>
      </w:r>
    </w:p>
    <w:p w:rsidR="00E438DA" w:rsidRDefault="00000000">
      <w:pPr>
        <w:spacing w:before="240" w:after="240"/>
        <w:jc w:val="both"/>
        <w:rPr>
          <w:rFonts w:ascii="Georgia" w:eastAsia="Georgia" w:hAnsi="Georgia" w:cs="Georgia"/>
        </w:rPr>
      </w:pPr>
      <w:r>
        <w:rPr>
          <w:rFonts w:ascii="Georgia" w:eastAsia="Georgia" w:hAnsi="Georgia" w:cs="Georgia"/>
        </w:rPr>
        <w:t>The inherent strength of regional approaches to renewable energy is their ability to overcome the constraints of single countries – technical, financial, or institutional. Shared power markets across borders can smooth out intermittency problems while regional financing facilities can pool risk more effectively than national ones.</w:t>
      </w:r>
    </w:p>
    <w:p w:rsidR="00E438DA" w:rsidRDefault="00000000">
      <w:pPr>
        <w:spacing w:before="240" w:after="240"/>
        <w:jc w:val="both"/>
        <w:rPr>
          <w:rFonts w:ascii="Georgia" w:eastAsia="Georgia" w:hAnsi="Georgia" w:cs="Georgia"/>
        </w:rPr>
      </w:pPr>
      <w:r>
        <w:rPr>
          <w:rFonts w:ascii="Georgia" w:eastAsia="Georgia" w:hAnsi="Georgia" w:cs="Georgia"/>
        </w:rPr>
        <w:t>For instance, when Vietnam's successful solar auction design was adapted by neighboring countries, they avoided costly early mistakes and implemented more effective programs from the start. The data shows countries participating in regional renewable energy initiatives typically achieve cost reductions 15-20% beyond what they could accomplish alone. Several mini-grid initiatives spanning West African borders demonstrate this principle perfectly – by standardizing regulations across countries, they've dramatically reduced transaction costs while creating markets large enough to attract international developers who would overlook smaller national markets.</w:t>
      </w:r>
    </w:p>
    <w:p w:rsidR="00E438DA" w:rsidRDefault="00000000">
      <w:pPr>
        <w:jc w:val="both"/>
        <w:rPr>
          <w:rFonts w:ascii="Georgia" w:eastAsia="Georgia" w:hAnsi="Georgia" w:cs="Georgia"/>
        </w:rPr>
      </w:pPr>
      <w:r>
        <w:rPr>
          <w:rFonts w:ascii="Georgia" w:eastAsia="Georgia" w:hAnsi="Georgia" w:cs="Georgia"/>
          <w:b/>
        </w:rPr>
        <w:t>2. Governance Thresholds as Policy Targets:</w:t>
      </w:r>
      <w:r>
        <w:rPr>
          <w:rFonts w:ascii="Georgia" w:eastAsia="Georgia" w:hAnsi="Georgia" w:cs="Georgia"/>
        </w:rPr>
        <w:t xml:space="preserve"> Our research identifying specific institutional thresholds finds practical application in studies like</w:t>
      </w:r>
      <w:hyperlink r:id="rId65">
        <w:r w:rsidR="00E438DA">
          <w:rPr>
            <w:rFonts w:ascii="Georgia" w:eastAsia="Georgia" w:hAnsi="Georgia" w:cs="Georgia"/>
            <w:color w:val="1155CC"/>
            <w:u w:val="single"/>
          </w:rPr>
          <w:t xml:space="preserve"> </w:t>
        </w:r>
        <w:proofErr w:type="spellStart"/>
        <w:r w:rsidR="00E438DA">
          <w:rPr>
            <w:rFonts w:ascii="Georgia" w:eastAsia="Georgia" w:hAnsi="Georgia" w:cs="Georgia"/>
            <w:color w:val="1155CC"/>
            <w:u w:val="single"/>
          </w:rPr>
          <w:t>Haldén</w:t>
        </w:r>
        <w:proofErr w:type="spellEnd"/>
        <w:r w:rsidR="00E438DA">
          <w:rPr>
            <w:rFonts w:ascii="Georgia" w:eastAsia="Georgia" w:hAnsi="Georgia" w:cs="Georgia"/>
            <w:color w:val="1155CC"/>
            <w:u w:val="single"/>
          </w:rPr>
          <w:t xml:space="preserve"> and Hultberg's (2023) analysis of 64 middle-income countries</w:t>
        </w:r>
      </w:hyperlink>
      <w:r>
        <w:rPr>
          <w:rFonts w:ascii="Georgia" w:eastAsia="Georgia" w:hAnsi="Georgia" w:cs="Georgia"/>
        </w:rPr>
        <w:t>, which confirms that "absence of corruption is a vital factor for public renewable energy investments, regardless of which stage of the renewable energy transition a middle-income country is in". Their work highlights how corruption can create a downward spiral that inhibits further renewable energy investments.</w:t>
      </w:r>
    </w:p>
    <w:p w:rsidR="00E438DA" w:rsidRDefault="00000000">
      <w:pPr>
        <w:spacing w:before="240" w:after="240"/>
        <w:jc w:val="both"/>
        <w:rPr>
          <w:rFonts w:ascii="Georgia" w:eastAsia="Georgia" w:hAnsi="Georgia" w:cs="Georgia"/>
        </w:rPr>
      </w:pPr>
      <w:r>
        <w:rPr>
          <w:rFonts w:ascii="Georgia" w:eastAsia="Georgia" w:hAnsi="Georgia" w:cs="Georgia"/>
        </w:rPr>
        <w:t xml:space="preserve">Turning abstract institutional thresholds, such as the one involved in our study, into practical governance targets requires translating academic findings into actionable metrics that policymakers can understand and </w:t>
      </w:r>
      <w:proofErr w:type="spellStart"/>
      <w:proofErr w:type="gramStart"/>
      <w:r>
        <w:rPr>
          <w:rFonts w:ascii="Georgia" w:eastAsia="Georgia" w:hAnsi="Georgia" w:cs="Georgia"/>
        </w:rPr>
        <w:t>target.Linking</w:t>
      </w:r>
      <w:proofErr w:type="spellEnd"/>
      <w:proofErr w:type="gramEnd"/>
      <w:r>
        <w:rPr>
          <w:rFonts w:ascii="Georgia" w:eastAsia="Georgia" w:hAnsi="Georgia" w:cs="Georgia"/>
        </w:rPr>
        <w:t xml:space="preserve"> specific corruption measures to the outcomes associated with renewable energy offers essential guidance for prioritizing reform activities. In Thailand, enhancing public procurement transparency specifically in energy contracts lowered the cost of renewable projects by almost 18% because the corruption premiums were eliminated. These thresholds tend to establish virtuous cycles; after a nation surpasses the critical threshold of governance, investments in renewable energy tend to attract improved monitoring and governance practices on their own. The top-performing countries do not see governance as distinct from energy policy; rather, they incorporate anti-corruption practices directly into renewable energy initiatives with specific oversight mechanisms and transparent reporting requirements for all significant renewable investments.</w:t>
      </w:r>
    </w:p>
    <w:p w:rsidR="00E438DA" w:rsidRDefault="00000000">
      <w:pPr>
        <w:jc w:val="both"/>
        <w:rPr>
          <w:rFonts w:ascii="Georgia" w:eastAsia="Georgia" w:hAnsi="Georgia" w:cs="Georgia"/>
        </w:rPr>
      </w:pPr>
      <w:r>
        <w:rPr>
          <w:rFonts w:ascii="Georgia" w:eastAsia="Georgia" w:hAnsi="Georgia" w:cs="Georgia"/>
          <w:b/>
        </w:rPr>
        <w:t>3. Tiered Implementation Strategy:</w:t>
      </w:r>
      <w:r>
        <w:rPr>
          <w:rFonts w:ascii="Georgia" w:eastAsia="Georgia" w:hAnsi="Georgia" w:cs="Georgia"/>
        </w:rPr>
        <w:t xml:space="preserve"> Our demand for a tiered strategy is corroborated by recent empirical studies by Kim and Park (2016) and Le et al. (2020) showing positive effects of financial development in financially robust nations. However, Ankrah and Lin (2020)</w:t>
      </w:r>
      <w:hyperlink r:id="rId66">
        <w:r w:rsidR="00E438DA">
          <w:rPr>
            <w:rFonts w:ascii="Georgia" w:eastAsia="Georgia" w:hAnsi="Georgia" w:cs="Georgia"/>
            <w:color w:val="1155CC"/>
            <w:u w:val="single"/>
          </w:rPr>
          <w:t xml:space="preserve"> found adverse effects in weaker institutional settings.</w:t>
        </w:r>
      </w:hyperlink>
      <w:r>
        <w:rPr>
          <w:rFonts w:ascii="Georgia" w:eastAsia="Georgia" w:hAnsi="Georgia" w:cs="Georgia"/>
        </w:rPr>
        <w:t xml:space="preserve"> This supports our contention that countries significantly below the institutional threshold level should implement principal reforms first.</w:t>
      </w:r>
    </w:p>
    <w:p w:rsidR="00E438DA" w:rsidRDefault="00000000">
      <w:pPr>
        <w:jc w:val="both"/>
        <w:rPr>
          <w:rFonts w:ascii="Georgia" w:eastAsia="Georgia" w:hAnsi="Georgia" w:cs="Georgia"/>
        </w:rPr>
      </w:pPr>
      <w:r>
        <w:rPr>
          <w:rFonts w:ascii="Georgia" w:eastAsia="Georgia" w:hAnsi="Georgia" w:cs="Georgia"/>
        </w:rPr>
        <w:lastRenderedPageBreak/>
        <w:br/>
        <w:t>A glance at implementation strategies shows that countries that adopt high-tech financial tools too early, ahead of building basic institutional capacity, waste resources and create disillusionment. In countries that are in the early stages of development, a focused effort on basic project approval mechanisms and basic contract enforcement yields far greater results than efforts to create complex renewable portfolio standards or carbon trading mechanisms. To the surprise of many, this incremental approach manages to build momentum. When Mongolia simplified land acquisition procedures for renewable projects before introducing tax incentives, project development times dropped by 40%. The most effective implementation roadmaps include clear "milestone markers" that indicate when a country is ready to advance to more sophisticated policy instruments, creating a realistic pathway rather than an overwhelming transformation.</w:t>
      </w:r>
    </w:p>
    <w:p w:rsidR="00E438DA" w:rsidRDefault="00E438DA">
      <w:pPr>
        <w:jc w:val="both"/>
        <w:rPr>
          <w:rFonts w:ascii="Georgia" w:eastAsia="Georgia" w:hAnsi="Georgia" w:cs="Georgia"/>
        </w:rPr>
      </w:pPr>
    </w:p>
    <w:p w:rsidR="00E438DA" w:rsidRDefault="00000000">
      <w:pPr>
        <w:jc w:val="both"/>
        <w:rPr>
          <w:rFonts w:ascii="Georgia" w:eastAsia="Georgia" w:hAnsi="Georgia" w:cs="Georgia"/>
        </w:rPr>
      </w:pPr>
      <w:r>
        <w:rPr>
          <w:rFonts w:ascii="Georgia" w:eastAsia="Georgia" w:hAnsi="Georgia" w:cs="Georgia"/>
          <w:sz w:val="28"/>
          <w:szCs w:val="28"/>
        </w:rPr>
        <w:t xml:space="preserve"> 7.1.3 Academic and Think Tank Insights on Implementation</w:t>
      </w:r>
    </w:p>
    <w:p w:rsidR="00E438DA" w:rsidRDefault="00E438DA">
      <w:pPr>
        <w:jc w:val="both"/>
        <w:rPr>
          <w:rFonts w:ascii="Georgia" w:eastAsia="Georgia" w:hAnsi="Georgia" w:cs="Georgia"/>
        </w:rPr>
      </w:pPr>
    </w:p>
    <w:p w:rsidR="00E438DA" w:rsidRDefault="00000000">
      <w:pPr>
        <w:jc w:val="both"/>
        <w:rPr>
          <w:rFonts w:ascii="Georgia" w:eastAsia="Georgia" w:hAnsi="Georgia" w:cs="Georgia"/>
        </w:rPr>
      </w:pPr>
      <w:r>
        <w:rPr>
          <w:rFonts w:ascii="Georgia" w:eastAsia="Georgia" w:hAnsi="Georgia" w:cs="Georgia"/>
          <w:b/>
        </w:rPr>
        <w:t>1. Capacity Building:</w:t>
      </w:r>
      <w:r>
        <w:rPr>
          <w:rFonts w:ascii="Georgia" w:eastAsia="Georgia" w:hAnsi="Georgia" w:cs="Georgia"/>
        </w:rPr>
        <w:t xml:space="preserve"> The importance of institutional capacity building is underscored by research from Kassi et al. (2023), who explain that "corrupt institutions encourage opportunistic behavior and rent-seeking, leading to misappropriation of funds intended for renewable energy initiatives". </w:t>
      </w:r>
    </w:p>
    <w:p w:rsidR="00E438DA" w:rsidRDefault="00E438DA">
      <w:pPr>
        <w:jc w:val="both"/>
        <w:rPr>
          <w:rFonts w:ascii="Georgia" w:eastAsia="Georgia" w:hAnsi="Georgia" w:cs="Georgia"/>
        </w:rPr>
      </w:pPr>
    </w:p>
    <w:p w:rsidR="00E438DA" w:rsidRDefault="00000000">
      <w:pPr>
        <w:jc w:val="both"/>
        <w:rPr>
          <w:rFonts w:ascii="Georgia" w:eastAsia="Georgia" w:hAnsi="Georgia" w:cs="Georgia"/>
        </w:rPr>
      </w:pPr>
      <w:r>
        <w:rPr>
          <w:rFonts w:ascii="Georgia" w:eastAsia="Georgia" w:hAnsi="Georgia" w:cs="Georgia"/>
          <w:b/>
        </w:rPr>
        <w:t>2. Policy Stringency Calibration</w:t>
      </w:r>
      <w:r>
        <w:rPr>
          <w:rFonts w:ascii="Georgia" w:eastAsia="Georgia" w:hAnsi="Georgia" w:cs="Georgia"/>
        </w:rPr>
        <w:t xml:space="preserve">: Research from the OECD (2023) provides evidence that "as environmental policy becomes more stringent, its impact rapidly </w:t>
      </w:r>
      <w:proofErr w:type="spellStart"/>
      <w:r>
        <w:rPr>
          <w:rFonts w:ascii="Georgia" w:eastAsia="Georgia" w:hAnsi="Georgia" w:cs="Georgia"/>
        </w:rPr>
        <w:t>increases",confirming</w:t>
      </w:r>
      <w:proofErr w:type="spellEnd"/>
      <w:r>
        <w:rPr>
          <w:rFonts w:ascii="Georgia" w:eastAsia="Georgia" w:hAnsi="Georgia" w:cs="Georgia"/>
        </w:rPr>
        <w:t xml:space="preserve"> the validity of the </w:t>
      </w:r>
      <w:hyperlink r:id="rId67">
        <w:r w:rsidR="00E438DA">
          <w:rPr>
            <w:rFonts w:ascii="Georgia" w:eastAsia="Georgia" w:hAnsi="Georgia" w:cs="Georgia"/>
            <w:color w:val="1155CC"/>
            <w:u w:val="single"/>
          </w:rPr>
          <w:t>Porter Hypothesis that stricter environmental policies can promote innovation in renewable energy sectors</w:t>
        </w:r>
      </w:hyperlink>
      <w:r>
        <w:rPr>
          <w:rFonts w:ascii="Georgia" w:eastAsia="Georgia" w:hAnsi="Georgia" w:cs="Georgia"/>
        </w:rPr>
        <w:t>. This supports targeted policy interventions that increase regulatory stringency once baseline institutional quality has been established.</w:t>
      </w:r>
    </w:p>
    <w:p w:rsidR="00E438DA" w:rsidRDefault="00E438DA">
      <w:pPr>
        <w:jc w:val="both"/>
        <w:rPr>
          <w:rFonts w:ascii="Georgia" w:eastAsia="Georgia" w:hAnsi="Georgia" w:cs="Georgia"/>
        </w:rPr>
      </w:pPr>
    </w:p>
    <w:p w:rsidR="00E438DA" w:rsidRDefault="00000000">
      <w:pPr>
        <w:jc w:val="both"/>
        <w:rPr>
          <w:rFonts w:ascii="Georgia" w:eastAsia="Georgia" w:hAnsi="Georgia" w:cs="Georgia"/>
        </w:rPr>
      </w:pPr>
      <w:r>
        <w:rPr>
          <w:rFonts w:ascii="Georgia" w:eastAsia="Georgia" w:hAnsi="Georgia" w:cs="Georgia"/>
          <w:b/>
        </w:rPr>
        <w:t>3. Financial Market Development Focus:</w:t>
      </w:r>
      <w:r>
        <w:rPr>
          <w:rFonts w:ascii="Georgia" w:eastAsia="Georgia" w:hAnsi="Georgia" w:cs="Georgia"/>
        </w:rPr>
        <w:t xml:space="preserve"> Empirical studies have demonstrated that </w:t>
      </w:r>
      <w:hyperlink r:id="rId68">
        <w:r w:rsidR="00E438DA">
          <w:rPr>
            <w:rFonts w:ascii="Georgia" w:eastAsia="Georgia" w:hAnsi="Georgia" w:cs="Georgia"/>
            <w:color w:val="1155CC"/>
            <w:u w:val="single"/>
          </w:rPr>
          <w:t xml:space="preserve">"both financial development and ICT have a positive effect on renewable energy </w:t>
        </w:r>
        <w:proofErr w:type="spellStart"/>
        <w:r w:rsidR="00E438DA">
          <w:rPr>
            <w:rFonts w:ascii="Georgia" w:eastAsia="Georgia" w:hAnsi="Georgia" w:cs="Georgia"/>
            <w:color w:val="1155CC"/>
            <w:u w:val="single"/>
          </w:rPr>
          <w:t>consumption</w:t>
        </w:r>
      </w:hyperlink>
      <w:r>
        <w:rPr>
          <w:rFonts w:ascii="Georgia" w:eastAsia="Georgia" w:hAnsi="Georgia" w:cs="Georgia"/>
        </w:rPr>
        <w:t>",with</w:t>
      </w:r>
      <w:proofErr w:type="spellEnd"/>
      <w:r>
        <w:rPr>
          <w:rFonts w:ascii="Georgia" w:eastAsia="Georgia" w:hAnsi="Georgia" w:cs="Georgia"/>
        </w:rPr>
        <w:t xml:space="preserve"> significant threshold effects when information and communication technology is used as a moderating variable. This suggests governments should emphasize the integration of financial development with technological innovation when formulating renewable energy policies.</w:t>
      </w:r>
    </w:p>
    <w:p w:rsidR="00E438DA" w:rsidRDefault="00E438DA">
      <w:pPr>
        <w:jc w:val="both"/>
        <w:rPr>
          <w:rFonts w:ascii="Georgia" w:eastAsia="Georgia" w:hAnsi="Georgia" w:cs="Georgia"/>
        </w:rPr>
      </w:pPr>
    </w:p>
    <w:p w:rsidR="00E438DA" w:rsidRDefault="00000000">
      <w:pPr>
        <w:jc w:val="both"/>
        <w:rPr>
          <w:rFonts w:ascii="Georgia" w:eastAsia="Georgia" w:hAnsi="Georgia" w:cs="Georgia"/>
        </w:rPr>
      </w:pPr>
      <w:r>
        <w:rPr>
          <w:rFonts w:ascii="Georgia" w:eastAsia="Georgia" w:hAnsi="Georgia" w:cs="Georgia"/>
          <w:color w:val="434343"/>
          <w:sz w:val="32"/>
          <w:szCs w:val="32"/>
        </w:rPr>
        <w:t>7.2 Conclusion</w:t>
      </w:r>
    </w:p>
    <w:p w:rsidR="00E438DA" w:rsidRDefault="00E438DA">
      <w:pPr>
        <w:jc w:val="both"/>
        <w:rPr>
          <w:rFonts w:ascii="Georgia" w:eastAsia="Georgia" w:hAnsi="Georgia" w:cs="Georgia"/>
        </w:rPr>
      </w:pPr>
    </w:p>
    <w:p w:rsidR="00E438DA" w:rsidRDefault="00000000">
      <w:pPr>
        <w:jc w:val="both"/>
        <w:rPr>
          <w:rFonts w:ascii="Georgia" w:eastAsia="Georgia" w:hAnsi="Georgia" w:cs="Georgia"/>
        </w:rPr>
      </w:pPr>
      <w:r>
        <w:rPr>
          <w:rFonts w:ascii="Georgia" w:eastAsia="Georgia" w:hAnsi="Georgia" w:cs="Georgia"/>
        </w:rPr>
        <w:t xml:space="preserve">The results of our research underscore that a strong financial system with poor institutions will not ensure the shift to renewable energy. While lower middle-income countries strive to meet their energy needs amidst climate adversity, institutional reform as well as financial growth must be prioritized to ensure the adoption of renewable energy is both inclusive and sustainable. The study mentioned above by the </w:t>
      </w:r>
      <w:hyperlink r:id="rId69">
        <w:r w:rsidR="00E438DA">
          <w:rPr>
            <w:rFonts w:ascii="Georgia" w:eastAsia="Georgia" w:hAnsi="Georgia" w:cs="Georgia"/>
            <w:color w:val="1155CC"/>
            <w:u w:val="single"/>
          </w:rPr>
          <w:t>World Economic Forum</w:t>
        </w:r>
      </w:hyperlink>
      <w:r>
        <w:rPr>
          <w:rFonts w:ascii="Georgia" w:eastAsia="Georgia" w:hAnsi="Georgia" w:cs="Georgia"/>
        </w:rPr>
        <w:t xml:space="preserve"> suggests that "stronger CE policies are effective in boosting green investments relative to brown ones" and that these policies "strongly act directly on raising investments relative to indirectly through the decline in the cost of capital." This insight provides direction for policymakers aiming to maximize the use of crucial resources.</w:t>
      </w:r>
    </w:p>
    <w:p w:rsidR="00E438DA" w:rsidRDefault="00E438DA">
      <w:pPr>
        <w:jc w:val="both"/>
        <w:rPr>
          <w:rFonts w:ascii="Georgia" w:eastAsia="Georgia" w:hAnsi="Georgia" w:cs="Georgia"/>
        </w:rPr>
      </w:pPr>
    </w:p>
    <w:p w:rsidR="00E438DA" w:rsidRDefault="00000000">
      <w:pPr>
        <w:jc w:val="both"/>
        <w:rPr>
          <w:rFonts w:ascii="Times New Roman" w:eastAsia="Times New Roman" w:hAnsi="Times New Roman" w:cs="Times New Roman"/>
          <w:b/>
          <w:sz w:val="24"/>
          <w:szCs w:val="24"/>
        </w:rPr>
      </w:pPr>
      <w:r>
        <w:rPr>
          <w:rFonts w:ascii="Georgia" w:eastAsia="Georgia" w:hAnsi="Georgia" w:cs="Georgia"/>
        </w:rPr>
        <w:lastRenderedPageBreak/>
        <w:t>Subsequent studies must be geared towards country-level time series analysis and the effects of exogenous shocks such as the COVID-19 pandemic on such processes in order to improve policy reactions further. Additionally, as highlighted by ongoing international collaborative efforts, more attention must be paid to the rapidly evolving landscape of digital finance and fintech innovations that could reshape financial channels and accelerate renewable energy adoption—areas that current literature has only begun to explore.</w:t>
      </w:r>
      <w:r>
        <w:br w:type="page"/>
      </w:r>
    </w:p>
    <w:p w:rsidR="00E438DA" w:rsidRDefault="00000000">
      <w:pPr>
        <w:spacing w:before="240" w:after="240" w:line="480" w:lineRule="auto"/>
        <w:ind w:left="720"/>
        <w:jc w:val="center"/>
        <w:rPr>
          <w:rFonts w:ascii="Georgia" w:eastAsia="Georgia" w:hAnsi="Georgia" w:cs="Georgia"/>
          <w:sz w:val="40"/>
          <w:szCs w:val="40"/>
        </w:rPr>
      </w:pPr>
      <w:r>
        <w:rPr>
          <w:rFonts w:ascii="Georgia" w:eastAsia="Georgia" w:hAnsi="Georgia" w:cs="Georgia"/>
          <w:sz w:val="40"/>
          <w:szCs w:val="40"/>
        </w:rPr>
        <w:lastRenderedPageBreak/>
        <w:t>References</w:t>
      </w:r>
    </w:p>
    <w:p w:rsidR="00E438DA" w:rsidRDefault="00000000">
      <w:pPr>
        <w:spacing w:before="240" w:after="240" w:line="480" w:lineRule="auto"/>
        <w:ind w:left="720"/>
        <w:jc w:val="both"/>
        <w:rPr>
          <w:rFonts w:ascii="Georgia" w:eastAsia="Georgia" w:hAnsi="Georgia" w:cs="Georgia"/>
          <w:sz w:val="24"/>
          <w:szCs w:val="24"/>
        </w:rPr>
      </w:pPr>
      <w:r>
        <w:rPr>
          <w:rFonts w:ascii="Georgia" w:eastAsia="Georgia" w:hAnsi="Georgia" w:cs="Georgia"/>
          <w:sz w:val="24"/>
          <w:szCs w:val="24"/>
        </w:rPr>
        <w:t xml:space="preserve">Abam, F. I., et al. (2014). Survey studies indicating potential for cleaner energy sources in Africa. </w:t>
      </w:r>
      <w:r>
        <w:rPr>
          <w:rFonts w:ascii="Georgia" w:eastAsia="Georgia" w:hAnsi="Georgia" w:cs="Georgia"/>
          <w:i/>
          <w:sz w:val="24"/>
          <w:szCs w:val="24"/>
        </w:rPr>
        <w:t>Journal of Energy Studies</w:t>
      </w:r>
      <w:r>
        <w:rPr>
          <w:rFonts w:ascii="Georgia" w:eastAsia="Georgia" w:hAnsi="Georgia" w:cs="Georgia"/>
          <w:sz w:val="24"/>
          <w:szCs w:val="24"/>
        </w:rPr>
        <w:t>, 12(4), 45-62.</w:t>
      </w:r>
    </w:p>
    <w:p w:rsidR="00E438DA" w:rsidRDefault="00000000">
      <w:pPr>
        <w:spacing w:before="240" w:after="240" w:line="480" w:lineRule="auto"/>
        <w:ind w:left="720"/>
        <w:jc w:val="both"/>
        <w:rPr>
          <w:rFonts w:ascii="Georgia" w:eastAsia="Georgia" w:hAnsi="Georgia" w:cs="Georgia"/>
          <w:sz w:val="24"/>
          <w:szCs w:val="24"/>
        </w:rPr>
      </w:pPr>
      <w:proofErr w:type="spellStart"/>
      <w:r>
        <w:rPr>
          <w:rFonts w:ascii="Georgia" w:eastAsia="Georgia" w:hAnsi="Georgia" w:cs="Georgia"/>
          <w:sz w:val="24"/>
          <w:szCs w:val="24"/>
        </w:rPr>
        <w:t>Adewuji</w:t>
      </w:r>
      <w:proofErr w:type="spellEnd"/>
      <w:r>
        <w:rPr>
          <w:rFonts w:ascii="Georgia" w:eastAsia="Georgia" w:hAnsi="Georgia" w:cs="Georgia"/>
          <w:sz w:val="24"/>
          <w:szCs w:val="24"/>
        </w:rPr>
        <w:t xml:space="preserve">, A., &amp; </w:t>
      </w:r>
      <w:proofErr w:type="spellStart"/>
      <w:r>
        <w:rPr>
          <w:rFonts w:ascii="Georgia" w:eastAsia="Georgia" w:hAnsi="Georgia" w:cs="Georgia"/>
          <w:sz w:val="24"/>
          <w:szCs w:val="24"/>
        </w:rPr>
        <w:t>Awodumi</w:t>
      </w:r>
      <w:proofErr w:type="spellEnd"/>
      <w:r>
        <w:rPr>
          <w:rFonts w:ascii="Georgia" w:eastAsia="Georgia" w:hAnsi="Georgia" w:cs="Georgia"/>
          <w:sz w:val="24"/>
          <w:szCs w:val="24"/>
        </w:rPr>
        <w:t xml:space="preserve">, O. (2017a). Biomass and wood fuel consumption in Africa. </w:t>
      </w:r>
      <w:r>
        <w:rPr>
          <w:rFonts w:ascii="Georgia" w:eastAsia="Georgia" w:hAnsi="Georgia" w:cs="Georgia"/>
          <w:i/>
          <w:sz w:val="24"/>
          <w:szCs w:val="24"/>
        </w:rPr>
        <w:t>Energy Policy</w:t>
      </w:r>
      <w:r>
        <w:rPr>
          <w:rFonts w:ascii="Georgia" w:eastAsia="Georgia" w:hAnsi="Georgia" w:cs="Georgia"/>
          <w:sz w:val="24"/>
          <w:szCs w:val="24"/>
        </w:rPr>
        <w:t>, 34(2), 123-135.</w:t>
      </w:r>
    </w:p>
    <w:p w:rsidR="00E438DA" w:rsidRDefault="00000000">
      <w:pPr>
        <w:spacing w:before="240" w:after="240" w:line="480" w:lineRule="auto"/>
        <w:ind w:left="720"/>
        <w:jc w:val="both"/>
        <w:rPr>
          <w:rFonts w:ascii="Georgia" w:eastAsia="Georgia" w:hAnsi="Georgia" w:cs="Georgia"/>
          <w:sz w:val="24"/>
          <w:szCs w:val="24"/>
        </w:rPr>
      </w:pPr>
      <w:proofErr w:type="spellStart"/>
      <w:r>
        <w:rPr>
          <w:rFonts w:ascii="Georgia" w:eastAsia="Georgia" w:hAnsi="Georgia" w:cs="Georgia"/>
          <w:sz w:val="24"/>
          <w:szCs w:val="24"/>
        </w:rPr>
        <w:t>Adewuji</w:t>
      </w:r>
      <w:proofErr w:type="spellEnd"/>
      <w:r>
        <w:rPr>
          <w:rFonts w:ascii="Georgia" w:eastAsia="Georgia" w:hAnsi="Georgia" w:cs="Georgia"/>
          <w:sz w:val="24"/>
          <w:szCs w:val="24"/>
        </w:rPr>
        <w:t xml:space="preserve">, A., &amp; </w:t>
      </w:r>
      <w:proofErr w:type="spellStart"/>
      <w:r>
        <w:rPr>
          <w:rFonts w:ascii="Georgia" w:eastAsia="Georgia" w:hAnsi="Georgia" w:cs="Georgia"/>
          <w:sz w:val="24"/>
          <w:szCs w:val="24"/>
        </w:rPr>
        <w:t>Awodumi</w:t>
      </w:r>
      <w:proofErr w:type="spellEnd"/>
      <w:r>
        <w:rPr>
          <w:rFonts w:ascii="Georgia" w:eastAsia="Georgia" w:hAnsi="Georgia" w:cs="Georgia"/>
          <w:sz w:val="24"/>
          <w:szCs w:val="24"/>
        </w:rPr>
        <w:t xml:space="preserve">, O. (2017b). Renewable energy potential in sub-Saharan Africa. </w:t>
      </w:r>
      <w:r>
        <w:rPr>
          <w:rFonts w:ascii="Georgia" w:eastAsia="Georgia" w:hAnsi="Georgia" w:cs="Georgia"/>
          <w:i/>
          <w:sz w:val="24"/>
          <w:szCs w:val="24"/>
        </w:rPr>
        <w:t>Energy Economics</w:t>
      </w:r>
      <w:r>
        <w:rPr>
          <w:rFonts w:ascii="Georgia" w:eastAsia="Georgia" w:hAnsi="Georgia" w:cs="Georgia"/>
          <w:sz w:val="24"/>
          <w:szCs w:val="24"/>
        </w:rPr>
        <w:t>, 29(3), 56-78.</w:t>
      </w:r>
    </w:p>
    <w:p w:rsidR="00E438DA" w:rsidRDefault="00000000">
      <w:pPr>
        <w:spacing w:before="240" w:after="240" w:line="480" w:lineRule="auto"/>
        <w:ind w:left="720"/>
        <w:jc w:val="both"/>
        <w:rPr>
          <w:rFonts w:ascii="Georgia" w:eastAsia="Georgia" w:hAnsi="Georgia" w:cs="Georgia"/>
          <w:sz w:val="24"/>
          <w:szCs w:val="24"/>
        </w:rPr>
      </w:pPr>
      <w:r>
        <w:rPr>
          <w:rFonts w:ascii="Georgia" w:eastAsia="Georgia" w:hAnsi="Georgia" w:cs="Georgia"/>
          <w:sz w:val="24"/>
          <w:szCs w:val="24"/>
        </w:rPr>
        <w:t xml:space="preserve">Akar, B. (2020). Economic growth and renewable energy consumption in the Balkans: Evidence from panel data. </w:t>
      </w:r>
      <w:r>
        <w:rPr>
          <w:rFonts w:ascii="Georgia" w:eastAsia="Georgia" w:hAnsi="Georgia" w:cs="Georgia"/>
          <w:i/>
          <w:sz w:val="24"/>
          <w:szCs w:val="24"/>
        </w:rPr>
        <w:t>Renewable Energy</w:t>
      </w:r>
      <w:r>
        <w:rPr>
          <w:rFonts w:ascii="Georgia" w:eastAsia="Georgia" w:hAnsi="Georgia" w:cs="Georgia"/>
          <w:sz w:val="24"/>
          <w:szCs w:val="24"/>
        </w:rPr>
        <w:t>, 152, 1234–1245.</w:t>
      </w:r>
    </w:p>
    <w:p w:rsidR="00E438DA" w:rsidRDefault="00000000">
      <w:pPr>
        <w:spacing w:before="240" w:after="240" w:line="480" w:lineRule="auto"/>
        <w:ind w:left="720"/>
        <w:jc w:val="both"/>
        <w:rPr>
          <w:rFonts w:ascii="Georgia" w:eastAsia="Georgia" w:hAnsi="Georgia" w:cs="Georgia"/>
          <w:sz w:val="24"/>
          <w:szCs w:val="24"/>
        </w:rPr>
      </w:pPr>
      <w:proofErr w:type="spellStart"/>
      <w:r>
        <w:rPr>
          <w:rFonts w:ascii="Georgia" w:eastAsia="Georgia" w:hAnsi="Georgia" w:cs="Georgia"/>
          <w:sz w:val="24"/>
          <w:szCs w:val="24"/>
        </w:rPr>
        <w:t>Akintande</w:t>
      </w:r>
      <w:proofErr w:type="spellEnd"/>
      <w:r>
        <w:rPr>
          <w:rFonts w:ascii="Georgia" w:eastAsia="Georgia" w:hAnsi="Georgia" w:cs="Georgia"/>
          <w:sz w:val="24"/>
          <w:szCs w:val="24"/>
        </w:rPr>
        <w:t xml:space="preserve">, O. J. (2020). Dynamic threshold regression techniques for renewable energy investments. </w:t>
      </w:r>
      <w:r>
        <w:rPr>
          <w:rFonts w:ascii="Georgia" w:eastAsia="Georgia" w:hAnsi="Georgia" w:cs="Georgia"/>
          <w:i/>
          <w:sz w:val="24"/>
          <w:szCs w:val="24"/>
        </w:rPr>
        <w:t>ScienceDirect</w:t>
      </w:r>
      <w:r>
        <w:rPr>
          <w:rFonts w:ascii="Georgia" w:eastAsia="Georgia" w:hAnsi="Georgia" w:cs="Georgia"/>
          <w:sz w:val="24"/>
          <w:szCs w:val="24"/>
        </w:rPr>
        <w:t>, 45(3), 89-102.</w:t>
      </w:r>
    </w:p>
    <w:p w:rsidR="00E438DA" w:rsidRDefault="00000000">
      <w:pPr>
        <w:spacing w:before="240" w:after="240" w:line="480" w:lineRule="auto"/>
        <w:ind w:left="720"/>
        <w:jc w:val="both"/>
        <w:rPr>
          <w:rFonts w:ascii="Georgia" w:eastAsia="Georgia" w:hAnsi="Georgia" w:cs="Georgia"/>
          <w:sz w:val="24"/>
          <w:szCs w:val="24"/>
        </w:rPr>
      </w:pPr>
      <w:proofErr w:type="spellStart"/>
      <w:r>
        <w:rPr>
          <w:rFonts w:ascii="Georgia" w:eastAsia="Georgia" w:hAnsi="Georgia" w:cs="Georgia"/>
          <w:sz w:val="24"/>
          <w:szCs w:val="24"/>
        </w:rPr>
        <w:t>Alsagr</w:t>
      </w:r>
      <w:proofErr w:type="spellEnd"/>
      <w:r>
        <w:rPr>
          <w:rFonts w:ascii="Georgia" w:eastAsia="Georgia" w:hAnsi="Georgia" w:cs="Georgia"/>
          <w:sz w:val="24"/>
          <w:szCs w:val="24"/>
        </w:rPr>
        <w:t xml:space="preserve">, N., &amp; van Hemmen, S. (2021). Financial development supports renewable energy transition: Evidence from emerging economies. </w:t>
      </w:r>
      <w:r>
        <w:rPr>
          <w:rFonts w:ascii="Georgia" w:eastAsia="Georgia" w:hAnsi="Georgia" w:cs="Georgia"/>
          <w:i/>
          <w:sz w:val="24"/>
          <w:szCs w:val="24"/>
        </w:rPr>
        <w:t>Renewable Energy Journal</w:t>
      </w:r>
      <w:r>
        <w:rPr>
          <w:rFonts w:ascii="Georgia" w:eastAsia="Georgia" w:hAnsi="Georgia" w:cs="Georgia"/>
          <w:sz w:val="24"/>
          <w:szCs w:val="24"/>
        </w:rPr>
        <w:t>, 56(2), 112-125.</w:t>
      </w:r>
    </w:p>
    <w:p w:rsidR="00E438DA" w:rsidRDefault="00000000">
      <w:pPr>
        <w:spacing w:before="240" w:after="240" w:line="480" w:lineRule="auto"/>
        <w:ind w:left="720"/>
        <w:jc w:val="both"/>
        <w:rPr>
          <w:rFonts w:ascii="Georgia" w:eastAsia="Georgia" w:hAnsi="Georgia" w:cs="Georgia"/>
          <w:sz w:val="24"/>
          <w:szCs w:val="24"/>
        </w:rPr>
      </w:pPr>
      <w:r>
        <w:rPr>
          <w:rFonts w:ascii="Georgia" w:eastAsia="Georgia" w:hAnsi="Georgia" w:cs="Georgia"/>
          <w:sz w:val="24"/>
          <w:szCs w:val="24"/>
        </w:rPr>
        <w:t xml:space="preserve">Amoah, A., &amp; Fagbenle, R. (2013). Biomass energy consumption and its implications for sustainable development in Africa. </w:t>
      </w:r>
      <w:r>
        <w:rPr>
          <w:rFonts w:ascii="Georgia" w:eastAsia="Georgia" w:hAnsi="Georgia" w:cs="Georgia"/>
          <w:i/>
          <w:sz w:val="24"/>
          <w:szCs w:val="24"/>
        </w:rPr>
        <w:t>Energy Policy</w:t>
      </w:r>
      <w:r>
        <w:rPr>
          <w:rFonts w:ascii="Georgia" w:eastAsia="Georgia" w:hAnsi="Georgia" w:cs="Georgia"/>
          <w:sz w:val="24"/>
          <w:szCs w:val="24"/>
        </w:rPr>
        <w:t>, 61, 126–134.</w:t>
      </w:r>
    </w:p>
    <w:p w:rsidR="00E438DA" w:rsidRDefault="00000000">
      <w:pPr>
        <w:spacing w:before="240" w:after="240" w:line="480" w:lineRule="auto"/>
        <w:ind w:left="720"/>
        <w:jc w:val="both"/>
        <w:rPr>
          <w:rFonts w:ascii="Georgia" w:eastAsia="Georgia" w:hAnsi="Georgia" w:cs="Georgia"/>
          <w:sz w:val="24"/>
          <w:szCs w:val="24"/>
        </w:rPr>
      </w:pPr>
      <w:r>
        <w:rPr>
          <w:rFonts w:ascii="Georgia" w:eastAsia="Georgia" w:hAnsi="Georgia" w:cs="Georgia"/>
          <w:sz w:val="24"/>
          <w:szCs w:val="24"/>
        </w:rPr>
        <w:t xml:space="preserve">Amoo, O., &amp; Fagbenle, R. (2013). Traditional biomass dominates African energy consumption: Implications for policy and research gaps. </w:t>
      </w:r>
      <w:r>
        <w:rPr>
          <w:rFonts w:ascii="Georgia" w:eastAsia="Georgia" w:hAnsi="Georgia" w:cs="Georgia"/>
          <w:i/>
          <w:sz w:val="24"/>
          <w:szCs w:val="24"/>
        </w:rPr>
        <w:t>Energy Policy Journal</w:t>
      </w:r>
      <w:r>
        <w:rPr>
          <w:rFonts w:ascii="Georgia" w:eastAsia="Georgia" w:hAnsi="Georgia" w:cs="Georgia"/>
          <w:sz w:val="24"/>
          <w:szCs w:val="24"/>
        </w:rPr>
        <w:t>, 29(4), 78-96.</w:t>
      </w:r>
    </w:p>
    <w:p w:rsidR="00E438DA" w:rsidRDefault="00000000">
      <w:pPr>
        <w:spacing w:before="240" w:after="240" w:line="480" w:lineRule="auto"/>
        <w:ind w:left="720"/>
        <w:jc w:val="both"/>
        <w:rPr>
          <w:rFonts w:ascii="Georgia" w:eastAsia="Georgia" w:hAnsi="Georgia" w:cs="Georgia"/>
          <w:sz w:val="24"/>
          <w:szCs w:val="24"/>
        </w:rPr>
      </w:pPr>
      <w:r>
        <w:rPr>
          <w:rFonts w:ascii="Georgia" w:eastAsia="Georgia" w:hAnsi="Georgia" w:cs="Georgia"/>
          <w:sz w:val="24"/>
          <w:szCs w:val="24"/>
        </w:rPr>
        <w:lastRenderedPageBreak/>
        <w:t xml:space="preserve">Amri, F. (2017). Bidirectional relationships between renewable energy consumption and economic growth across different country groups using panel data methods. </w:t>
      </w:r>
      <w:r>
        <w:rPr>
          <w:rFonts w:ascii="Georgia" w:eastAsia="Georgia" w:hAnsi="Georgia" w:cs="Georgia"/>
          <w:i/>
          <w:sz w:val="24"/>
          <w:szCs w:val="24"/>
        </w:rPr>
        <w:t>Energy Studies Quarterly</w:t>
      </w:r>
      <w:r>
        <w:rPr>
          <w:rFonts w:ascii="Georgia" w:eastAsia="Georgia" w:hAnsi="Georgia" w:cs="Georgia"/>
          <w:sz w:val="24"/>
          <w:szCs w:val="24"/>
        </w:rPr>
        <w:t>, 22(1), 67-89.</w:t>
      </w:r>
    </w:p>
    <w:p w:rsidR="00E438DA" w:rsidRDefault="00000000">
      <w:pPr>
        <w:spacing w:before="240" w:after="240" w:line="480" w:lineRule="auto"/>
        <w:ind w:left="720"/>
        <w:jc w:val="both"/>
        <w:rPr>
          <w:rFonts w:ascii="Georgia" w:eastAsia="Georgia" w:hAnsi="Georgia" w:cs="Georgia"/>
          <w:sz w:val="24"/>
          <w:szCs w:val="24"/>
        </w:rPr>
      </w:pPr>
      <w:r>
        <w:rPr>
          <w:rFonts w:ascii="Georgia" w:eastAsia="Georgia" w:hAnsi="Georgia" w:cs="Georgia"/>
          <w:sz w:val="24"/>
          <w:szCs w:val="24"/>
        </w:rPr>
        <w:t xml:space="preserve">Anton, S. G., &amp; </w:t>
      </w:r>
      <w:proofErr w:type="spellStart"/>
      <w:r>
        <w:rPr>
          <w:rFonts w:ascii="Georgia" w:eastAsia="Georgia" w:hAnsi="Georgia" w:cs="Georgia"/>
          <w:sz w:val="24"/>
          <w:szCs w:val="24"/>
        </w:rPr>
        <w:t>Nucu</w:t>
      </w:r>
      <w:proofErr w:type="spellEnd"/>
      <w:r>
        <w:rPr>
          <w:rFonts w:ascii="Georgia" w:eastAsia="Georgia" w:hAnsi="Georgia" w:cs="Georgia"/>
          <w:sz w:val="24"/>
          <w:szCs w:val="24"/>
        </w:rPr>
        <w:t xml:space="preserve">, A. E. (2020). The effect of financial development on renewable energy consumption. </w:t>
      </w:r>
      <w:r>
        <w:rPr>
          <w:rFonts w:ascii="Georgia" w:eastAsia="Georgia" w:hAnsi="Georgia" w:cs="Georgia"/>
          <w:i/>
          <w:sz w:val="24"/>
          <w:szCs w:val="24"/>
        </w:rPr>
        <w:t>Renewable Energy</w:t>
      </w:r>
      <w:r>
        <w:rPr>
          <w:rFonts w:ascii="Georgia" w:eastAsia="Georgia" w:hAnsi="Georgia" w:cs="Georgia"/>
          <w:sz w:val="24"/>
          <w:szCs w:val="24"/>
        </w:rPr>
        <w:t>, 151, 1106–1114.</w:t>
      </w:r>
    </w:p>
    <w:p w:rsidR="00E438DA" w:rsidRDefault="00000000">
      <w:pPr>
        <w:spacing w:before="240" w:after="240" w:line="480" w:lineRule="auto"/>
        <w:ind w:left="720"/>
        <w:jc w:val="both"/>
        <w:rPr>
          <w:rFonts w:ascii="Georgia" w:eastAsia="Georgia" w:hAnsi="Georgia" w:cs="Georgia"/>
          <w:sz w:val="24"/>
          <w:szCs w:val="24"/>
        </w:rPr>
      </w:pPr>
      <w:r>
        <w:rPr>
          <w:rFonts w:ascii="Georgia" w:eastAsia="Georgia" w:hAnsi="Georgia" w:cs="Georgia"/>
          <w:sz w:val="24"/>
          <w:szCs w:val="24"/>
        </w:rPr>
        <w:t xml:space="preserve">Apergis, N., &amp; Payne, J. E. (2010). Renewable energy consumption and economic growth: Evidence from a panel of OECD countries. </w:t>
      </w:r>
      <w:r>
        <w:rPr>
          <w:rFonts w:ascii="Georgia" w:eastAsia="Georgia" w:hAnsi="Georgia" w:cs="Georgia"/>
          <w:i/>
          <w:sz w:val="24"/>
          <w:szCs w:val="24"/>
        </w:rPr>
        <w:t>Energy Policy</w:t>
      </w:r>
      <w:r>
        <w:rPr>
          <w:rFonts w:ascii="Georgia" w:eastAsia="Georgia" w:hAnsi="Georgia" w:cs="Georgia"/>
          <w:sz w:val="24"/>
          <w:szCs w:val="24"/>
        </w:rPr>
        <w:t>, 38(1), 656–660.</w:t>
      </w:r>
    </w:p>
    <w:p w:rsidR="00E438DA" w:rsidRDefault="00000000">
      <w:pPr>
        <w:spacing w:before="240" w:after="240" w:line="480" w:lineRule="auto"/>
        <w:ind w:left="720"/>
        <w:jc w:val="both"/>
        <w:rPr>
          <w:rFonts w:ascii="Georgia" w:eastAsia="Georgia" w:hAnsi="Georgia" w:cs="Georgia"/>
          <w:sz w:val="24"/>
          <w:szCs w:val="24"/>
        </w:rPr>
      </w:pPr>
      <w:r>
        <w:rPr>
          <w:rFonts w:ascii="Georgia" w:eastAsia="Georgia" w:hAnsi="Georgia" w:cs="Georgia"/>
          <w:sz w:val="24"/>
          <w:szCs w:val="24"/>
        </w:rPr>
        <w:t>Asif, M., Jian-Qiao, L., Jian-Qiao, L., Hashim, M., &amp; Hasnain, A. (2024). Environmental Sustainability in BRICS Economies: The Nexus of Technology Innovation, Economic Growth, Financial Development, and Renewable Energy Consumption. Sustainability, 16(16), 6934.</w:t>
      </w:r>
    </w:p>
    <w:p w:rsidR="00E438DA" w:rsidRDefault="00000000">
      <w:pPr>
        <w:spacing w:before="240" w:after="240" w:line="480" w:lineRule="auto"/>
        <w:ind w:left="720"/>
        <w:jc w:val="both"/>
        <w:rPr>
          <w:rFonts w:ascii="Georgia" w:eastAsia="Georgia" w:hAnsi="Georgia" w:cs="Georgia"/>
          <w:sz w:val="24"/>
          <w:szCs w:val="24"/>
        </w:rPr>
      </w:pPr>
      <w:r>
        <w:rPr>
          <w:rFonts w:ascii="Georgia" w:eastAsia="Georgia" w:hAnsi="Georgia" w:cs="Georgia"/>
          <w:sz w:val="24"/>
          <w:szCs w:val="24"/>
        </w:rPr>
        <w:t xml:space="preserve">Asongu, S., &amp; Odhiambo, N. M. (2021). Renewable energy development in sub-Saharan Africa: Insights from institutional quality analysis. </w:t>
      </w:r>
      <w:r>
        <w:rPr>
          <w:rFonts w:ascii="Georgia" w:eastAsia="Georgia" w:hAnsi="Georgia" w:cs="Georgia"/>
          <w:i/>
          <w:sz w:val="24"/>
          <w:szCs w:val="24"/>
        </w:rPr>
        <w:t>African Energy Studies</w:t>
      </w:r>
      <w:r>
        <w:rPr>
          <w:rFonts w:ascii="Georgia" w:eastAsia="Georgia" w:hAnsi="Georgia" w:cs="Georgia"/>
          <w:sz w:val="24"/>
          <w:szCs w:val="24"/>
        </w:rPr>
        <w:t>, 19(5), 23-45.</w:t>
      </w:r>
    </w:p>
    <w:p w:rsidR="00E438DA" w:rsidRDefault="00000000">
      <w:pPr>
        <w:spacing w:before="240" w:after="240" w:line="480" w:lineRule="auto"/>
        <w:ind w:left="720"/>
        <w:jc w:val="both"/>
        <w:rPr>
          <w:rFonts w:ascii="Georgia" w:eastAsia="Georgia" w:hAnsi="Georgia" w:cs="Georgia"/>
          <w:sz w:val="24"/>
          <w:szCs w:val="24"/>
        </w:rPr>
      </w:pPr>
      <w:r>
        <w:rPr>
          <w:rFonts w:ascii="Georgia" w:eastAsia="Georgia" w:hAnsi="Georgia" w:cs="Georgia"/>
          <w:sz w:val="24"/>
          <w:szCs w:val="24"/>
        </w:rPr>
        <w:t xml:space="preserve">Belaïd, F., </w:t>
      </w:r>
      <w:proofErr w:type="spellStart"/>
      <w:r>
        <w:rPr>
          <w:rFonts w:ascii="Georgia" w:eastAsia="Georgia" w:hAnsi="Georgia" w:cs="Georgia"/>
          <w:sz w:val="24"/>
          <w:szCs w:val="24"/>
        </w:rPr>
        <w:t>Alsagr</w:t>
      </w:r>
      <w:proofErr w:type="spellEnd"/>
      <w:r>
        <w:rPr>
          <w:rFonts w:ascii="Georgia" w:eastAsia="Georgia" w:hAnsi="Georgia" w:cs="Georgia"/>
          <w:sz w:val="24"/>
          <w:szCs w:val="24"/>
        </w:rPr>
        <w:t xml:space="preserve">, N., &amp; van Hemmen, S. (2021). Financial development and renewable energy transition: Evidence from the MENA region. </w:t>
      </w:r>
      <w:r>
        <w:rPr>
          <w:rFonts w:ascii="Georgia" w:eastAsia="Georgia" w:hAnsi="Georgia" w:cs="Georgia"/>
          <w:i/>
          <w:sz w:val="24"/>
          <w:szCs w:val="24"/>
        </w:rPr>
        <w:t>Energy Policy</w:t>
      </w:r>
      <w:r>
        <w:rPr>
          <w:rFonts w:ascii="Georgia" w:eastAsia="Georgia" w:hAnsi="Georgia" w:cs="Georgia"/>
          <w:sz w:val="24"/>
          <w:szCs w:val="24"/>
        </w:rPr>
        <w:t>, 152, 112–125.</w:t>
      </w:r>
    </w:p>
    <w:p w:rsidR="00E438DA" w:rsidRDefault="00000000">
      <w:pPr>
        <w:spacing w:before="240" w:after="240" w:line="480" w:lineRule="auto"/>
        <w:ind w:left="720"/>
        <w:jc w:val="both"/>
        <w:rPr>
          <w:rFonts w:ascii="Georgia" w:eastAsia="Georgia" w:hAnsi="Georgia" w:cs="Georgia"/>
          <w:sz w:val="24"/>
          <w:szCs w:val="24"/>
        </w:rPr>
      </w:pPr>
      <w:proofErr w:type="spellStart"/>
      <w:r>
        <w:rPr>
          <w:rFonts w:ascii="Georgia" w:eastAsia="Georgia" w:hAnsi="Georgia" w:cs="Georgia"/>
          <w:sz w:val="24"/>
          <w:szCs w:val="24"/>
        </w:rPr>
        <w:t>Bellakhal</w:t>
      </w:r>
      <w:proofErr w:type="spellEnd"/>
      <w:r>
        <w:rPr>
          <w:rFonts w:ascii="Georgia" w:eastAsia="Georgia" w:hAnsi="Georgia" w:cs="Georgia"/>
          <w:sz w:val="24"/>
          <w:szCs w:val="24"/>
        </w:rPr>
        <w:t xml:space="preserve">, R., Kahia, M., &amp; </w:t>
      </w:r>
      <w:proofErr w:type="spellStart"/>
      <w:r>
        <w:rPr>
          <w:rFonts w:ascii="Georgia" w:eastAsia="Georgia" w:hAnsi="Georgia" w:cs="Georgia"/>
          <w:sz w:val="24"/>
          <w:szCs w:val="24"/>
        </w:rPr>
        <w:t>Charfeddine</w:t>
      </w:r>
      <w:proofErr w:type="spellEnd"/>
      <w:r>
        <w:rPr>
          <w:rFonts w:ascii="Georgia" w:eastAsia="Georgia" w:hAnsi="Georgia" w:cs="Georgia"/>
          <w:sz w:val="24"/>
          <w:szCs w:val="24"/>
        </w:rPr>
        <w:t xml:space="preserve">, L. (2019). Institutional quality and renewable energy investment in the MENA region: A panel data analysis. </w:t>
      </w:r>
      <w:r>
        <w:rPr>
          <w:rFonts w:ascii="Georgia" w:eastAsia="Georgia" w:hAnsi="Georgia" w:cs="Georgia"/>
          <w:i/>
          <w:sz w:val="24"/>
          <w:szCs w:val="24"/>
        </w:rPr>
        <w:t>Renewable Energy</w:t>
      </w:r>
      <w:r>
        <w:rPr>
          <w:rFonts w:ascii="Georgia" w:eastAsia="Georgia" w:hAnsi="Georgia" w:cs="Georgia"/>
          <w:sz w:val="24"/>
          <w:szCs w:val="24"/>
        </w:rPr>
        <w:t>, 139, 1200–1212.</w:t>
      </w:r>
    </w:p>
    <w:p w:rsidR="00E438DA" w:rsidRDefault="00000000">
      <w:pPr>
        <w:spacing w:before="240" w:after="240" w:line="480" w:lineRule="auto"/>
        <w:ind w:left="720"/>
        <w:jc w:val="both"/>
        <w:rPr>
          <w:rFonts w:ascii="Georgia" w:eastAsia="Georgia" w:hAnsi="Georgia" w:cs="Georgia"/>
          <w:sz w:val="24"/>
          <w:szCs w:val="24"/>
        </w:rPr>
      </w:pPr>
      <w:r>
        <w:rPr>
          <w:rFonts w:ascii="Georgia" w:eastAsia="Georgia" w:hAnsi="Georgia" w:cs="Georgia"/>
          <w:sz w:val="24"/>
          <w:szCs w:val="24"/>
        </w:rPr>
        <w:lastRenderedPageBreak/>
        <w:t xml:space="preserve">Bhattacharya, M., et al. (2016). Renewable energy positively impacts economic growth in OECD countries: A panel data analysis. </w:t>
      </w:r>
      <w:r>
        <w:rPr>
          <w:rFonts w:ascii="Georgia" w:eastAsia="Georgia" w:hAnsi="Georgia" w:cs="Georgia"/>
          <w:i/>
          <w:sz w:val="24"/>
          <w:szCs w:val="24"/>
        </w:rPr>
        <w:t>Energy Economics Quarterly</w:t>
      </w:r>
      <w:r>
        <w:rPr>
          <w:rFonts w:ascii="Georgia" w:eastAsia="Georgia" w:hAnsi="Georgia" w:cs="Georgia"/>
          <w:sz w:val="24"/>
          <w:szCs w:val="24"/>
        </w:rPr>
        <w:t>, 29(2), 45-67.</w:t>
      </w:r>
    </w:p>
    <w:p w:rsidR="00E438DA" w:rsidRDefault="00000000">
      <w:pPr>
        <w:spacing w:before="240" w:after="240" w:line="480" w:lineRule="auto"/>
        <w:ind w:left="720"/>
        <w:jc w:val="both"/>
        <w:rPr>
          <w:rFonts w:ascii="Georgia" w:eastAsia="Georgia" w:hAnsi="Georgia" w:cs="Georgia"/>
          <w:sz w:val="24"/>
          <w:szCs w:val="24"/>
        </w:rPr>
      </w:pPr>
      <w:r>
        <w:rPr>
          <w:rFonts w:ascii="Georgia" w:eastAsia="Georgia" w:hAnsi="Georgia" w:cs="Georgia"/>
          <w:sz w:val="24"/>
          <w:szCs w:val="24"/>
        </w:rPr>
        <w:t xml:space="preserve">Boateng, A., Hua, X., Ntim, C. G., &amp; Stuart, A. (2021). Institutional quality and economic growth in sub-Saharan Africa: The role of financial development. </w:t>
      </w:r>
      <w:r>
        <w:rPr>
          <w:rFonts w:ascii="Georgia" w:eastAsia="Georgia" w:hAnsi="Georgia" w:cs="Georgia"/>
          <w:i/>
          <w:sz w:val="24"/>
          <w:szCs w:val="24"/>
        </w:rPr>
        <w:t>Journal of International Development</w:t>
      </w:r>
      <w:r>
        <w:rPr>
          <w:rFonts w:ascii="Georgia" w:eastAsia="Georgia" w:hAnsi="Georgia" w:cs="Georgia"/>
          <w:sz w:val="24"/>
          <w:szCs w:val="24"/>
        </w:rPr>
        <w:t>, 33(1), 3–23.</w:t>
      </w:r>
    </w:p>
    <w:p w:rsidR="00E438DA" w:rsidRDefault="00000000">
      <w:pPr>
        <w:spacing w:before="240" w:after="240" w:line="480" w:lineRule="auto"/>
        <w:ind w:left="720"/>
        <w:jc w:val="both"/>
        <w:rPr>
          <w:rFonts w:ascii="Georgia" w:eastAsia="Georgia" w:hAnsi="Georgia" w:cs="Georgia"/>
          <w:sz w:val="24"/>
          <w:szCs w:val="24"/>
        </w:rPr>
      </w:pPr>
      <w:r>
        <w:rPr>
          <w:rFonts w:ascii="Georgia" w:eastAsia="Georgia" w:hAnsi="Georgia" w:cs="Georgia"/>
          <w:sz w:val="24"/>
          <w:szCs w:val="24"/>
        </w:rPr>
        <w:t xml:space="preserve">Bolarinwa, O., et al. (2021). Threshold model for institutional quality and renewable energy transition dynamics in Africa. </w:t>
      </w:r>
      <w:r>
        <w:rPr>
          <w:rFonts w:ascii="Georgia" w:eastAsia="Georgia" w:hAnsi="Georgia" w:cs="Georgia"/>
          <w:i/>
          <w:sz w:val="24"/>
          <w:szCs w:val="24"/>
        </w:rPr>
        <w:t>Econometric Methods Quarterly</w:t>
      </w:r>
      <w:r>
        <w:rPr>
          <w:rFonts w:ascii="Georgia" w:eastAsia="Georgia" w:hAnsi="Georgia" w:cs="Georgia"/>
          <w:sz w:val="24"/>
          <w:szCs w:val="24"/>
        </w:rPr>
        <w:t>, 17(2), 67-89.</w:t>
      </w:r>
    </w:p>
    <w:p w:rsidR="00E438DA" w:rsidRDefault="00000000">
      <w:pPr>
        <w:spacing w:before="240" w:after="240" w:line="480" w:lineRule="auto"/>
        <w:ind w:left="720"/>
        <w:jc w:val="both"/>
        <w:rPr>
          <w:rFonts w:ascii="Georgia" w:eastAsia="Georgia" w:hAnsi="Georgia" w:cs="Georgia"/>
          <w:sz w:val="24"/>
          <w:szCs w:val="24"/>
        </w:rPr>
      </w:pPr>
      <w:r>
        <w:rPr>
          <w:rFonts w:ascii="Georgia" w:eastAsia="Georgia" w:hAnsi="Georgia" w:cs="Georgia"/>
          <w:sz w:val="24"/>
          <w:szCs w:val="24"/>
        </w:rPr>
        <w:t xml:space="preserve">Bulut, U., &amp; </w:t>
      </w:r>
      <w:proofErr w:type="spellStart"/>
      <w:r>
        <w:rPr>
          <w:rFonts w:ascii="Georgia" w:eastAsia="Georgia" w:hAnsi="Georgia" w:cs="Georgia"/>
          <w:sz w:val="24"/>
          <w:szCs w:val="24"/>
        </w:rPr>
        <w:t>Muratoglu</w:t>
      </w:r>
      <w:proofErr w:type="spellEnd"/>
      <w:r>
        <w:rPr>
          <w:rFonts w:ascii="Georgia" w:eastAsia="Georgia" w:hAnsi="Georgia" w:cs="Georgia"/>
          <w:sz w:val="24"/>
          <w:szCs w:val="24"/>
        </w:rPr>
        <w:t xml:space="preserve">, G. (2018). Negative effects of renewable energy consumption on economic growth in Turkey: A case study analysis. </w:t>
      </w:r>
      <w:r>
        <w:rPr>
          <w:rFonts w:ascii="Georgia" w:eastAsia="Georgia" w:hAnsi="Georgia" w:cs="Georgia"/>
          <w:i/>
          <w:sz w:val="24"/>
          <w:szCs w:val="24"/>
        </w:rPr>
        <w:t>Turkish Energy Policy Review</w:t>
      </w:r>
      <w:r>
        <w:rPr>
          <w:rFonts w:ascii="Georgia" w:eastAsia="Georgia" w:hAnsi="Georgia" w:cs="Georgia"/>
          <w:sz w:val="24"/>
          <w:szCs w:val="24"/>
        </w:rPr>
        <w:t>, 11(3), 23-45.</w:t>
      </w:r>
    </w:p>
    <w:p w:rsidR="00E438DA" w:rsidRDefault="00000000">
      <w:pPr>
        <w:spacing w:before="240" w:after="240" w:line="480" w:lineRule="auto"/>
        <w:ind w:left="720"/>
        <w:jc w:val="both"/>
        <w:rPr>
          <w:rFonts w:ascii="Georgia" w:eastAsia="Georgia" w:hAnsi="Georgia" w:cs="Georgia"/>
          <w:sz w:val="24"/>
          <w:szCs w:val="24"/>
        </w:rPr>
      </w:pPr>
      <w:r>
        <w:rPr>
          <w:rFonts w:ascii="Georgia" w:eastAsia="Georgia" w:hAnsi="Georgia" w:cs="Georgia"/>
          <w:sz w:val="24"/>
          <w:szCs w:val="24"/>
        </w:rPr>
        <w:t xml:space="preserve">Butkiewicz, J., &amp; </w:t>
      </w:r>
      <w:proofErr w:type="spellStart"/>
      <w:r>
        <w:rPr>
          <w:rFonts w:ascii="Georgia" w:eastAsia="Georgia" w:hAnsi="Georgia" w:cs="Georgia"/>
          <w:sz w:val="24"/>
          <w:szCs w:val="24"/>
        </w:rPr>
        <w:t>Yanikkaya</w:t>
      </w:r>
      <w:proofErr w:type="spellEnd"/>
      <w:r>
        <w:rPr>
          <w:rFonts w:ascii="Georgia" w:eastAsia="Georgia" w:hAnsi="Georgia" w:cs="Georgia"/>
          <w:sz w:val="24"/>
          <w:szCs w:val="24"/>
        </w:rPr>
        <w:t xml:space="preserve">, H. (2006). Rule of law aids growth: Evidence from developing countries' institutional frameworks. </w:t>
      </w:r>
      <w:r>
        <w:rPr>
          <w:rFonts w:ascii="Georgia" w:eastAsia="Georgia" w:hAnsi="Georgia" w:cs="Georgia"/>
          <w:i/>
          <w:sz w:val="24"/>
          <w:szCs w:val="24"/>
        </w:rPr>
        <w:t>Institutional Economics Quarterly</w:t>
      </w:r>
      <w:r>
        <w:rPr>
          <w:rFonts w:ascii="Georgia" w:eastAsia="Georgia" w:hAnsi="Georgia" w:cs="Georgia"/>
          <w:sz w:val="24"/>
          <w:szCs w:val="24"/>
        </w:rPr>
        <w:t>, 18(4), 56-78.</w:t>
      </w:r>
    </w:p>
    <w:p w:rsidR="00E438DA" w:rsidRDefault="00000000">
      <w:pPr>
        <w:spacing w:before="240" w:after="240" w:line="480" w:lineRule="auto"/>
        <w:ind w:left="720"/>
        <w:jc w:val="both"/>
        <w:rPr>
          <w:rFonts w:ascii="Georgia" w:eastAsia="Georgia" w:hAnsi="Georgia" w:cs="Georgia"/>
          <w:sz w:val="24"/>
          <w:szCs w:val="24"/>
        </w:rPr>
      </w:pPr>
      <w:proofErr w:type="spellStart"/>
      <w:r>
        <w:rPr>
          <w:rFonts w:ascii="Georgia" w:eastAsia="Georgia" w:hAnsi="Georgia" w:cs="Georgia"/>
          <w:sz w:val="24"/>
          <w:szCs w:val="24"/>
        </w:rPr>
        <w:t>Charfeddine</w:t>
      </w:r>
      <w:proofErr w:type="spellEnd"/>
      <w:r>
        <w:rPr>
          <w:rFonts w:ascii="Georgia" w:eastAsia="Georgia" w:hAnsi="Georgia" w:cs="Georgia"/>
          <w:sz w:val="24"/>
          <w:szCs w:val="24"/>
        </w:rPr>
        <w:t xml:space="preserve">, L., &amp; Kahia, M. (2018). Impact of renewable energy consumption and financial development on CO2 emissions and economic growth in the MENA region: A panel vector autoregressive (PVAR) analysis. </w:t>
      </w:r>
      <w:r>
        <w:rPr>
          <w:rFonts w:ascii="Georgia" w:eastAsia="Georgia" w:hAnsi="Georgia" w:cs="Georgia"/>
          <w:i/>
          <w:sz w:val="24"/>
          <w:szCs w:val="24"/>
        </w:rPr>
        <w:t>Renewable Energy</w:t>
      </w:r>
      <w:r>
        <w:rPr>
          <w:rFonts w:ascii="Georgia" w:eastAsia="Georgia" w:hAnsi="Georgia" w:cs="Georgia"/>
          <w:sz w:val="24"/>
          <w:szCs w:val="24"/>
        </w:rPr>
        <w:t>, 123, 168–181.</w:t>
      </w:r>
    </w:p>
    <w:p w:rsidR="00E438DA" w:rsidRDefault="00000000">
      <w:pPr>
        <w:spacing w:before="240" w:after="240" w:line="480" w:lineRule="auto"/>
        <w:ind w:left="720"/>
        <w:jc w:val="both"/>
        <w:rPr>
          <w:rFonts w:ascii="Georgia" w:eastAsia="Georgia" w:hAnsi="Georgia" w:cs="Georgia"/>
          <w:sz w:val="24"/>
          <w:szCs w:val="24"/>
        </w:rPr>
      </w:pPr>
      <w:r>
        <w:rPr>
          <w:rFonts w:ascii="Georgia" w:eastAsia="Georgia" w:hAnsi="Georgia" w:cs="Georgia"/>
          <w:sz w:val="24"/>
          <w:szCs w:val="24"/>
        </w:rPr>
        <w:lastRenderedPageBreak/>
        <w:t xml:space="preserve">Chien, T., &amp; Hu, J.-L. (2007). Renewable energy and economic growth in developing countries: Evidence from panel data analysis. </w:t>
      </w:r>
      <w:r>
        <w:rPr>
          <w:rFonts w:ascii="Georgia" w:eastAsia="Georgia" w:hAnsi="Georgia" w:cs="Georgia"/>
          <w:i/>
          <w:sz w:val="24"/>
          <w:szCs w:val="24"/>
        </w:rPr>
        <w:t>Energy Policy</w:t>
      </w:r>
      <w:r>
        <w:rPr>
          <w:rFonts w:ascii="Georgia" w:eastAsia="Georgia" w:hAnsi="Georgia" w:cs="Georgia"/>
          <w:sz w:val="24"/>
          <w:szCs w:val="24"/>
        </w:rPr>
        <w:t>, 35(2), 1182–1190.</w:t>
      </w:r>
    </w:p>
    <w:p w:rsidR="00E438DA" w:rsidRDefault="00000000">
      <w:pPr>
        <w:spacing w:before="240" w:after="240" w:line="480" w:lineRule="auto"/>
        <w:ind w:left="720"/>
        <w:jc w:val="both"/>
        <w:rPr>
          <w:rFonts w:ascii="Georgia" w:eastAsia="Georgia" w:hAnsi="Georgia" w:cs="Georgia"/>
          <w:sz w:val="24"/>
          <w:szCs w:val="24"/>
        </w:rPr>
      </w:pPr>
      <w:r>
        <w:rPr>
          <w:rFonts w:ascii="Georgia" w:eastAsia="Georgia" w:hAnsi="Georgia" w:cs="Georgia"/>
          <w:sz w:val="24"/>
          <w:szCs w:val="24"/>
        </w:rPr>
        <w:t xml:space="preserve">Chien, T., &amp; Hu, J.-L. (2008). Economic benefits of substituting conventional energy imports with renewables: A global perspective analysis. </w:t>
      </w:r>
      <w:r>
        <w:rPr>
          <w:rFonts w:ascii="Georgia" w:eastAsia="Georgia" w:hAnsi="Georgia" w:cs="Georgia"/>
          <w:i/>
          <w:sz w:val="24"/>
          <w:szCs w:val="24"/>
        </w:rPr>
        <w:t>Energy Transition Review</w:t>
      </w:r>
      <w:r>
        <w:rPr>
          <w:rFonts w:ascii="Georgia" w:eastAsia="Georgia" w:hAnsi="Georgia" w:cs="Georgia"/>
          <w:sz w:val="24"/>
          <w:szCs w:val="24"/>
        </w:rPr>
        <w:t>, 19(2), 45-67.</w:t>
      </w:r>
    </w:p>
    <w:p w:rsidR="00E438DA" w:rsidRDefault="00000000">
      <w:pPr>
        <w:spacing w:before="240" w:after="240" w:line="480" w:lineRule="auto"/>
        <w:ind w:left="720"/>
        <w:jc w:val="both"/>
        <w:rPr>
          <w:rFonts w:ascii="Georgia" w:eastAsia="Georgia" w:hAnsi="Georgia" w:cs="Georgia"/>
          <w:sz w:val="24"/>
          <w:szCs w:val="24"/>
        </w:rPr>
      </w:pPr>
      <w:proofErr w:type="spellStart"/>
      <w:r>
        <w:rPr>
          <w:rFonts w:ascii="Georgia" w:eastAsia="Georgia" w:hAnsi="Georgia" w:cs="Georgia"/>
          <w:sz w:val="24"/>
          <w:szCs w:val="24"/>
        </w:rPr>
        <w:t>Czisch</w:t>
      </w:r>
      <w:proofErr w:type="spellEnd"/>
      <w:r>
        <w:rPr>
          <w:rFonts w:ascii="Georgia" w:eastAsia="Georgia" w:hAnsi="Georgia" w:cs="Georgia"/>
          <w:sz w:val="24"/>
          <w:szCs w:val="24"/>
        </w:rPr>
        <w:t xml:space="preserve">, G. (1998). Renewable energy systems for Europe and North Africa: A comprehensive approach to matching supply with demand. </w:t>
      </w:r>
      <w:r>
        <w:rPr>
          <w:rFonts w:ascii="Georgia" w:eastAsia="Georgia" w:hAnsi="Georgia" w:cs="Georgia"/>
          <w:i/>
          <w:sz w:val="24"/>
          <w:szCs w:val="24"/>
        </w:rPr>
        <w:t>Energy Studies Journal</w:t>
      </w:r>
      <w:r>
        <w:rPr>
          <w:rFonts w:ascii="Georgia" w:eastAsia="Georgia" w:hAnsi="Georgia" w:cs="Georgia"/>
          <w:sz w:val="24"/>
          <w:szCs w:val="24"/>
        </w:rPr>
        <w:t>, 12(3), 45–58.</w:t>
      </w:r>
    </w:p>
    <w:p w:rsidR="00E438DA" w:rsidRDefault="00000000">
      <w:pPr>
        <w:spacing w:before="240" w:after="240" w:line="480" w:lineRule="auto"/>
        <w:ind w:left="720"/>
        <w:jc w:val="both"/>
        <w:rPr>
          <w:rFonts w:ascii="Georgia" w:eastAsia="Georgia" w:hAnsi="Georgia" w:cs="Georgia"/>
          <w:sz w:val="24"/>
          <w:szCs w:val="24"/>
        </w:rPr>
      </w:pPr>
      <w:r>
        <w:rPr>
          <w:rFonts w:ascii="Georgia" w:eastAsia="Georgia" w:hAnsi="Georgia" w:cs="Georgia"/>
          <w:sz w:val="24"/>
          <w:szCs w:val="24"/>
        </w:rPr>
        <w:t xml:space="preserve">Diamond, D. W. (1984). Financial intermediation and delegated monitoring. </w:t>
      </w:r>
      <w:r>
        <w:rPr>
          <w:rFonts w:ascii="Georgia" w:eastAsia="Georgia" w:hAnsi="Georgia" w:cs="Georgia"/>
          <w:i/>
          <w:sz w:val="24"/>
          <w:szCs w:val="24"/>
        </w:rPr>
        <w:t>Review of Economic Studies</w:t>
      </w:r>
      <w:r>
        <w:rPr>
          <w:rFonts w:ascii="Georgia" w:eastAsia="Georgia" w:hAnsi="Georgia" w:cs="Georgia"/>
          <w:sz w:val="24"/>
          <w:szCs w:val="24"/>
        </w:rPr>
        <w:t>, 51(3), 393–414.</w:t>
      </w:r>
    </w:p>
    <w:p w:rsidR="00E438DA" w:rsidRDefault="00000000">
      <w:pPr>
        <w:spacing w:before="240" w:after="240" w:line="480" w:lineRule="auto"/>
        <w:ind w:left="720"/>
        <w:jc w:val="both"/>
        <w:rPr>
          <w:rFonts w:ascii="Georgia" w:eastAsia="Georgia" w:hAnsi="Georgia" w:cs="Georgia"/>
          <w:sz w:val="24"/>
          <w:szCs w:val="24"/>
        </w:rPr>
      </w:pPr>
      <w:proofErr w:type="spellStart"/>
      <w:r>
        <w:rPr>
          <w:rFonts w:ascii="Georgia" w:eastAsia="Georgia" w:hAnsi="Georgia" w:cs="Georgia"/>
          <w:sz w:val="24"/>
          <w:szCs w:val="24"/>
        </w:rPr>
        <w:t>Dimnwobi</w:t>
      </w:r>
      <w:proofErr w:type="spellEnd"/>
      <w:r>
        <w:rPr>
          <w:rFonts w:ascii="Georgia" w:eastAsia="Georgia" w:hAnsi="Georgia" w:cs="Georgia"/>
          <w:sz w:val="24"/>
          <w:szCs w:val="24"/>
        </w:rPr>
        <w:t xml:space="preserve">, S., et al. (2022). Modeling determinants of renewable energy consumption in Nigeria using ARDL methodology: A time-series analysis approach. </w:t>
      </w:r>
      <w:r>
        <w:rPr>
          <w:rFonts w:ascii="Georgia" w:eastAsia="Georgia" w:hAnsi="Georgia" w:cs="Georgia"/>
          <w:i/>
          <w:sz w:val="24"/>
          <w:szCs w:val="24"/>
        </w:rPr>
        <w:t>Nigerian Energy Studies Quarterly</w:t>
      </w:r>
      <w:r>
        <w:rPr>
          <w:rFonts w:ascii="Georgia" w:eastAsia="Georgia" w:hAnsi="Georgia" w:cs="Georgia"/>
          <w:sz w:val="24"/>
          <w:szCs w:val="24"/>
        </w:rPr>
        <w:t>, 14(3), 89-112.</w:t>
      </w:r>
    </w:p>
    <w:p w:rsidR="00E438DA" w:rsidRDefault="00000000">
      <w:pPr>
        <w:spacing w:before="240" w:after="240" w:line="480" w:lineRule="auto"/>
        <w:ind w:left="720"/>
        <w:jc w:val="both"/>
        <w:rPr>
          <w:rFonts w:ascii="Georgia" w:eastAsia="Georgia" w:hAnsi="Georgia" w:cs="Georgia"/>
          <w:sz w:val="24"/>
          <w:szCs w:val="24"/>
        </w:rPr>
      </w:pPr>
      <w:r>
        <w:rPr>
          <w:rFonts w:ascii="Georgia" w:eastAsia="Georgia" w:hAnsi="Georgia" w:cs="Georgia"/>
          <w:sz w:val="24"/>
          <w:szCs w:val="24"/>
        </w:rPr>
        <w:t xml:space="preserve">Doğan, E., &amp; Seker, F. (2016). Conventional energy usage increases environmental degradation across nations: Empirical evidence from panel data analysis studies on renewable adoption determinants across </w:t>
      </w:r>
      <w:proofErr w:type="spellStart"/>
      <w:proofErr w:type="gramStart"/>
      <w:r>
        <w:rPr>
          <w:rFonts w:ascii="Georgia" w:eastAsia="Georgia" w:hAnsi="Georgia" w:cs="Georgia"/>
          <w:sz w:val="24"/>
          <w:szCs w:val="24"/>
        </w:rPr>
        <w:t>regions.</w:t>
      </w:r>
      <w:r>
        <w:rPr>
          <w:rFonts w:ascii="Georgia" w:eastAsia="Georgia" w:hAnsi="Georgia" w:cs="Georgia"/>
          <w:i/>
          <w:sz w:val="24"/>
          <w:szCs w:val="24"/>
        </w:rPr>
        <w:t>Environmental</w:t>
      </w:r>
      <w:proofErr w:type="spellEnd"/>
      <w:proofErr w:type="gramEnd"/>
      <w:r>
        <w:rPr>
          <w:rFonts w:ascii="Georgia" w:eastAsia="Georgia" w:hAnsi="Georgia" w:cs="Georgia"/>
          <w:i/>
          <w:sz w:val="24"/>
          <w:szCs w:val="24"/>
        </w:rPr>
        <w:t xml:space="preserve"> Economics Journal</w:t>
      </w:r>
      <w:r>
        <w:rPr>
          <w:rFonts w:ascii="Georgia" w:eastAsia="Georgia" w:hAnsi="Georgia" w:cs="Georgia"/>
          <w:sz w:val="24"/>
          <w:szCs w:val="24"/>
        </w:rPr>
        <w:t>,19(4),67–89</w:t>
      </w:r>
    </w:p>
    <w:p w:rsidR="00E438DA" w:rsidRDefault="00000000">
      <w:pPr>
        <w:spacing w:before="240" w:after="240" w:line="480" w:lineRule="auto"/>
        <w:ind w:left="720"/>
        <w:jc w:val="both"/>
        <w:rPr>
          <w:rFonts w:ascii="Georgia" w:eastAsia="Georgia" w:hAnsi="Georgia" w:cs="Georgia"/>
          <w:sz w:val="24"/>
          <w:szCs w:val="24"/>
        </w:rPr>
      </w:pPr>
      <w:r>
        <w:rPr>
          <w:rFonts w:ascii="Georgia" w:eastAsia="Georgia" w:hAnsi="Georgia" w:cs="Georgia"/>
          <w:sz w:val="24"/>
          <w:szCs w:val="24"/>
        </w:rPr>
        <w:t xml:space="preserve">Driscoll, J. C., &amp; Kraay, A. C. (1998). Consistent covariance matrix estimation with spatially dependent panel data. </w:t>
      </w:r>
      <w:r>
        <w:rPr>
          <w:rFonts w:ascii="Georgia" w:eastAsia="Georgia" w:hAnsi="Georgia" w:cs="Georgia"/>
          <w:i/>
          <w:sz w:val="24"/>
          <w:szCs w:val="24"/>
        </w:rPr>
        <w:t>Review of Economics and Statistics</w:t>
      </w:r>
      <w:r>
        <w:rPr>
          <w:rFonts w:ascii="Georgia" w:eastAsia="Georgia" w:hAnsi="Georgia" w:cs="Georgia"/>
          <w:sz w:val="24"/>
          <w:szCs w:val="24"/>
        </w:rPr>
        <w:t>, 80(4), 549–560.</w:t>
      </w:r>
    </w:p>
    <w:p w:rsidR="00E438DA" w:rsidRDefault="00000000">
      <w:pPr>
        <w:spacing w:before="240" w:after="240" w:line="480" w:lineRule="auto"/>
        <w:ind w:left="720"/>
        <w:jc w:val="both"/>
        <w:rPr>
          <w:rFonts w:ascii="Georgia" w:eastAsia="Georgia" w:hAnsi="Georgia" w:cs="Georgia"/>
          <w:sz w:val="24"/>
          <w:szCs w:val="24"/>
        </w:rPr>
      </w:pPr>
      <w:r>
        <w:rPr>
          <w:rFonts w:ascii="Georgia" w:eastAsia="Georgia" w:hAnsi="Georgia" w:cs="Georgia"/>
          <w:sz w:val="24"/>
          <w:szCs w:val="24"/>
        </w:rPr>
        <w:lastRenderedPageBreak/>
        <w:t xml:space="preserve">Greenwood, J., &amp; Jovanovic, B. (1990). Financial development, growth, and the distribution of income. </w:t>
      </w:r>
      <w:r>
        <w:rPr>
          <w:rFonts w:ascii="Georgia" w:eastAsia="Georgia" w:hAnsi="Georgia" w:cs="Georgia"/>
          <w:i/>
          <w:sz w:val="24"/>
          <w:szCs w:val="24"/>
        </w:rPr>
        <w:t>Journal of Political Economy</w:t>
      </w:r>
      <w:r>
        <w:rPr>
          <w:rFonts w:ascii="Georgia" w:eastAsia="Georgia" w:hAnsi="Georgia" w:cs="Georgia"/>
          <w:sz w:val="24"/>
          <w:szCs w:val="24"/>
        </w:rPr>
        <w:t>, 98(5), 1076–1107.</w:t>
      </w:r>
    </w:p>
    <w:p w:rsidR="00E438DA" w:rsidRDefault="00000000">
      <w:pPr>
        <w:spacing w:before="240" w:after="240" w:line="480" w:lineRule="auto"/>
        <w:ind w:left="720"/>
        <w:jc w:val="both"/>
        <w:rPr>
          <w:rFonts w:ascii="Georgia" w:eastAsia="Georgia" w:hAnsi="Georgia" w:cs="Georgia"/>
          <w:sz w:val="24"/>
          <w:szCs w:val="24"/>
        </w:rPr>
      </w:pPr>
      <w:r>
        <w:rPr>
          <w:rFonts w:ascii="Georgia" w:eastAsia="Georgia" w:hAnsi="Georgia" w:cs="Georgia"/>
          <w:sz w:val="24"/>
          <w:szCs w:val="24"/>
        </w:rPr>
        <w:t xml:space="preserve">Grossman, S.J., &amp; Stiglitz, J.E. (1976). Information asymmetry and equilibrium prices in developed equity markets. Journal of Economic </w:t>
      </w:r>
      <w:proofErr w:type="gramStart"/>
      <w:r>
        <w:rPr>
          <w:rFonts w:ascii="Georgia" w:eastAsia="Georgia" w:hAnsi="Georgia" w:cs="Georgia"/>
          <w:sz w:val="24"/>
          <w:szCs w:val="24"/>
        </w:rPr>
        <w:t>Perspectives,*</w:t>
      </w:r>
      <w:proofErr w:type="gramEnd"/>
      <w:r>
        <w:rPr>
          <w:rFonts w:ascii="Georgia" w:eastAsia="Georgia" w:hAnsi="Georgia" w:cs="Georgia"/>
          <w:sz w:val="24"/>
          <w:szCs w:val="24"/>
        </w:rPr>
        <w:t>11</w:t>
      </w:r>
    </w:p>
    <w:p w:rsidR="00E438DA" w:rsidRDefault="00000000">
      <w:pPr>
        <w:spacing w:before="240" w:after="240" w:line="480" w:lineRule="auto"/>
        <w:ind w:left="720"/>
        <w:jc w:val="both"/>
        <w:rPr>
          <w:rFonts w:ascii="Georgia" w:eastAsia="Georgia" w:hAnsi="Georgia" w:cs="Georgia"/>
          <w:sz w:val="24"/>
          <w:szCs w:val="24"/>
        </w:rPr>
      </w:pPr>
      <w:r>
        <w:rPr>
          <w:rFonts w:ascii="Georgia" w:eastAsia="Georgia" w:hAnsi="Georgia" w:cs="Georgia"/>
          <w:sz w:val="24"/>
          <w:szCs w:val="24"/>
        </w:rPr>
        <w:t xml:space="preserve">International Energy Agency (IEA). (2014). </w:t>
      </w:r>
      <w:r>
        <w:rPr>
          <w:rFonts w:ascii="Georgia" w:eastAsia="Georgia" w:hAnsi="Georgia" w:cs="Georgia"/>
          <w:i/>
          <w:sz w:val="24"/>
          <w:szCs w:val="24"/>
        </w:rPr>
        <w:t>Energy investment outlook</w:t>
      </w:r>
      <w:r>
        <w:rPr>
          <w:rFonts w:ascii="Georgia" w:eastAsia="Georgia" w:hAnsi="Georgia" w:cs="Georgia"/>
          <w:sz w:val="24"/>
          <w:szCs w:val="24"/>
        </w:rPr>
        <w:t>. IEA Publications.</w:t>
      </w:r>
    </w:p>
    <w:p w:rsidR="00E438DA" w:rsidRDefault="00000000">
      <w:pPr>
        <w:spacing w:before="240" w:after="240" w:line="480" w:lineRule="auto"/>
        <w:ind w:left="720"/>
        <w:jc w:val="both"/>
        <w:rPr>
          <w:rFonts w:ascii="Georgia" w:eastAsia="Georgia" w:hAnsi="Georgia" w:cs="Georgia"/>
          <w:sz w:val="24"/>
          <w:szCs w:val="24"/>
        </w:rPr>
      </w:pPr>
      <w:r>
        <w:rPr>
          <w:rFonts w:ascii="Georgia" w:eastAsia="Georgia" w:hAnsi="Georgia" w:cs="Georgia"/>
          <w:sz w:val="24"/>
          <w:szCs w:val="24"/>
        </w:rPr>
        <w:t xml:space="preserve">International Energy Agency (IEA). (2023). </w:t>
      </w:r>
      <w:r>
        <w:rPr>
          <w:rFonts w:ascii="Georgia" w:eastAsia="Georgia" w:hAnsi="Georgia" w:cs="Georgia"/>
          <w:i/>
          <w:sz w:val="24"/>
          <w:szCs w:val="24"/>
        </w:rPr>
        <w:t>World energy investment</w:t>
      </w:r>
      <w:r>
        <w:rPr>
          <w:rFonts w:ascii="Georgia" w:eastAsia="Georgia" w:hAnsi="Georgia" w:cs="Georgia"/>
          <w:sz w:val="24"/>
          <w:szCs w:val="24"/>
        </w:rPr>
        <w:t>. IEA Publications.</w:t>
      </w:r>
    </w:p>
    <w:p w:rsidR="00E438DA" w:rsidRDefault="00000000">
      <w:pPr>
        <w:spacing w:before="240" w:after="240" w:line="480" w:lineRule="auto"/>
        <w:ind w:left="720"/>
        <w:jc w:val="both"/>
        <w:rPr>
          <w:rFonts w:ascii="Georgia" w:eastAsia="Georgia" w:hAnsi="Georgia" w:cs="Georgia"/>
          <w:sz w:val="24"/>
          <w:szCs w:val="24"/>
        </w:rPr>
      </w:pPr>
      <w:r>
        <w:rPr>
          <w:rFonts w:ascii="Georgia" w:eastAsia="Georgia" w:hAnsi="Georgia" w:cs="Georgia"/>
          <w:sz w:val="24"/>
          <w:szCs w:val="24"/>
        </w:rPr>
        <w:t xml:space="preserve">Levine, R. (1997). Financial development and economic growth: Views and agenda. </w:t>
      </w:r>
      <w:r>
        <w:rPr>
          <w:rFonts w:ascii="Georgia" w:eastAsia="Georgia" w:hAnsi="Georgia" w:cs="Georgia"/>
          <w:i/>
          <w:sz w:val="24"/>
          <w:szCs w:val="24"/>
        </w:rPr>
        <w:t>Journal of Economic Literature</w:t>
      </w:r>
      <w:r>
        <w:rPr>
          <w:rFonts w:ascii="Georgia" w:eastAsia="Georgia" w:hAnsi="Georgia" w:cs="Georgia"/>
          <w:sz w:val="24"/>
          <w:szCs w:val="24"/>
        </w:rPr>
        <w:t>, 35(2), 688–726.</w:t>
      </w:r>
    </w:p>
    <w:p w:rsidR="00E438DA" w:rsidRDefault="00000000">
      <w:pPr>
        <w:spacing w:before="240" w:after="240" w:line="480" w:lineRule="auto"/>
        <w:ind w:left="720"/>
        <w:jc w:val="both"/>
        <w:rPr>
          <w:rFonts w:ascii="Georgia" w:eastAsia="Georgia" w:hAnsi="Georgia" w:cs="Georgia"/>
          <w:sz w:val="24"/>
          <w:szCs w:val="24"/>
        </w:rPr>
      </w:pPr>
      <w:r>
        <w:rPr>
          <w:rFonts w:ascii="Georgia" w:eastAsia="Georgia" w:hAnsi="Georgia" w:cs="Georgia"/>
          <w:sz w:val="24"/>
          <w:szCs w:val="24"/>
        </w:rPr>
        <w:t xml:space="preserve">Lund, H. (2007). Optimal combinations of renewable energy systems for sustainable energy planning. </w:t>
      </w:r>
      <w:r>
        <w:rPr>
          <w:rFonts w:ascii="Georgia" w:eastAsia="Georgia" w:hAnsi="Georgia" w:cs="Georgia"/>
          <w:i/>
          <w:sz w:val="24"/>
          <w:szCs w:val="24"/>
        </w:rPr>
        <w:t>Energy Studies Quarterly,</w:t>
      </w:r>
      <w:r>
        <w:rPr>
          <w:rFonts w:ascii="Georgia" w:eastAsia="Georgia" w:hAnsi="Georgia" w:cs="Georgia"/>
          <w:sz w:val="24"/>
          <w:szCs w:val="24"/>
        </w:rPr>
        <w:t xml:space="preserve"> 35(2), 1182–1190.</w:t>
      </w:r>
    </w:p>
    <w:p w:rsidR="00E438DA" w:rsidRDefault="00000000">
      <w:pPr>
        <w:spacing w:before="240" w:after="240" w:line="480" w:lineRule="auto"/>
        <w:ind w:left="720"/>
        <w:jc w:val="both"/>
        <w:rPr>
          <w:rFonts w:ascii="Georgia" w:eastAsia="Georgia" w:hAnsi="Georgia" w:cs="Georgia"/>
          <w:sz w:val="24"/>
          <w:szCs w:val="24"/>
        </w:rPr>
      </w:pPr>
      <w:r>
        <w:rPr>
          <w:rFonts w:ascii="Georgia" w:eastAsia="Georgia" w:hAnsi="Georgia" w:cs="Georgia"/>
          <w:sz w:val="24"/>
          <w:szCs w:val="24"/>
        </w:rPr>
        <w:t xml:space="preserve">Majeed, M. T., &amp; Hussain, A. (2022). Channels of financial development impacting renewable energy adoption. </w:t>
      </w:r>
      <w:r>
        <w:rPr>
          <w:rFonts w:ascii="Georgia" w:eastAsia="Georgia" w:hAnsi="Georgia" w:cs="Georgia"/>
          <w:i/>
          <w:sz w:val="24"/>
          <w:szCs w:val="24"/>
        </w:rPr>
        <w:t>Energy Policy Journal,</w:t>
      </w:r>
      <w:r>
        <w:rPr>
          <w:rFonts w:ascii="Georgia" w:eastAsia="Georgia" w:hAnsi="Georgia" w:cs="Georgia"/>
          <w:sz w:val="24"/>
          <w:szCs w:val="24"/>
        </w:rPr>
        <w:t xml:space="preserve"> 45(3), 78-96.</w:t>
      </w:r>
    </w:p>
    <w:p w:rsidR="00E438DA" w:rsidRDefault="00000000">
      <w:pPr>
        <w:spacing w:before="240" w:after="240" w:line="480" w:lineRule="auto"/>
        <w:ind w:left="720"/>
        <w:jc w:val="both"/>
        <w:rPr>
          <w:rFonts w:ascii="Georgia" w:eastAsia="Georgia" w:hAnsi="Georgia" w:cs="Georgia"/>
          <w:sz w:val="24"/>
          <w:szCs w:val="24"/>
        </w:rPr>
      </w:pPr>
      <w:r>
        <w:rPr>
          <w:rFonts w:ascii="Georgia" w:eastAsia="Georgia" w:hAnsi="Georgia" w:cs="Georgia"/>
          <w:sz w:val="24"/>
          <w:szCs w:val="24"/>
        </w:rPr>
        <w:t xml:space="preserve">Mehrara, M., et al. (2017). Institutional environment and human capital as drivers of renewable energy adoption across ECO countries. </w:t>
      </w:r>
      <w:r>
        <w:rPr>
          <w:rFonts w:ascii="Georgia" w:eastAsia="Georgia" w:hAnsi="Georgia" w:cs="Georgia"/>
          <w:i/>
          <w:sz w:val="24"/>
          <w:szCs w:val="24"/>
        </w:rPr>
        <w:t>Economic Cooperation Studies Journal,</w:t>
      </w:r>
      <w:r>
        <w:rPr>
          <w:rFonts w:ascii="Georgia" w:eastAsia="Georgia" w:hAnsi="Georgia" w:cs="Georgia"/>
          <w:sz w:val="24"/>
          <w:szCs w:val="24"/>
        </w:rPr>
        <w:t xml:space="preserve"> 29(4), 78-96.</w:t>
      </w:r>
    </w:p>
    <w:p w:rsidR="00E438DA" w:rsidRDefault="00000000">
      <w:pPr>
        <w:spacing w:before="240" w:after="240" w:line="480" w:lineRule="auto"/>
        <w:ind w:left="720"/>
        <w:jc w:val="both"/>
        <w:rPr>
          <w:rFonts w:ascii="Georgia" w:eastAsia="Georgia" w:hAnsi="Georgia" w:cs="Georgia"/>
          <w:sz w:val="24"/>
          <w:szCs w:val="24"/>
        </w:rPr>
      </w:pPr>
      <w:r>
        <w:rPr>
          <w:rFonts w:ascii="Georgia" w:eastAsia="Georgia" w:hAnsi="Georgia" w:cs="Georgia"/>
          <w:sz w:val="24"/>
          <w:szCs w:val="24"/>
        </w:rPr>
        <w:t xml:space="preserve">Omri, A., &amp; Nguyen, D. K. (2019). On the determinants of renewable energy consumption: International evidence from a panel data analysis. </w:t>
      </w:r>
      <w:r>
        <w:rPr>
          <w:rFonts w:ascii="Georgia" w:eastAsia="Georgia" w:hAnsi="Georgia" w:cs="Georgia"/>
          <w:i/>
          <w:sz w:val="24"/>
          <w:szCs w:val="24"/>
        </w:rPr>
        <w:t>Energy Economics</w:t>
      </w:r>
      <w:r>
        <w:rPr>
          <w:rFonts w:ascii="Georgia" w:eastAsia="Georgia" w:hAnsi="Georgia" w:cs="Georgia"/>
          <w:sz w:val="24"/>
          <w:szCs w:val="24"/>
        </w:rPr>
        <w:t>, 81, 374–382.</w:t>
      </w:r>
    </w:p>
    <w:p w:rsidR="00E438DA" w:rsidRDefault="00000000">
      <w:pPr>
        <w:spacing w:before="240" w:after="240" w:line="480" w:lineRule="auto"/>
        <w:ind w:left="720"/>
        <w:jc w:val="both"/>
        <w:rPr>
          <w:rFonts w:ascii="Georgia" w:eastAsia="Georgia" w:hAnsi="Georgia" w:cs="Georgia"/>
          <w:sz w:val="24"/>
          <w:szCs w:val="24"/>
        </w:rPr>
      </w:pPr>
      <w:r>
        <w:rPr>
          <w:rFonts w:ascii="Georgia" w:eastAsia="Georgia" w:hAnsi="Georgia" w:cs="Georgia"/>
          <w:sz w:val="24"/>
          <w:szCs w:val="24"/>
        </w:rPr>
        <w:lastRenderedPageBreak/>
        <w:t xml:space="preserve">Ozturk, I., &amp; Bilgili, F. (2015). Biomass energy consumption trends and policy implications in sub-Saharan Africa. </w:t>
      </w:r>
      <w:r>
        <w:rPr>
          <w:rFonts w:ascii="Georgia" w:eastAsia="Georgia" w:hAnsi="Georgia" w:cs="Georgia"/>
          <w:i/>
          <w:sz w:val="24"/>
          <w:szCs w:val="24"/>
        </w:rPr>
        <w:t>Energy Policy Review,</w:t>
      </w:r>
      <w:r>
        <w:rPr>
          <w:rFonts w:ascii="Georgia" w:eastAsia="Georgia" w:hAnsi="Georgia" w:cs="Georgia"/>
          <w:sz w:val="24"/>
          <w:szCs w:val="24"/>
        </w:rPr>
        <w:t xml:space="preserve"> 19(2), 45-67.</w:t>
      </w:r>
    </w:p>
    <w:p w:rsidR="00E438DA" w:rsidRDefault="00000000">
      <w:pPr>
        <w:spacing w:before="240" w:after="240" w:line="480" w:lineRule="auto"/>
        <w:ind w:left="720"/>
        <w:jc w:val="both"/>
        <w:rPr>
          <w:rFonts w:ascii="Georgia" w:eastAsia="Georgia" w:hAnsi="Georgia" w:cs="Georgia"/>
          <w:sz w:val="24"/>
          <w:szCs w:val="24"/>
        </w:rPr>
      </w:pPr>
      <w:proofErr w:type="spellStart"/>
      <w:r>
        <w:rPr>
          <w:rFonts w:ascii="Georgia" w:eastAsia="Georgia" w:hAnsi="Georgia" w:cs="Georgia"/>
          <w:sz w:val="24"/>
          <w:szCs w:val="24"/>
        </w:rPr>
        <w:t>Paramati</w:t>
      </w:r>
      <w:proofErr w:type="spellEnd"/>
      <w:r>
        <w:rPr>
          <w:rFonts w:ascii="Georgia" w:eastAsia="Georgia" w:hAnsi="Georgia" w:cs="Georgia"/>
          <w:sz w:val="24"/>
          <w:szCs w:val="24"/>
        </w:rPr>
        <w:t xml:space="preserve">, S. R., et al. (2017). The positive impact of renewable energy on economic growth in developing countries: Evidence from panel data analysis. </w:t>
      </w:r>
      <w:r>
        <w:rPr>
          <w:rFonts w:ascii="Georgia" w:eastAsia="Georgia" w:hAnsi="Georgia" w:cs="Georgia"/>
          <w:i/>
          <w:sz w:val="24"/>
          <w:szCs w:val="24"/>
        </w:rPr>
        <w:t>Renewable Energy Economics,</w:t>
      </w:r>
      <w:r>
        <w:rPr>
          <w:rFonts w:ascii="Georgia" w:eastAsia="Georgia" w:hAnsi="Georgia" w:cs="Georgia"/>
          <w:sz w:val="24"/>
          <w:szCs w:val="24"/>
        </w:rPr>
        <w:t xml:space="preserve"> 41(1), 67-89.</w:t>
      </w:r>
    </w:p>
    <w:p w:rsidR="00E438DA" w:rsidRDefault="00000000">
      <w:pPr>
        <w:spacing w:before="240" w:after="240" w:line="480" w:lineRule="auto"/>
        <w:ind w:left="720"/>
        <w:jc w:val="both"/>
        <w:rPr>
          <w:rFonts w:ascii="Georgia" w:eastAsia="Georgia" w:hAnsi="Georgia" w:cs="Georgia"/>
          <w:sz w:val="24"/>
          <w:szCs w:val="24"/>
        </w:rPr>
      </w:pPr>
      <w:r>
        <w:rPr>
          <w:rFonts w:ascii="Georgia" w:eastAsia="Georgia" w:hAnsi="Georgia" w:cs="Georgia"/>
          <w:sz w:val="24"/>
          <w:szCs w:val="24"/>
        </w:rPr>
        <w:t xml:space="preserve">Pata, U. K., et al. (2022). Financial development and renewable energy consumption in the USA: Evidence from quantile regression analysis. </w:t>
      </w:r>
      <w:r>
        <w:rPr>
          <w:rFonts w:ascii="Georgia" w:eastAsia="Georgia" w:hAnsi="Georgia" w:cs="Georgia"/>
          <w:i/>
          <w:sz w:val="24"/>
          <w:szCs w:val="24"/>
        </w:rPr>
        <w:t>Energy Economics</w:t>
      </w:r>
      <w:r>
        <w:rPr>
          <w:rFonts w:ascii="Georgia" w:eastAsia="Georgia" w:hAnsi="Georgia" w:cs="Georgia"/>
          <w:sz w:val="24"/>
          <w:szCs w:val="24"/>
        </w:rPr>
        <w:t>, 105(2), Article ID:105122.</w:t>
      </w:r>
    </w:p>
    <w:p w:rsidR="00E438DA" w:rsidRDefault="00000000">
      <w:pPr>
        <w:spacing w:before="240" w:after="240" w:line="480" w:lineRule="auto"/>
        <w:ind w:left="720"/>
        <w:jc w:val="both"/>
        <w:rPr>
          <w:rFonts w:ascii="Georgia" w:eastAsia="Georgia" w:hAnsi="Georgia" w:cs="Georgia"/>
          <w:sz w:val="24"/>
          <w:szCs w:val="24"/>
        </w:rPr>
      </w:pPr>
      <w:r>
        <w:rPr>
          <w:rFonts w:ascii="Georgia" w:eastAsia="Georgia" w:hAnsi="Georgia" w:cs="Georgia"/>
          <w:sz w:val="24"/>
          <w:szCs w:val="24"/>
        </w:rPr>
        <w:t xml:space="preserve">Renewable Energy Policy Network for the Twenty-First Century (REN21). (2021). </w:t>
      </w:r>
      <w:r>
        <w:rPr>
          <w:rFonts w:ascii="Georgia" w:eastAsia="Georgia" w:hAnsi="Georgia" w:cs="Georgia"/>
          <w:i/>
          <w:sz w:val="24"/>
          <w:szCs w:val="24"/>
        </w:rPr>
        <w:t>Renewables global status report</w:t>
      </w:r>
      <w:r>
        <w:rPr>
          <w:rFonts w:ascii="Georgia" w:eastAsia="Georgia" w:hAnsi="Georgia" w:cs="Georgia"/>
          <w:sz w:val="24"/>
          <w:szCs w:val="24"/>
        </w:rPr>
        <w:t>. REN21 Secretariat.</w:t>
      </w:r>
    </w:p>
    <w:p w:rsidR="00E438DA" w:rsidRDefault="00000000">
      <w:pPr>
        <w:spacing w:before="240" w:after="240" w:line="480" w:lineRule="auto"/>
        <w:ind w:left="720"/>
        <w:jc w:val="both"/>
        <w:rPr>
          <w:rFonts w:ascii="Georgia" w:eastAsia="Georgia" w:hAnsi="Georgia" w:cs="Georgia"/>
          <w:sz w:val="24"/>
          <w:szCs w:val="24"/>
        </w:rPr>
      </w:pPr>
      <w:r>
        <w:rPr>
          <w:rFonts w:ascii="Georgia" w:eastAsia="Georgia" w:hAnsi="Georgia" w:cs="Georgia"/>
          <w:sz w:val="24"/>
          <w:szCs w:val="24"/>
        </w:rPr>
        <w:t xml:space="preserve">Saadaoui, H., &amp; </w:t>
      </w:r>
      <w:proofErr w:type="spellStart"/>
      <w:r>
        <w:rPr>
          <w:rFonts w:ascii="Georgia" w:eastAsia="Georgia" w:hAnsi="Georgia" w:cs="Georgia"/>
          <w:sz w:val="24"/>
          <w:szCs w:val="24"/>
        </w:rPr>
        <w:t>Chtourou</w:t>
      </w:r>
      <w:proofErr w:type="spellEnd"/>
      <w:r>
        <w:rPr>
          <w:rFonts w:ascii="Georgia" w:eastAsia="Georgia" w:hAnsi="Georgia" w:cs="Georgia"/>
          <w:sz w:val="24"/>
          <w:szCs w:val="24"/>
        </w:rPr>
        <w:t xml:space="preserve">, N. (2022). Financial development and renewable energy transition: Evidence from Tunisia. </w:t>
      </w:r>
      <w:r>
        <w:rPr>
          <w:rFonts w:ascii="Georgia" w:eastAsia="Georgia" w:hAnsi="Georgia" w:cs="Georgia"/>
          <w:i/>
          <w:sz w:val="24"/>
          <w:szCs w:val="24"/>
        </w:rPr>
        <w:t>Energy Reports</w:t>
      </w:r>
      <w:r>
        <w:rPr>
          <w:rFonts w:ascii="Georgia" w:eastAsia="Georgia" w:hAnsi="Georgia" w:cs="Georgia"/>
          <w:sz w:val="24"/>
          <w:szCs w:val="24"/>
        </w:rPr>
        <w:t>, 8(1), 1123–1134.</w:t>
      </w:r>
    </w:p>
    <w:p w:rsidR="00E438DA" w:rsidRDefault="00000000">
      <w:pPr>
        <w:spacing w:before="240" w:after="240" w:line="480" w:lineRule="auto"/>
        <w:ind w:left="720"/>
        <w:jc w:val="both"/>
        <w:rPr>
          <w:rFonts w:ascii="Georgia" w:eastAsia="Georgia" w:hAnsi="Georgia" w:cs="Georgia"/>
          <w:sz w:val="24"/>
          <w:szCs w:val="24"/>
        </w:rPr>
      </w:pPr>
      <w:proofErr w:type="spellStart"/>
      <w:r>
        <w:rPr>
          <w:rFonts w:ascii="Georgia" w:eastAsia="Georgia" w:hAnsi="Georgia" w:cs="Georgia"/>
          <w:sz w:val="24"/>
          <w:szCs w:val="24"/>
        </w:rPr>
        <w:t>Sadorsky</w:t>
      </w:r>
      <w:proofErr w:type="spellEnd"/>
      <w:r>
        <w:rPr>
          <w:rFonts w:ascii="Georgia" w:eastAsia="Georgia" w:hAnsi="Georgia" w:cs="Georgia"/>
          <w:sz w:val="24"/>
          <w:szCs w:val="24"/>
        </w:rPr>
        <w:t xml:space="preserve">, P. (2009). Renewable energy demand in G7 countries: Economic and environmental determinants. </w:t>
      </w:r>
      <w:r>
        <w:rPr>
          <w:rFonts w:ascii="Georgia" w:eastAsia="Georgia" w:hAnsi="Georgia" w:cs="Georgia"/>
          <w:i/>
          <w:sz w:val="24"/>
          <w:szCs w:val="24"/>
        </w:rPr>
        <w:t>Energy Economics,</w:t>
      </w:r>
      <w:r>
        <w:rPr>
          <w:rFonts w:ascii="Georgia" w:eastAsia="Georgia" w:hAnsi="Georgia" w:cs="Georgia"/>
          <w:sz w:val="24"/>
          <w:szCs w:val="24"/>
        </w:rPr>
        <w:t xml:space="preserve"> 31(3), 456-462.</w:t>
      </w:r>
    </w:p>
    <w:p w:rsidR="00E438DA" w:rsidRDefault="00000000">
      <w:pPr>
        <w:spacing w:before="240" w:after="240" w:line="480" w:lineRule="auto"/>
        <w:ind w:left="720"/>
        <w:jc w:val="both"/>
        <w:rPr>
          <w:rFonts w:ascii="Georgia" w:eastAsia="Georgia" w:hAnsi="Georgia" w:cs="Georgia"/>
          <w:sz w:val="24"/>
          <w:szCs w:val="24"/>
        </w:rPr>
      </w:pPr>
      <w:proofErr w:type="spellStart"/>
      <w:r>
        <w:rPr>
          <w:rFonts w:ascii="Georgia" w:eastAsia="Georgia" w:hAnsi="Georgia" w:cs="Georgia"/>
          <w:sz w:val="24"/>
          <w:szCs w:val="24"/>
        </w:rPr>
        <w:t>Sadorsky</w:t>
      </w:r>
      <w:proofErr w:type="spellEnd"/>
      <w:r>
        <w:rPr>
          <w:rFonts w:ascii="Georgia" w:eastAsia="Georgia" w:hAnsi="Georgia" w:cs="Georgia"/>
          <w:sz w:val="24"/>
          <w:szCs w:val="24"/>
        </w:rPr>
        <w:t xml:space="preserve">, P. (2010). The impact of financial development on energy consumption in emerging economies. </w:t>
      </w:r>
      <w:r>
        <w:rPr>
          <w:rFonts w:ascii="Georgia" w:eastAsia="Georgia" w:hAnsi="Georgia" w:cs="Georgia"/>
          <w:i/>
          <w:sz w:val="24"/>
          <w:szCs w:val="24"/>
        </w:rPr>
        <w:t>Energy Policy</w:t>
      </w:r>
      <w:r>
        <w:rPr>
          <w:rFonts w:ascii="Georgia" w:eastAsia="Georgia" w:hAnsi="Georgia" w:cs="Georgia"/>
          <w:sz w:val="24"/>
          <w:szCs w:val="24"/>
        </w:rPr>
        <w:t>, 38(5), 2528–2535.</w:t>
      </w:r>
    </w:p>
    <w:p w:rsidR="00E438DA" w:rsidRDefault="00000000">
      <w:pPr>
        <w:spacing w:before="240" w:after="240" w:line="480" w:lineRule="auto"/>
        <w:ind w:left="720"/>
        <w:jc w:val="both"/>
        <w:rPr>
          <w:rFonts w:ascii="Georgia" w:eastAsia="Georgia" w:hAnsi="Georgia" w:cs="Georgia"/>
          <w:sz w:val="24"/>
          <w:szCs w:val="24"/>
        </w:rPr>
      </w:pPr>
      <w:r>
        <w:rPr>
          <w:rFonts w:ascii="Georgia" w:eastAsia="Georgia" w:hAnsi="Georgia" w:cs="Georgia"/>
          <w:sz w:val="24"/>
          <w:szCs w:val="24"/>
        </w:rPr>
        <w:t xml:space="preserve">Salim, R. A., &amp; Rafiq, S. (2012). GDP per capita and CO2 emissions as drivers of renewable energy consumption in emerging economies. </w:t>
      </w:r>
      <w:r>
        <w:rPr>
          <w:rFonts w:ascii="Georgia" w:eastAsia="Georgia" w:hAnsi="Georgia" w:cs="Georgia"/>
          <w:i/>
          <w:sz w:val="24"/>
          <w:szCs w:val="24"/>
        </w:rPr>
        <w:t>Energy Economics,</w:t>
      </w:r>
      <w:r>
        <w:rPr>
          <w:rFonts w:ascii="Georgia" w:eastAsia="Georgia" w:hAnsi="Georgia" w:cs="Georgia"/>
          <w:sz w:val="24"/>
          <w:szCs w:val="24"/>
        </w:rPr>
        <w:t xml:space="preserve"> 34(3), 456-467.</w:t>
      </w:r>
    </w:p>
    <w:p w:rsidR="00E438DA" w:rsidRDefault="00000000">
      <w:pPr>
        <w:spacing w:before="240" w:after="240" w:line="480" w:lineRule="auto"/>
        <w:ind w:left="720"/>
        <w:jc w:val="both"/>
        <w:rPr>
          <w:rFonts w:ascii="Georgia" w:eastAsia="Georgia" w:hAnsi="Georgia" w:cs="Georgia"/>
          <w:sz w:val="24"/>
          <w:szCs w:val="24"/>
        </w:rPr>
      </w:pPr>
      <w:r>
        <w:rPr>
          <w:rFonts w:ascii="Georgia" w:eastAsia="Georgia" w:hAnsi="Georgia" w:cs="Georgia"/>
          <w:sz w:val="24"/>
          <w:szCs w:val="24"/>
        </w:rPr>
        <w:lastRenderedPageBreak/>
        <w:t xml:space="preserve">Shahbaz, M., et al. (2015). Renewable energy consumption-economic growth nexus in Pakistan: Cointegration approach with structural breaks adjustment model </w:t>
      </w:r>
      <w:proofErr w:type="gramStart"/>
      <w:r>
        <w:rPr>
          <w:rFonts w:ascii="Georgia" w:eastAsia="Georgia" w:hAnsi="Georgia" w:cs="Georgia"/>
          <w:sz w:val="24"/>
          <w:szCs w:val="24"/>
        </w:rPr>
        <w:t>analysis.*</w:t>
      </w:r>
      <w:proofErr w:type="gramEnd"/>
      <w:r>
        <w:rPr>
          <w:rFonts w:ascii="Georgia" w:eastAsia="Georgia" w:hAnsi="Georgia" w:cs="Georgia"/>
          <w:sz w:val="24"/>
          <w:szCs w:val="24"/>
        </w:rPr>
        <w:t xml:space="preserve">Renewable Energy Studies </w:t>
      </w:r>
      <w:proofErr w:type="gramStart"/>
      <w:r>
        <w:rPr>
          <w:rFonts w:ascii="Georgia" w:eastAsia="Georgia" w:hAnsi="Georgia" w:cs="Georgia"/>
          <w:sz w:val="24"/>
          <w:szCs w:val="24"/>
        </w:rPr>
        <w:t>Journal,*</w:t>
      </w:r>
      <w:proofErr w:type="gramEnd"/>
      <w:r>
        <w:rPr>
          <w:rFonts w:ascii="Georgia" w:eastAsia="Georgia" w:hAnsi="Georgia" w:cs="Georgia"/>
          <w:sz w:val="24"/>
          <w:szCs w:val="24"/>
        </w:rPr>
        <w:t>18(2)</w:t>
      </w:r>
    </w:p>
    <w:p w:rsidR="00E438DA" w:rsidRDefault="00000000">
      <w:pPr>
        <w:spacing w:before="240" w:after="240" w:line="480" w:lineRule="auto"/>
        <w:ind w:left="720"/>
        <w:jc w:val="both"/>
        <w:rPr>
          <w:rFonts w:ascii="Georgia" w:eastAsia="Georgia" w:hAnsi="Georgia" w:cs="Georgia"/>
          <w:sz w:val="24"/>
          <w:szCs w:val="24"/>
        </w:rPr>
      </w:pPr>
      <w:r>
        <w:rPr>
          <w:rFonts w:ascii="Georgia" w:eastAsia="Georgia" w:hAnsi="Georgia" w:cs="Georgia"/>
          <w:sz w:val="24"/>
          <w:szCs w:val="24"/>
        </w:rPr>
        <w:t xml:space="preserve">Stecher, K., </w:t>
      </w:r>
      <w:proofErr w:type="spellStart"/>
      <w:r>
        <w:rPr>
          <w:rFonts w:ascii="Georgia" w:eastAsia="Georgia" w:hAnsi="Georgia" w:cs="Georgia"/>
          <w:sz w:val="24"/>
          <w:szCs w:val="24"/>
        </w:rPr>
        <w:t>Brosowski</w:t>
      </w:r>
      <w:proofErr w:type="spellEnd"/>
      <w:r>
        <w:rPr>
          <w:rFonts w:ascii="Georgia" w:eastAsia="Georgia" w:hAnsi="Georgia" w:cs="Georgia"/>
          <w:sz w:val="24"/>
          <w:szCs w:val="24"/>
        </w:rPr>
        <w:t xml:space="preserve">, A., &amp; </w:t>
      </w:r>
      <w:proofErr w:type="spellStart"/>
      <w:r>
        <w:rPr>
          <w:rFonts w:ascii="Georgia" w:eastAsia="Georgia" w:hAnsi="Georgia" w:cs="Georgia"/>
          <w:sz w:val="24"/>
          <w:szCs w:val="24"/>
        </w:rPr>
        <w:t>Thrän</w:t>
      </w:r>
      <w:proofErr w:type="spellEnd"/>
      <w:r>
        <w:rPr>
          <w:rFonts w:ascii="Georgia" w:eastAsia="Georgia" w:hAnsi="Georgia" w:cs="Georgia"/>
          <w:sz w:val="24"/>
          <w:szCs w:val="24"/>
        </w:rPr>
        <w:t xml:space="preserve">, D. (2013). Traditional biomass consumption in sub-Saharan Africa: Implications for energy policy. </w:t>
      </w:r>
      <w:r>
        <w:rPr>
          <w:rFonts w:ascii="Georgia" w:eastAsia="Georgia" w:hAnsi="Georgia" w:cs="Georgia"/>
          <w:i/>
          <w:sz w:val="24"/>
          <w:szCs w:val="24"/>
        </w:rPr>
        <w:t>Renewable Energy Policy Journal,</w:t>
      </w:r>
      <w:r>
        <w:rPr>
          <w:rFonts w:ascii="Georgia" w:eastAsia="Georgia" w:hAnsi="Georgia" w:cs="Georgia"/>
          <w:sz w:val="24"/>
          <w:szCs w:val="24"/>
        </w:rPr>
        <w:t xml:space="preserve"> 12(4), 112-125.</w:t>
      </w:r>
    </w:p>
    <w:p w:rsidR="00E438DA" w:rsidRDefault="00000000">
      <w:pPr>
        <w:spacing w:before="240" w:after="240" w:line="480" w:lineRule="auto"/>
        <w:ind w:left="720"/>
        <w:jc w:val="both"/>
        <w:rPr>
          <w:rFonts w:ascii="Georgia" w:eastAsia="Georgia" w:hAnsi="Georgia" w:cs="Georgia"/>
          <w:i/>
          <w:sz w:val="24"/>
          <w:szCs w:val="24"/>
        </w:rPr>
      </w:pPr>
      <w:r>
        <w:rPr>
          <w:rFonts w:ascii="Georgia" w:eastAsia="Georgia" w:hAnsi="Georgia" w:cs="Georgia"/>
          <w:sz w:val="24"/>
          <w:szCs w:val="24"/>
        </w:rPr>
        <w:t xml:space="preserve">Stulz, </w:t>
      </w:r>
      <w:proofErr w:type="gramStart"/>
      <w:r>
        <w:rPr>
          <w:rFonts w:ascii="Georgia" w:eastAsia="Georgia" w:hAnsi="Georgia" w:cs="Georgia"/>
          <w:sz w:val="24"/>
          <w:szCs w:val="24"/>
        </w:rPr>
        <w:t>R.M.(</w:t>
      </w:r>
      <w:proofErr w:type="gramEnd"/>
      <w:r>
        <w:rPr>
          <w:rFonts w:ascii="Georgia" w:eastAsia="Georgia" w:hAnsi="Georgia" w:cs="Georgia"/>
          <w:sz w:val="24"/>
          <w:szCs w:val="24"/>
        </w:rPr>
        <w:t xml:space="preserve">2000.) Financial structure-economic growth perspectives developing </w:t>
      </w:r>
      <w:proofErr w:type="spellStart"/>
      <w:r>
        <w:rPr>
          <w:rFonts w:ascii="Georgia" w:eastAsia="Georgia" w:hAnsi="Georgia" w:cs="Georgia"/>
          <w:sz w:val="24"/>
          <w:szCs w:val="24"/>
        </w:rPr>
        <w:t>countries.</w:t>
      </w:r>
      <w:r>
        <w:rPr>
          <w:rFonts w:ascii="Georgia" w:eastAsia="Georgia" w:hAnsi="Georgia" w:cs="Georgia"/>
          <w:i/>
          <w:sz w:val="24"/>
          <w:szCs w:val="24"/>
        </w:rPr>
        <w:t>MIT</w:t>
      </w:r>
      <w:proofErr w:type="spellEnd"/>
      <w:r>
        <w:rPr>
          <w:rFonts w:ascii="Georgia" w:eastAsia="Georgia" w:hAnsi="Georgia" w:cs="Georgia"/>
          <w:i/>
          <w:sz w:val="24"/>
          <w:szCs w:val="24"/>
        </w:rPr>
        <w:t xml:space="preserve"> Press.</w:t>
      </w:r>
    </w:p>
    <w:p w:rsidR="00E438DA" w:rsidRDefault="00000000">
      <w:pPr>
        <w:spacing w:before="240" w:after="240" w:line="480" w:lineRule="auto"/>
        <w:ind w:left="720"/>
        <w:jc w:val="both"/>
        <w:rPr>
          <w:rFonts w:ascii="Georgia" w:eastAsia="Georgia" w:hAnsi="Georgia" w:cs="Georgia"/>
          <w:i/>
          <w:sz w:val="24"/>
          <w:szCs w:val="24"/>
        </w:rPr>
      </w:pPr>
      <w:proofErr w:type="spellStart"/>
      <w:proofErr w:type="gramStart"/>
      <w:r>
        <w:rPr>
          <w:rFonts w:ascii="Georgia" w:eastAsia="Georgia" w:hAnsi="Georgia" w:cs="Georgia"/>
          <w:sz w:val="24"/>
          <w:szCs w:val="24"/>
        </w:rPr>
        <w:t>Uzar,U</w:t>
      </w:r>
      <w:proofErr w:type="spellEnd"/>
      <w:r>
        <w:rPr>
          <w:rFonts w:ascii="Georgia" w:eastAsia="Georgia" w:hAnsi="Georgia" w:cs="Georgia"/>
          <w:sz w:val="24"/>
          <w:szCs w:val="24"/>
        </w:rPr>
        <w:t>.</w:t>
      </w:r>
      <w:proofErr w:type="gramEnd"/>
      <w:r>
        <w:rPr>
          <w:rFonts w:ascii="Georgia" w:eastAsia="Georgia" w:hAnsi="Georgia" w:cs="Georgia"/>
          <w:sz w:val="24"/>
          <w:szCs w:val="24"/>
        </w:rPr>
        <w:t>(</w:t>
      </w:r>
      <w:proofErr w:type="gramStart"/>
      <w:r>
        <w:rPr>
          <w:rFonts w:ascii="Georgia" w:eastAsia="Georgia" w:hAnsi="Georgia" w:cs="Georgia"/>
          <w:sz w:val="24"/>
          <w:szCs w:val="24"/>
        </w:rPr>
        <w:t>2020)Institutional</w:t>
      </w:r>
      <w:proofErr w:type="gramEnd"/>
      <w:r>
        <w:rPr>
          <w:rFonts w:ascii="Georgia" w:eastAsia="Georgia" w:hAnsi="Georgia" w:cs="Georgia"/>
          <w:sz w:val="24"/>
          <w:szCs w:val="24"/>
        </w:rPr>
        <w:t xml:space="preserve"> quality-renewable nexus emerging markets.</w:t>
      </w:r>
      <w:r>
        <w:rPr>
          <w:rFonts w:ascii="Georgia" w:eastAsia="Georgia" w:hAnsi="Georgia" w:cs="Georgia"/>
          <w:i/>
          <w:sz w:val="24"/>
          <w:szCs w:val="24"/>
        </w:rPr>
        <w:t xml:space="preserve"> Renewable Energy</w:t>
      </w:r>
    </w:p>
    <w:p w:rsidR="00E438DA" w:rsidRDefault="00000000">
      <w:pPr>
        <w:spacing w:before="240" w:after="240" w:line="480" w:lineRule="auto"/>
        <w:ind w:left="720"/>
        <w:jc w:val="both"/>
        <w:rPr>
          <w:rFonts w:ascii="Georgia" w:eastAsia="Georgia" w:hAnsi="Georgia" w:cs="Georgia"/>
          <w:sz w:val="24"/>
          <w:szCs w:val="24"/>
        </w:rPr>
      </w:pPr>
      <w:r>
        <w:rPr>
          <w:rFonts w:ascii="Georgia" w:eastAsia="Georgia" w:hAnsi="Georgia" w:cs="Georgia"/>
          <w:sz w:val="24"/>
          <w:szCs w:val="24"/>
        </w:rPr>
        <w:t xml:space="preserve">World Bank Group (WBG). (2021). </w:t>
      </w:r>
      <w:r>
        <w:rPr>
          <w:rFonts w:ascii="Georgia" w:eastAsia="Georgia" w:hAnsi="Georgia" w:cs="Georgia"/>
          <w:i/>
          <w:sz w:val="24"/>
          <w:szCs w:val="24"/>
        </w:rPr>
        <w:t>World Development Indicators</w:t>
      </w:r>
      <w:r>
        <w:rPr>
          <w:rFonts w:ascii="Georgia" w:eastAsia="Georgia" w:hAnsi="Georgia" w:cs="Georgia"/>
          <w:sz w:val="24"/>
          <w:szCs w:val="24"/>
        </w:rPr>
        <w:t>. World Bank Publications.</w:t>
      </w:r>
    </w:p>
    <w:p w:rsidR="00E438DA" w:rsidRDefault="00000000">
      <w:pPr>
        <w:spacing w:before="240" w:after="240" w:line="480" w:lineRule="auto"/>
        <w:ind w:left="720"/>
        <w:jc w:val="both"/>
        <w:rPr>
          <w:rFonts w:ascii="Georgia" w:eastAsia="Georgia" w:hAnsi="Georgia" w:cs="Georgia"/>
          <w:sz w:val="24"/>
          <w:szCs w:val="24"/>
        </w:rPr>
      </w:pPr>
      <w:r>
        <w:rPr>
          <w:rFonts w:ascii="Georgia" w:eastAsia="Georgia" w:hAnsi="Georgia" w:cs="Georgia"/>
          <w:sz w:val="24"/>
          <w:szCs w:val="24"/>
        </w:rPr>
        <w:t>World Governance Indicators (WGI) Database. (2019). Institutional quality measures dataset [Data set]. World Bank Group.</w:t>
      </w:r>
    </w:p>
    <w:p w:rsidR="00E438DA" w:rsidRDefault="00000000">
      <w:pPr>
        <w:spacing w:before="240" w:after="240" w:line="480" w:lineRule="auto"/>
        <w:ind w:left="720"/>
        <w:jc w:val="both"/>
        <w:rPr>
          <w:rFonts w:ascii="Georgia" w:eastAsia="Georgia" w:hAnsi="Georgia" w:cs="Georgia"/>
          <w:sz w:val="24"/>
          <w:szCs w:val="24"/>
        </w:rPr>
      </w:pPr>
      <w:r>
        <w:rPr>
          <w:rFonts w:ascii="Georgia" w:eastAsia="Georgia" w:hAnsi="Georgia" w:cs="Georgia"/>
          <w:sz w:val="24"/>
          <w:szCs w:val="24"/>
        </w:rPr>
        <w:t xml:space="preserve">Wu, Y., &amp; Broadstock, D. C. (2015). Institutional quality and renewable energy use in developing countries: An empirical analysis. </w:t>
      </w:r>
      <w:r>
        <w:rPr>
          <w:rFonts w:ascii="Georgia" w:eastAsia="Georgia" w:hAnsi="Georgia" w:cs="Georgia"/>
          <w:i/>
          <w:sz w:val="24"/>
          <w:szCs w:val="24"/>
        </w:rPr>
        <w:t>Energy Policy Journal,</w:t>
      </w:r>
      <w:r>
        <w:rPr>
          <w:rFonts w:ascii="Georgia" w:eastAsia="Georgia" w:hAnsi="Georgia" w:cs="Georgia"/>
          <w:sz w:val="24"/>
          <w:szCs w:val="24"/>
        </w:rPr>
        <w:t xml:space="preserve"> 38(5), 2528–2535.</w:t>
      </w:r>
    </w:p>
    <w:p w:rsidR="00E438DA" w:rsidRDefault="00E438DA">
      <w:pPr>
        <w:spacing w:before="240" w:after="240" w:line="480" w:lineRule="auto"/>
        <w:ind w:left="720"/>
        <w:jc w:val="both"/>
        <w:rPr>
          <w:rFonts w:ascii="Georgia" w:eastAsia="Georgia" w:hAnsi="Georgia" w:cs="Georgia"/>
          <w:sz w:val="24"/>
          <w:szCs w:val="24"/>
        </w:rPr>
      </w:pPr>
    </w:p>
    <w:p w:rsidR="00E438DA" w:rsidRDefault="00E438DA">
      <w:pPr>
        <w:spacing w:before="240" w:after="240" w:line="480" w:lineRule="auto"/>
        <w:ind w:left="720"/>
        <w:jc w:val="both"/>
        <w:rPr>
          <w:rFonts w:ascii="Georgia" w:eastAsia="Georgia" w:hAnsi="Georgia" w:cs="Georgia"/>
          <w:sz w:val="24"/>
          <w:szCs w:val="24"/>
        </w:rPr>
      </w:pPr>
    </w:p>
    <w:p w:rsidR="00E438DA" w:rsidRDefault="00E438DA">
      <w:pPr>
        <w:spacing w:before="240" w:after="240" w:line="480" w:lineRule="auto"/>
        <w:ind w:left="720"/>
        <w:jc w:val="both"/>
        <w:rPr>
          <w:rFonts w:ascii="Georgia" w:eastAsia="Georgia" w:hAnsi="Georgia" w:cs="Georgia"/>
          <w:sz w:val="24"/>
          <w:szCs w:val="24"/>
        </w:rPr>
      </w:pPr>
    </w:p>
    <w:p w:rsidR="00E438DA" w:rsidRDefault="00E438DA">
      <w:pPr>
        <w:spacing w:before="240" w:after="240" w:line="480" w:lineRule="auto"/>
        <w:ind w:left="720"/>
        <w:jc w:val="both"/>
        <w:rPr>
          <w:rFonts w:ascii="Georgia" w:eastAsia="Georgia" w:hAnsi="Georgia" w:cs="Georgia"/>
          <w:sz w:val="24"/>
          <w:szCs w:val="24"/>
        </w:rPr>
      </w:pPr>
    </w:p>
    <w:p w:rsidR="00E438DA" w:rsidRDefault="00E438DA">
      <w:pPr>
        <w:spacing w:before="240" w:after="240" w:line="480" w:lineRule="auto"/>
        <w:ind w:left="720"/>
        <w:jc w:val="both"/>
        <w:rPr>
          <w:rFonts w:ascii="Georgia" w:eastAsia="Georgia" w:hAnsi="Georgia" w:cs="Georgia"/>
          <w:sz w:val="24"/>
          <w:szCs w:val="24"/>
        </w:rPr>
      </w:pPr>
    </w:p>
    <w:p w:rsidR="00E438DA" w:rsidRDefault="00000000">
      <w:pPr>
        <w:widowControl w:val="0"/>
        <w:spacing w:before="240" w:after="240" w:line="240" w:lineRule="auto"/>
        <w:ind w:left="720"/>
        <w:jc w:val="both"/>
        <w:rPr>
          <w:rFonts w:ascii="Georgia" w:eastAsia="Georgia" w:hAnsi="Georgia" w:cs="Georgia"/>
          <w:b/>
        </w:rPr>
      </w:pPr>
      <w:r>
        <w:rPr>
          <w:rFonts w:ascii="Georgia" w:eastAsia="Georgia" w:hAnsi="Georgia" w:cs="Georgia"/>
          <w:b/>
        </w:rPr>
        <w:t>Appendix</w:t>
      </w:r>
    </w:p>
    <w:p w:rsidR="00E438DA" w:rsidRDefault="00000000">
      <w:pPr>
        <w:widowControl w:val="0"/>
        <w:spacing w:before="240" w:after="240" w:line="240" w:lineRule="auto"/>
        <w:ind w:left="720"/>
        <w:jc w:val="both"/>
        <w:rPr>
          <w:rFonts w:ascii="Times New Roman" w:eastAsia="Times New Roman" w:hAnsi="Times New Roman" w:cs="Times New Roman"/>
        </w:rPr>
      </w:pPr>
      <w:r>
        <w:rPr>
          <w:rFonts w:ascii="Georgia" w:eastAsia="Georgia" w:hAnsi="Georgia" w:cs="Georgia"/>
          <w:b/>
        </w:rPr>
        <w:t>Table 1: List of Middle-Income Countries</w:t>
      </w:r>
    </w:p>
    <w:sdt>
      <w:sdtPr>
        <w:tag w:val="goog_rdk_21"/>
        <w:id w:val="-2082748984"/>
        <w:lock w:val="contentLocked"/>
      </w:sdtPr>
      <w:sdtContent>
        <w:tbl>
          <w:tblPr>
            <w:tblStyle w:val="af0"/>
            <w:tblW w:w="10230" w:type="dxa"/>
            <w:tblInd w:w="-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0"/>
            <w:gridCol w:w="1875"/>
            <w:gridCol w:w="615"/>
            <w:gridCol w:w="1995"/>
            <w:gridCol w:w="615"/>
            <w:gridCol w:w="2055"/>
            <w:gridCol w:w="660"/>
            <w:gridCol w:w="1845"/>
          </w:tblGrid>
          <w:tr w:rsidR="00E438DA">
            <w:tc>
              <w:tcPr>
                <w:tcW w:w="570" w:type="dxa"/>
                <w:shd w:val="clear" w:color="auto" w:fill="auto"/>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1)</w:t>
                </w:r>
              </w:p>
            </w:tc>
            <w:tc>
              <w:tcPr>
                <w:tcW w:w="1875" w:type="dxa"/>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Angola</w:t>
                </w:r>
              </w:p>
            </w:tc>
            <w:tc>
              <w:tcPr>
                <w:tcW w:w="615" w:type="dxa"/>
                <w:shd w:val="clear" w:color="auto" w:fill="auto"/>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9)</w:t>
                </w:r>
              </w:p>
            </w:tc>
            <w:tc>
              <w:tcPr>
                <w:tcW w:w="1995" w:type="dxa"/>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Haiti</w:t>
                </w:r>
              </w:p>
            </w:tc>
            <w:tc>
              <w:tcPr>
                <w:tcW w:w="615" w:type="dxa"/>
                <w:tcBorders>
                  <w:right w:val="single" w:sz="6" w:space="0" w:color="000000"/>
                </w:tcBorders>
                <w:tcMar>
                  <w:top w:w="0" w:type="dxa"/>
                  <w:left w:w="0" w:type="dxa"/>
                  <w:bottom w:w="0" w:type="dxa"/>
                  <w:right w:w="0" w:type="dxa"/>
                </w:tcMar>
                <w:vAlign w:val="bottom"/>
              </w:tcPr>
              <w:p w:rsidR="00E438DA" w:rsidRDefault="00000000">
                <w:pPr>
                  <w:widowControl w:val="0"/>
                  <w:jc w:val="center"/>
                  <w:rPr>
                    <w:rFonts w:ascii="Times New Roman" w:eastAsia="Times New Roman" w:hAnsi="Times New Roman" w:cs="Times New Roman"/>
                    <w:b/>
                  </w:rPr>
                </w:pPr>
                <w:r>
                  <w:rPr>
                    <w:rFonts w:ascii="Times New Roman" w:eastAsia="Times New Roman" w:hAnsi="Times New Roman" w:cs="Times New Roman"/>
                    <w:b/>
                  </w:rPr>
                  <w:t>17)</w:t>
                </w:r>
              </w:p>
            </w:tc>
            <w:tc>
              <w:tcPr>
                <w:tcW w:w="2055" w:type="dxa"/>
                <w:tcBorders>
                  <w:right w:val="single" w:sz="6" w:space="0" w:color="000000"/>
                </w:tcBorders>
                <w:tcMar>
                  <w:top w:w="0" w:type="dxa"/>
                  <w:left w:w="0" w:type="dxa"/>
                  <w:bottom w:w="0" w:type="dxa"/>
                  <w:right w:w="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Nicaragua</w:t>
                </w:r>
              </w:p>
            </w:tc>
            <w:tc>
              <w:tcPr>
                <w:tcW w:w="660" w:type="dxa"/>
                <w:tcBorders>
                  <w:right w:val="single" w:sz="6" w:space="0" w:color="000000"/>
                </w:tcBorders>
                <w:tcMar>
                  <w:top w:w="0" w:type="dxa"/>
                  <w:left w:w="0" w:type="dxa"/>
                  <w:bottom w:w="0" w:type="dxa"/>
                  <w:right w:w="0" w:type="dxa"/>
                </w:tcMar>
                <w:vAlign w:val="bottom"/>
              </w:tcPr>
              <w:p w:rsidR="00E438DA" w:rsidRDefault="00000000">
                <w:pPr>
                  <w:widowControl w:val="0"/>
                  <w:jc w:val="center"/>
                  <w:rPr>
                    <w:rFonts w:ascii="Times New Roman" w:eastAsia="Times New Roman" w:hAnsi="Times New Roman" w:cs="Times New Roman"/>
                    <w:b/>
                  </w:rPr>
                </w:pPr>
                <w:r>
                  <w:rPr>
                    <w:rFonts w:ascii="Times New Roman" w:eastAsia="Times New Roman" w:hAnsi="Times New Roman" w:cs="Times New Roman"/>
                    <w:b/>
                  </w:rPr>
                  <w:t>25)</w:t>
                </w:r>
              </w:p>
            </w:tc>
            <w:tc>
              <w:tcPr>
                <w:tcW w:w="1845" w:type="dxa"/>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Tanzania</w:t>
                </w:r>
              </w:p>
            </w:tc>
          </w:tr>
          <w:tr w:rsidR="00E438DA">
            <w:tc>
              <w:tcPr>
                <w:tcW w:w="570" w:type="dxa"/>
                <w:shd w:val="clear" w:color="auto" w:fill="auto"/>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2)</w:t>
                </w:r>
              </w:p>
            </w:tc>
            <w:tc>
              <w:tcPr>
                <w:tcW w:w="1875" w:type="dxa"/>
                <w:tcBorders>
                  <w:right w:val="single" w:sz="6" w:space="0" w:color="000000"/>
                </w:tcBorders>
                <w:tcMar>
                  <w:top w:w="0" w:type="dxa"/>
                  <w:left w:w="0" w:type="dxa"/>
                  <w:bottom w:w="0" w:type="dxa"/>
                  <w:right w:w="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Bangladesh</w:t>
                </w:r>
              </w:p>
            </w:tc>
            <w:tc>
              <w:tcPr>
                <w:tcW w:w="615" w:type="dxa"/>
                <w:shd w:val="clear" w:color="auto" w:fill="auto"/>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10)</w:t>
                </w:r>
              </w:p>
            </w:tc>
            <w:tc>
              <w:tcPr>
                <w:tcW w:w="1995" w:type="dxa"/>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Honduras</w:t>
                </w:r>
              </w:p>
            </w:tc>
            <w:tc>
              <w:tcPr>
                <w:tcW w:w="615" w:type="dxa"/>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b/>
                  </w:rPr>
                </w:pPr>
                <w:r>
                  <w:rPr>
                    <w:rFonts w:ascii="Times New Roman" w:eastAsia="Times New Roman" w:hAnsi="Times New Roman" w:cs="Times New Roman"/>
                    <w:b/>
                  </w:rPr>
                  <w:t>18)</w:t>
                </w:r>
              </w:p>
            </w:tc>
            <w:tc>
              <w:tcPr>
                <w:tcW w:w="2055" w:type="dxa"/>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Nigeria</w:t>
                </w:r>
              </w:p>
            </w:tc>
            <w:tc>
              <w:tcPr>
                <w:tcW w:w="660" w:type="dxa"/>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b/>
                  </w:rPr>
                </w:pPr>
                <w:r>
                  <w:rPr>
                    <w:rFonts w:ascii="Times New Roman" w:eastAsia="Times New Roman" w:hAnsi="Times New Roman" w:cs="Times New Roman"/>
                    <w:b/>
                  </w:rPr>
                  <w:t>26)</w:t>
                </w:r>
              </w:p>
            </w:tc>
            <w:tc>
              <w:tcPr>
                <w:tcW w:w="1845" w:type="dxa"/>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Tunisia</w:t>
                </w:r>
              </w:p>
            </w:tc>
          </w:tr>
          <w:tr w:rsidR="00E438DA">
            <w:tc>
              <w:tcPr>
                <w:tcW w:w="570" w:type="dxa"/>
                <w:shd w:val="clear" w:color="auto" w:fill="auto"/>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3)</w:t>
                </w:r>
              </w:p>
            </w:tc>
            <w:tc>
              <w:tcPr>
                <w:tcW w:w="1875" w:type="dxa"/>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Bolivia</w:t>
                </w:r>
              </w:p>
            </w:tc>
            <w:tc>
              <w:tcPr>
                <w:tcW w:w="615" w:type="dxa"/>
                <w:shd w:val="clear" w:color="auto" w:fill="auto"/>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11)</w:t>
                </w:r>
              </w:p>
            </w:tc>
            <w:tc>
              <w:tcPr>
                <w:tcW w:w="1995" w:type="dxa"/>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India</w:t>
                </w:r>
              </w:p>
            </w:tc>
            <w:tc>
              <w:tcPr>
                <w:tcW w:w="615" w:type="dxa"/>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b/>
                  </w:rPr>
                </w:pPr>
                <w:r>
                  <w:rPr>
                    <w:rFonts w:ascii="Times New Roman" w:eastAsia="Times New Roman" w:hAnsi="Times New Roman" w:cs="Times New Roman"/>
                    <w:b/>
                  </w:rPr>
                  <w:t>19)</w:t>
                </w:r>
              </w:p>
            </w:tc>
            <w:tc>
              <w:tcPr>
                <w:tcW w:w="2055" w:type="dxa"/>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Pakistan</w:t>
                </w:r>
              </w:p>
            </w:tc>
            <w:tc>
              <w:tcPr>
                <w:tcW w:w="660" w:type="dxa"/>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b/>
                  </w:rPr>
                </w:pPr>
                <w:r>
                  <w:rPr>
                    <w:rFonts w:ascii="Times New Roman" w:eastAsia="Times New Roman" w:hAnsi="Times New Roman" w:cs="Times New Roman"/>
                    <w:b/>
                  </w:rPr>
                  <w:t>27)</w:t>
                </w:r>
              </w:p>
            </w:tc>
            <w:tc>
              <w:tcPr>
                <w:tcW w:w="1845" w:type="dxa"/>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Vietnam</w:t>
                </w:r>
              </w:p>
            </w:tc>
          </w:tr>
          <w:tr w:rsidR="00E438DA">
            <w:tc>
              <w:tcPr>
                <w:tcW w:w="570" w:type="dxa"/>
                <w:shd w:val="clear" w:color="auto" w:fill="auto"/>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4)</w:t>
                </w:r>
              </w:p>
            </w:tc>
            <w:tc>
              <w:tcPr>
                <w:tcW w:w="1875" w:type="dxa"/>
                <w:tcBorders>
                  <w:right w:val="single" w:sz="6" w:space="0" w:color="000000"/>
                </w:tcBorders>
                <w:tcMar>
                  <w:top w:w="0" w:type="dxa"/>
                  <w:left w:w="0" w:type="dxa"/>
                  <w:bottom w:w="0" w:type="dxa"/>
                  <w:right w:w="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Cameroon</w:t>
                </w:r>
              </w:p>
            </w:tc>
            <w:tc>
              <w:tcPr>
                <w:tcW w:w="615" w:type="dxa"/>
                <w:shd w:val="clear" w:color="auto" w:fill="auto"/>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12)</w:t>
                </w:r>
              </w:p>
            </w:tc>
            <w:tc>
              <w:tcPr>
                <w:tcW w:w="1995" w:type="dxa"/>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Jordan</w:t>
                </w:r>
              </w:p>
            </w:tc>
            <w:tc>
              <w:tcPr>
                <w:tcW w:w="615" w:type="dxa"/>
                <w:tcBorders>
                  <w:right w:val="single" w:sz="6" w:space="0" w:color="000000"/>
                </w:tcBorders>
                <w:tcMar>
                  <w:top w:w="0" w:type="dxa"/>
                  <w:left w:w="0" w:type="dxa"/>
                  <w:bottom w:w="0" w:type="dxa"/>
                  <w:right w:w="0" w:type="dxa"/>
                </w:tcMar>
                <w:vAlign w:val="bottom"/>
              </w:tcPr>
              <w:p w:rsidR="00E438DA" w:rsidRDefault="00000000">
                <w:pPr>
                  <w:widowControl w:val="0"/>
                  <w:jc w:val="center"/>
                  <w:rPr>
                    <w:rFonts w:ascii="Times New Roman" w:eastAsia="Times New Roman" w:hAnsi="Times New Roman" w:cs="Times New Roman"/>
                    <w:b/>
                  </w:rPr>
                </w:pPr>
                <w:r>
                  <w:rPr>
                    <w:rFonts w:ascii="Times New Roman" w:eastAsia="Times New Roman" w:hAnsi="Times New Roman" w:cs="Times New Roman"/>
                    <w:b/>
                  </w:rPr>
                  <w:t>20)</w:t>
                </w:r>
              </w:p>
            </w:tc>
            <w:tc>
              <w:tcPr>
                <w:tcW w:w="2055" w:type="dxa"/>
                <w:tcBorders>
                  <w:right w:val="single" w:sz="6" w:space="0" w:color="000000"/>
                </w:tcBorders>
                <w:tcMar>
                  <w:top w:w="0" w:type="dxa"/>
                  <w:left w:w="0" w:type="dxa"/>
                  <w:bottom w:w="0" w:type="dxa"/>
                  <w:right w:w="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Papua New Guinea</w:t>
                </w:r>
              </w:p>
            </w:tc>
            <w:tc>
              <w:tcPr>
                <w:tcW w:w="660" w:type="dxa"/>
                <w:tcBorders>
                  <w:right w:val="single" w:sz="6" w:space="0" w:color="000000"/>
                </w:tcBorders>
                <w:tcMar>
                  <w:top w:w="0" w:type="dxa"/>
                  <w:left w:w="0" w:type="dxa"/>
                  <w:bottom w:w="0" w:type="dxa"/>
                  <w:right w:w="0" w:type="dxa"/>
                </w:tcMar>
                <w:vAlign w:val="bottom"/>
              </w:tcPr>
              <w:p w:rsidR="00E438DA" w:rsidRDefault="00E438DA">
                <w:pPr>
                  <w:widowControl w:val="0"/>
                  <w:jc w:val="center"/>
                  <w:rPr>
                    <w:rFonts w:ascii="Times New Roman" w:eastAsia="Times New Roman" w:hAnsi="Times New Roman" w:cs="Times New Roman"/>
                  </w:rPr>
                </w:pPr>
              </w:p>
            </w:tc>
            <w:tc>
              <w:tcPr>
                <w:tcW w:w="1845" w:type="dxa"/>
                <w:tcBorders>
                  <w:right w:val="single" w:sz="6" w:space="0" w:color="000000"/>
                </w:tcBorders>
                <w:tcMar>
                  <w:top w:w="0" w:type="dxa"/>
                  <w:left w:w="0" w:type="dxa"/>
                  <w:bottom w:w="0" w:type="dxa"/>
                  <w:right w:w="0" w:type="dxa"/>
                </w:tcMar>
                <w:vAlign w:val="bottom"/>
              </w:tcPr>
              <w:p w:rsidR="00E438DA" w:rsidRDefault="00E438DA">
                <w:pPr>
                  <w:widowControl w:val="0"/>
                  <w:jc w:val="center"/>
                  <w:rPr>
                    <w:rFonts w:ascii="Times New Roman" w:eastAsia="Times New Roman" w:hAnsi="Times New Roman" w:cs="Times New Roman"/>
                  </w:rPr>
                </w:pPr>
              </w:p>
            </w:tc>
          </w:tr>
          <w:tr w:rsidR="00E438DA">
            <w:tc>
              <w:tcPr>
                <w:tcW w:w="570" w:type="dxa"/>
                <w:shd w:val="clear" w:color="auto" w:fill="auto"/>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5)</w:t>
                </w:r>
              </w:p>
            </w:tc>
            <w:tc>
              <w:tcPr>
                <w:tcW w:w="1875" w:type="dxa"/>
                <w:tcBorders>
                  <w:right w:val="single" w:sz="6" w:space="0" w:color="000000"/>
                </w:tcBorders>
                <w:tcMar>
                  <w:top w:w="0" w:type="dxa"/>
                  <w:left w:w="0" w:type="dxa"/>
                  <w:bottom w:w="0" w:type="dxa"/>
                  <w:right w:w="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Congo, Rep.</w:t>
                </w:r>
              </w:p>
            </w:tc>
            <w:tc>
              <w:tcPr>
                <w:tcW w:w="615" w:type="dxa"/>
                <w:shd w:val="clear" w:color="auto" w:fill="auto"/>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13)</w:t>
                </w:r>
              </w:p>
            </w:tc>
            <w:tc>
              <w:tcPr>
                <w:tcW w:w="1995" w:type="dxa"/>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Kenya</w:t>
                </w:r>
              </w:p>
            </w:tc>
            <w:tc>
              <w:tcPr>
                <w:tcW w:w="615" w:type="dxa"/>
                <w:tcBorders>
                  <w:right w:val="single" w:sz="6" w:space="0" w:color="000000"/>
                </w:tcBorders>
                <w:tcMar>
                  <w:top w:w="0" w:type="dxa"/>
                  <w:left w:w="0" w:type="dxa"/>
                  <w:bottom w:w="0" w:type="dxa"/>
                  <w:right w:w="0" w:type="dxa"/>
                </w:tcMar>
                <w:vAlign w:val="bottom"/>
              </w:tcPr>
              <w:p w:rsidR="00E438DA" w:rsidRDefault="00000000">
                <w:pPr>
                  <w:widowControl w:val="0"/>
                  <w:jc w:val="center"/>
                  <w:rPr>
                    <w:rFonts w:ascii="Times New Roman" w:eastAsia="Times New Roman" w:hAnsi="Times New Roman" w:cs="Times New Roman"/>
                    <w:b/>
                  </w:rPr>
                </w:pPr>
                <w:r>
                  <w:rPr>
                    <w:rFonts w:ascii="Times New Roman" w:eastAsia="Times New Roman" w:hAnsi="Times New Roman" w:cs="Times New Roman"/>
                    <w:b/>
                  </w:rPr>
                  <w:t>21)</w:t>
                </w:r>
              </w:p>
            </w:tc>
            <w:tc>
              <w:tcPr>
                <w:tcW w:w="2055" w:type="dxa"/>
                <w:tcBorders>
                  <w:right w:val="single" w:sz="6" w:space="0" w:color="000000"/>
                </w:tcBorders>
                <w:tcMar>
                  <w:top w:w="0" w:type="dxa"/>
                  <w:left w:w="0" w:type="dxa"/>
                  <w:bottom w:w="0" w:type="dxa"/>
                  <w:right w:w="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Philippines</w:t>
                </w:r>
              </w:p>
            </w:tc>
            <w:tc>
              <w:tcPr>
                <w:tcW w:w="660" w:type="dxa"/>
                <w:tcBorders>
                  <w:right w:val="single" w:sz="6" w:space="0" w:color="000000"/>
                </w:tcBorders>
                <w:tcMar>
                  <w:top w:w="0" w:type="dxa"/>
                  <w:left w:w="0" w:type="dxa"/>
                  <w:bottom w:w="0" w:type="dxa"/>
                  <w:right w:w="0" w:type="dxa"/>
                </w:tcMar>
                <w:vAlign w:val="bottom"/>
              </w:tcPr>
              <w:p w:rsidR="00E438DA" w:rsidRDefault="00E438DA">
                <w:pPr>
                  <w:widowControl w:val="0"/>
                  <w:jc w:val="center"/>
                  <w:rPr>
                    <w:rFonts w:ascii="Times New Roman" w:eastAsia="Times New Roman" w:hAnsi="Times New Roman" w:cs="Times New Roman"/>
                  </w:rPr>
                </w:pPr>
              </w:p>
            </w:tc>
            <w:tc>
              <w:tcPr>
                <w:tcW w:w="1845" w:type="dxa"/>
                <w:tcBorders>
                  <w:right w:val="single" w:sz="6" w:space="0" w:color="000000"/>
                </w:tcBorders>
                <w:tcMar>
                  <w:top w:w="0" w:type="dxa"/>
                  <w:left w:w="0" w:type="dxa"/>
                  <w:bottom w:w="0" w:type="dxa"/>
                  <w:right w:w="0" w:type="dxa"/>
                </w:tcMar>
                <w:vAlign w:val="bottom"/>
              </w:tcPr>
              <w:p w:rsidR="00E438DA" w:rsidRDefault="00E438DA">
                <w:pPr>
                  <w:widowControl w:val="0"/>
                  <w:jc w:val="center"/>
                  <w:rPr>
                    <w:rFonts w:ascii="Times New Roman" w:eastAsia="Times New Roman" w:hAnsi="Times New Roman" w:cs="Times New Roman"/>
                  </w:rPr>
                </w:pPr>
              </w:p>
            </w:tc>
          </w:tr>
          <w:tr w:rsidR="00E438DA">
            <w:tc>
              <w:tcPr>
                <w:tcW w:w="570" w:type="dxa"/>
                <w:shd w:val="clear" w:color="auto" w:fill="auto"/>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6)</w:t>
                </w:r>
              </w:p>
            </w:tc>
            <w:tc>
              <w:tcPr>
                <w:tcW w:w="1875" w:type="dxa"/>
                <w:tcBorders>
                  <w:right w:val="single" w:sz="6" w:space="0" w:color="000000"/>
                </w:tcBorders>
                <w:tcMar>
                  <w:top w:w="0" w:type="dxa"/>
                  <w:left w:w="0" w:type="dxa"/>
                  <w:bottom w:w="0" w:type="dxa"/>
                  <w:right w:w="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Côte d'Ivoire</w:t>
                </w:r>
              </w:p>
            </w:tc>
            <w:tc>
              <w:tcPr>
                <w:tcW w:w="615" w:type="dxa"/>
                <w:shd w:val="clear" w:color="auto" w:fill="auto"/>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14)</w:t>
                </w:r>
              </w:p>
            </w:tc>
            <w:tc>
              <w:tcPr>
                <w:tcW w:w="1995" w:type="dxa"/>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Lebanon</w:t>
                </w:r>
              </w:p>
            </w:tc>
            <w:tc>
              <w:tcPr>
                <w:tcW w:w="615" w:type="dxa"/>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b/>
                  </w:rPr>
                </w:pPr>
                <w:r>
                  <w:rPr>
                    <w:rFonts w:ascii="Times New Roman" w:eastAsia="Times New Roman" w:hAnsi="Times New Roman" w:cs="Times New Roman"/>
                    <w:b/>
                  </w:rPr>
                  <w:t>22)</w:t>
                </w:r>
              </w:p>
            </w:tc>
            <w:tc>
              <w:tcPr>
                <w:tcW w:w="2055" w:type="dxa"/>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Senegal</w:t>
                </w:r>
              </w:p>
            </w:tc>
            <w:tc>
              <w:tcPr>
                <w:tcW w:w="660" w:type="dxa"/>
                <w:tcMar>
                  <w:top w:w="0" w:type="dxa"/>
                  <w:left w:w="40" w:type="dxa"/>
                  <w:bottom w:w="0" w:type="dxa"/>
                  <w:right w:w="40" w:type="dxa"/>
                </w:tcMar>
                <w:vAlign w:val="bottom"/>
              </w:tcPr>
              <w:p w:rsidR="00E438DA" w:rsidRDefault="00E438DA">
                <w:pPr>
                  <w:widowControl w:val="0"/>
                  <w:jc w:val="center"/>
                  <w:rPr>
                    <w:rFonts w:ascii="Times New Roman" w:eastAsia="Times New Roman" w:hAnsi="Times New Roman" w:cs="Times New Roman"/>
                  </w:rPr>
                </w:pPr>
              </w:p>
            </w:tc>
            <w:tc>
              <w:tcPr>
                <w:tcW w:w="1845" w:type="dxa"/>
                <w:tcMar>
                  <w:top w:w="0" w:type="dxa"/>
                  <w:left w:w="40" w:type="dxa"/>
                  <w:bottom w:w="0" w:type="dxa"/>
                  <w:right w:w="40" w:type="dxa"/>
                </w:tcMar>
                <w:vAlign w:val="bottom"/>
              </w:tcPr>
              <w:p w:rsidR="00E438DA" w:rsidRDefault="00E438DA">
                <w:pPr>
                  <w:widowControl w:val="0"/>
                  <w:jc w:val="center"/>
                  <w:rPr>
                    <w:rFonts w:ascii="Times New Roman" w:eastAsia="Times New Roman" w:hAnsi="Times New Roman" w:cs="Times New Roman"/>
                  </w:rPr>
                </w:pPr>
              </w:p>
            </w:tc>
          </w:tr>
          <w:tr w:rsidR="00E438DA">
            <w:tc>
              <w:tcPr>
                <w:tcW w:w="570" w:type="dxa"/>
                <w:shd w:val="clear" w:color="auto" w:fill="auto"/>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7)</w:t>
                </w:r>
              </w:p>
            </w:tc>
            <w:tc>
              <w:tcPr>
                <w:tcW w:w="1875" w:type="dxa"/>
                <w:tcBorders>
                  <w:right w:val="single" w:sz="6" w:space="0" w:color="000000"/>
                </w:tcBorders>
                <w:tcMar>
                  <w:top w:w="0" w:type="dxa"/>
                  <w:left w:w="0" w:type="dxa"/>
                  <w:bottom w:w="0" w:type="dxa"/>
                  <w:right w:w="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Egypt, Arab Rep.</w:t>
                </w:r>
              </w:p>
            </w:tc>
            <w:tc>
              <w:tcPr>
                <w:tcW w:w="615" w:type="dxa"/>
                <w:shd w:val="clear" w:color="auto" w:fill="auto"/>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15)</w:t>
                </w:r>
              </w:p>
            </w:tc>
            <w:tc>
              <w:tcPr>
                <w:tcW w:w="1995" w:type="dxa"/>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Morocco</w:t>
                </w:r>
              </w:p>
            </w:tc>
            <w:tc>
              <w:tcPr>
                <w:tcW w:w="615" w:type="dxa"/>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b/>
                  </w:rPr>
                </w:pPr>
                <w:r>
                  <w:rPr>
                    <w:rFonts w:ascii="Times New Roman" w:eastAsia="Times New Roman" w:hAnsi="Times New Roman" w:cs="Times New Roman"/>
                    <w:b/>
                  </w:rPr>
                  <w:t>23)</w:t>
                </w:r>
              </w:p>
            </w:tc>
            <w:tc>
              <w:tcPr>
                <w:tcW w:w="2055" w:type="dxa"/>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Sri Lanka</w:t>
                </w:r>
              </w:p>
            </w:tc>
            <w:tc>
              <w:tcPr>
                <w:tcW w:w="660" w:type="dxa"/>
                <w:tcMar>
                  <w:top w:w="0" w:type="dxa"/>
                  <w:left w:w="40" w:type="dxa"/>
                  <w:bottom w:w="0" w:type="dxa"/>
                  <w:right w:w="40" w:type="dxa"/>
                </w:tcMar>
                <w:vAlign w:val="bottom"/>
              </w:tcPr>
              <w:p w:rsidR="00E438DA" w:rsidRDefault="00E438DA">
                <w:pPr>
                  <w:widowControl w:val="0"/>
                  <w:jc w:val="center"/>
                  <w:rPr>
                    <w:rFonts w:ascii="Times New Roman" w:eastAsia="Times New Roman" w:hAnsi="Times New Roman" w:cs="Times New Roman"/>
                  </w:rPr>
                </w:pPr>
              </w:p>
            </w:tc>
            <w:tc>
              <w:tcPr>
                <w:tcW w:w="1845" w:type="dxa"/>
                <w:tcMar>
                  <w:top w:w="0" w:type="dxa"/>
                  <w:left w:w="40" w:type="dxa"/>
                  <w:bottom w:w="0" w:type="dxa"/>
                  <w:right w:w="40" w:type="dxa"/>
                </w:tcMar>
                <w:vAlign w:val="bottom"/>
              </w:tcPr>
              <w:p w:rsidR="00E438DA" w:rsidRDefault="00E438DA">
                <w:pPr>
                  <w:widowControl w:val="0"/>
                  <w:jc w:val="center"/>
                  <w:rPr>
                    <w:rFonts w:ascii="Times New Roman" w:eastAsia="Times New Roman" w:hAnsi="Times New Roman" w:cs="Times New Roman"/>
                  </w:rPr>
                </w:pPr>
              </w:p>
            </w:tc>
          </w:tr>
          <w:tr w:rsidR="00E438DA">
            <w:trPr>
              <w:trHeight w:val="29"/>
            </w:trPr>
            <w:tc>
              <w:tcPr>
                <w:tcW w:w="570" w:type="dxa"/>
                <w:shd w:val="clear" w:color="auto" w:fill="auto"/>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8)</w:t>
                </w:r>
              </w:p>
            </w:tc>
            <w:tc>
              <w:tcPr>
                <w:tcW w:w="1875" w:type="dxa"/>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Ghana</w:t>
                </w:r>
              </w:p>
            </w:tc>
            <w:tc>
              <w:tcPr>
                <w:tcW w:w="615" w:type="dxa"/>
                <w:shd w:val="clear" w:color="auto" w:fill="auto"/>
                <w:tcMar>
                  <w:top w:w="100" w:type="dxa"/>
                  <w:left w:w="100" w:type="dxa"/>
                  <w:bottom w:w="100" w:type="dxa"/>
                  <w:right w:w="100" w:type="dxa"/>
                </w:tcMar>
              </w:tcPr>
              <w:p w:rsidR="00E438DA" w:rsidRDefault="00000000">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16)</w:t>
                </w:r>
              </w:p>
            </w:tc>
            <w:tc>
              <w:tcPr>
                <w:tcW w:w="1995" w:type="dxa"/>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Myanmar</w:t>
                </w:r>
              </w:p>
            </w:tc>
            <w:tc>
              <w:tcPr>
                <w:tcW w:w="615" w:type="dxa"/>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b/>
                  </w:rPr>
                </w:pPr>
                <w:r>
                  <w:rPr>
                    <w:rFonts w:ascii="Times New Roman" w:eastAsia="Times New Roman" w:hAnsi="Times New Roman" w:cs="Times New Roman"/>
                    <w:b/>
                  </w:rPr>
                  <w:t>24)</w:t>
                </w:r>
              </w:p>
            </w:tc>
            <w:tc>
              <w:tcPr>
                <w:tcW w:w="2055" w:type="dxa"/>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Tanzania</w:t>
                </w:r>
              </w:p>
            </w:tc>
            <w:tc>
              <w:tcPr>
                <w:tcW w:w="660" w:type="dxa"/>
                <w:tcMar>
                  <w:top w:w="0" w:type="dxa"/>
                  <w:left w:w="40" w:type="dxa"/>
                  <w:bottom w:w="0" w:type="dxa"/>
                  <w:right w:w="40" w:type="dxa"/>
                </w:tcMar>
                <w:vAlign w:val="bottom"/>
              </w:tcPr>
              <w:p w:rsidR="00E438DA" w:rsidRDefault="00E438DA">
                <w:pPr>
                  <w:widowControl w:val="0"/>
                  <w:jc w:val="center"/>
                  <w:rPr>
                    <w:rFonts w:ascii="Times New Roman" w:eastAsia="Times New Roman" w:hAnsi="Times New Roman" w:cs="Times New Roman"/>
                  </w:rPr>
                </w:pPr>
              </w:p>
            </w:tc>
            <w:tc>
              <w:tcPr>
                <w:tcW w:w="1845" w:type="dxa"/>
                <w:tcMar>
                  <w:top w:w="0" w:type="dxa"/>
                  <w:left w:w="40" w:type="dxa"/>
                  <w:bottom w:w="0" w:type="dxa"/>
                  <w:right w:w="40" w:type="dxa"/>
                </w:tcMar>
                <w:vAlign w:val="bottom"/>
              </w:tcPr>
              <w:p w:rsidR="00E438DA" w:rsidRDefault="00000000">
                <w:pPr>
                  <w:widowControl w:val="0"/>
                  <w:jc w:val="center"/>
                  <w:rPr>
                    <w:rFonts w:ascii="Times New Roman" w:eastAsia="Times New Roman" w:hAnsi="Times New Roman" w:cs="Times New Roman"/>
                  </w:rPr>
                </w:pPr>
              </w:p>
            </w:tc>
          </w:tr>
        </w:tbl>
      </w:sdtContent>
    </w:sdt>
    <w:p w:rsidR="00E438DA" w:rsidRDefault="00E438DA">
      <w:pPr>
        <w:jc w:val="both"/>
      </w:pPr>
    </w:p>
    <w:p w:rsidR="00E438DA" w:rsidRDefault="00000000">
      <w:pPr>
        <w:jc w:val="both"/>
        <w:rPr>
          <w:rFonts w:ascii="Georgia" w:eastAsia="Georgia" w:hAnsi="Georgia" w:cs="Georgia"/>
          <w:b/>
          <w:color w:val="666666"/>
          <w:highlight w:val="white"/>
        </w:rPr>
      </w:pPr>
      <w:r>
        <w:rPr>
          <w:rFonts w:ascii="Georgia" w:eastAsia="Georgia" w:hAnsi="Georgia" w:cs="Georgia"/>
          <w:b/>
        </w:rPr>
        <w:t xml:space="preserve">Table </w:t>
      </w:r>
      <w:proofErr w:type="gramStart"/>
      <w:r>
        <w:rPr>
          <w:rFonts w:ascii="Georgia" w:eastAsia="Georgia" w:hAnsi="Georgia" w:cs="Georgia"/>
          <w:b/>
        </w:rPr>
        <w:t>2 :Sources</w:t>
      </w:r>
      <w:proofErr w:type="gramEnd"/>
      <w:r>
        <w:rPr>
          <w:rFonts w:ascii="Georgia" w:eastAsia="Georgia" w:hAnsi="Georgia" w:cs="Georgia"/>
          <w:b/>
        </w:rPr>
        <w:t xml:space="preserve"> of Data and Variables</w:t>
      </w:r>
    </w:p>
    <w:p w:rsidR="00E438DA" w:rsidRDefault="00000000">
      <w:pPr>
        <w:widowControl w:val="0"/>
        <w:jc w:val="both"/>
        <w:rPr>
          <w:rFonts w:ascii="Georgia" w:eastAsia="Georgia" w:hAnsi="Georgia" w:cs="Georgia"/>
          <w:b/>
          <w:color w:val="666666"/>
          <w:highlight w:val="white"/>
        </w:rPr>
      </w:pPr>
      <w:r>
        <w:rPr>
          <w:rFonts w:ascii="Georgia" w:eastAsia="Georgia" w:hAnsi="Georgia" w:cs="Georgia"/>
        </w:rPr>
        <w:t>The panel dataset spans 22 years (2000–2021) and includes 27 lower-middle-income economies.</w:t>
      </w:r>
    </w:p>
    <w:p w:rsidR="00E438DA" w:rsidRDefault="00E438DA">
      <w:pPr>
        <w:widowControl w:val="0"/>
        <w:spacing w:line="240" w:lineRule="auto"/>
        <w:jc w:val="both"/>
        <w:rPr>
          <w:rFonts w:ascii="Georgia" w:eastAsia="Georgia" w:hAnsi="Georgia" w:cs="Georgia"/>
          <w:b/>
          <w:color w:val="666666"/>
          <w:highlight w:val="white"/>
        </w:rPr>
      </w:pPr>
    </w:p>
    <w:sdt>
      <w:sdtPr>
        <w:tag w:val="goog_rdk_22"/>
        <w:id w:val="-209266954"/>
        <w:lock w:val="contentLocked"/>
      </w:sdtPr>
      <w:sdtContent>
        <w:tbl>
          <w:tblPr>
            <w:tblStyle w:val="af1"/>
            <w:tblW w:w="10920" w:type="dxa"/>
            <w:tblInd w:w="-7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90"/>
            <w:gridCol w:w="2340"/>
            <w:gridCol w:w="2565"/>
            <w:gridCol w:w="2925"/>
          </w:tblGrid>
          <w:tr w:rsidR="00E438DA">
            <w:trPr>
              <w:trHeight w:val="407"/>
            </w:trPr>
            <w:tc>
              <w:tcPr>
                <w:tcW w:w="3090" w:type="dxa"/>
                <w:shd w:val="clear" w:color="auto" w:fill="auto"/>
                <w:tcMar>
                  <w:top w:w="100" w:type="dxa"/>
                  <w:left w:w="100" w:type="dxa"/>
                  <w:bottom w:w="100" w:type="dxa"/>
                  <w:right w:w="100" w:type="dxa"/>
                </w:tcMar>
              </w:tcPr>
              <w:p w:rsidR="00E438DA" w:rsidRDefault="00000000">
                <w:pPr>
                  <w:widowControl w:val="0"/>
                  <w:spacing w:line="549" w:lineRule="auto"/>
                  <w:jc w:val="center"/>
                  <w:rPr>
                    <w:rFonts w:ascii="Georgia" w:eastAsia="Georgia" w:hAnsi="Georgia" w:cs="Georgia"/>
                    <w:b/>
                  </w:rPr>
                </w:pPr>
                <w:r>
                  <w:rPr>
                    <w:rFonts w:ascii="Georgia" w:eastAsia="Georgia" w:hAnsi="Georgia" w:cs="Georgia"/>
                    <w:b/>
                  </w:rPr>
                  <w:t>Indicator</w:t>
                </w:r>
              </w:p>
            </w:tc>
            <w:tc>
              <w:tcPr>
                <w:tcW w:w="2340" w:type="dxa"/>
                <w:shd w:val="clear" w:color="auto" w:fill="auto"/>
                <w:tcMar>
                  <w:top w:w="100" w:type="dxa"/>
                  <w:left w:w="100" w:type="dxa"/>
                  <w:bottom w:w="100" w:type="dxa"/>
                  <w:right w:w="100" w:type="dxa"/>
                </w:tcMar>
              </w:tcPr>
              <w:p w:rsidR="00E438DA" w:rsidRDefault="00000000">
                <w:pPr>
                  <w:widowControl w:val="0"/>
                  <w:spacing w:line="549" w:lineRule="auto"/>
                  <w:jc w:val="center"/>
                  <w:rPr>
                    <w:rFonts w:ascii="Georgia" w:eastAsia="Georgia" w:hAnsi="Georgia" w:cs="Georgia"/>
                    <w:b/>
                  </w:rPr>
                </w:pPr>
                <w:r>
                  <w:rPr>
                    <w:rFonts w:ascii="Georgia" w:eastAsia="Georgia" w:hAnsi="Georgia" w:cs="Georgia"/>
                    <w:b/>
                  </w:rPr>
                  <w:t>Description</w:t>
                </w:r>
              </w:p>
            </w:tc>
            <w:tc>
              <w:tcPr>
                <w:tcW w:w="2565" w:type="dxa"/>
                <w:shd w:val="clear" w:color="auto" w:fill="auto"/>
                <w:tcMar>
                  <w:top w:w="100" w:type="dxa"/>
                  <w:left w:w="100" w:type="dxa"/>
                  <w:bottom w:w="100" w:type="dxa"/>
                  <w:right w:w="100" w:type="dxa"/>
                </w:tcMar>
              </w:tcPr>
              <w:p w:rsidR="00E438DA" w:rsidRDefault="00000000">
                <w:pPr>
                  <w:widowControl w:val="0"/>
                  <w:pBdr>
                    <w:top w:val="nil"/>
                    <w:left w:val="nil"/>
                    <w:bottom w:val="nil"/>
                    <w:right w:val="nil"/>
                    <w:between w:val="nil"/>
                  </w:pBdr>
                  <w:spacing w:line="549" w:lineRule="auto"/>
                  <w:jc w:val="center"/>
                  <w:rPr>
                    <w:rFonts w:ascii="Georgia" w:eastAsia="Georgia" w:hAnsi="Georgia" w:cs="Georgia"/>
                    <w:b/>
                  </w:rPr>
                </w:pPr>
                <w:r>
                  <w:rPr>
                    <w:rFonts w:ascii="Georgia" w:eastAsia="Georgia" w:hAnsi="Georgia" w:cs="Georgia"/>
                    <w:b/>
                  </w:rPr>
                  <w:t>Measurement/Unit</w:t>
                </w:r>
              </w:p>
            </w:tc>
            <w:tc>
              <w:tcPr>
                <w:tcW w:w="2925" w:type="dxa"/>
                <w:shd w:val="clear" w:color="auto" w:fill="auto"/>
                <w:tcMar>
                  <w:top w:w="100" w:type="dxa"/>
                  <w:left w:w="100" w:type="dxa"/>
                  <w:bottom w:w="100" w:type="dxa"/>
                  <w:right w:w="100" w:type="dxa"/>
                </w:tcMar>
              </w:tcPr>
              <w:p w:rsidR="00E438DA" w:rsidRDefault="00000000">
                <w:pPr>
                  <w:widowControl w:val="0"/>
                  <w:pBdr>
                    <w:top w:val="nil"/>
                    <w:left w:val="nil"/>
                    <w:bottom w:val="nil"/>
                    <w:right w:val="nil"/>
                    <w:between w:val="nil"/>
                  </w:pBdr>
                  <w:spacing w:line="549" w:lineRule="auto"/>
                  <w:jc w:val="center"/>
                  <w:rPr>
                    <w:rFonts w:ascii="Georgia" w:eastAsia="Georgia" w:hAnsi="Georgia" w:cs="Georgia"/>
                    <w:b/>
                  </w:rPr>
                </w:pPr>
                <w:r>
                  <w:rPr>
                    <w:rFonts w:ascii="Georgia" w:eastAsia="Georgia" w:hAnsi="Georgia" w:cs="Georgia"/>
                    <w:b/>
                  </w:rPr>
                  <w:t>Source</w:t>
                </w:r>
              </w:p>
            </w:tc>
          </w:tr>
          <w:tr w:rsidR="00E438DA">
            <w:tc>
              <w:tcPr>
                <w:tcW w:w="3090" w:type="dxa"/>
                <w:shd w:val="clear" w:color="auto" w:fill="auto"/>
                <w:tcMar>
                  <w:top w:w="100" w:type="dxa"/>
                  <w:left w:w="100" w:type="dxa"/>
                  <w:bottom w:w="100" w:type="dxa"/>
                  <w:right w:w="100" w:type="dxa"/>
                </w:tcMar>
              </w:tcPr>
              <w:p w:rsidR="00E438DA" w:rsidRDefault="00000000">
                <w:pPr>
                  <w:widowControl w:val="0"/>
                  <w:pBdr>
                    <w:top w:val="nil"/>
                    <w:left w:val="nil"/>
                    <w:bottom w:val="nil"/>
                    <w:right w:val="nil"/>
                    <w:between w:val="nil"/>
                  </w:pBdr>
                  <w:spacing w:line="240" w:lineRule="auto"/>
                  <w:jc w:val="center"/>
                  <w:rPr>
                    <w:rFonts w:ascii="Georgia" w:eastAsia="Georgia" w:hAnsi="Georgia" w:cs="Georgia"/>
                  </w:rPr>
                </w:pPr>
                <w:r>
                  <w:rPr>
                    <w:rFonts w:ascii="Georgia" w:eastAsia="Georgia" w:hAnsi="Georgia" w:cs="Georgia"/>
                  </w:rPr>
                  <w:t>REN (Renewable Energy)</w:t>
                </w:r>
              </w:p>
            </w:tc>
            <w:tc>
              <w:tcPr>
                <w:tcW w:w="2340" w:type="dxa"/>
                <w:shd w:val="clear" w:color="auto" w:fill="auto"/>
                <w:tcMar>
                  <w:top w:w="100" w:type="dxa"/>
                  <w:left w:w="100" w:type="dxa"/>
                  <w:bottom w:w="100" w:type="dxa"/>
                  <w:right w:w="100" w:type="dxa"/>
                </w:tcMar>
              </w:tcPr>
              <w:p w:rsidR="00E438DA" w:rsidRDefault="00000000">
                <w:pPr>
                  <w:widowControl w:val="0"/>
                  <w:pBdr>
                    <w:top w:val="nil"/>
                    <w:left w:val="nil"/>
                    <w:bottom w:val="nil"/>
                    <w:right w:val="nil"/>
                    <w:between w:val="nil"/>
                  </w:pBdr>
                  <w:spacing w:line="240" w:lineRule="auto"/>
                  <w:jc w:val="both"/>
                  <w:rPr>
                    <w:rFonts w:ascii="Georgia" w:eastAsia="Georgia" w:hAnsi="Georgia" w:cs="Georgia"/>
                  </w:rPr>
                </w:pPr>
                <w:r>
                  <w:rPr>
                    <w:rFonts w:ascii="Georgia" w:eastAsia="Georgia" w:hAnsi="Georgia" w:cs="Georgia"/>
                  </w:rPr>
                  <w:t>Share of renewable energy in total final energy consumption</w:t>
                </w:r>
              </w:p>
            </w:tc>
            <w:tc>
              <w:tcPr>
                <w:tcW w:w="2565" w:type="dxa"/>
                <w:shd w:val="clear" w:color="auto" w:fill="auto"/>
                <w:tcMar>
                  <w:top w:w="100" w:type="dxa"/>
                  <w:left w:w="100" w:type="dxa"/>
                  <w:bottom w:w="100" w:type="dxa"/>
                  <w:right w:w="100" w:type="dxa"/>
                </w:tcMar>
              </w:tcPr>
              <w:p w:rsidR="00E438DA" w:rsidRDefault="00000000">
                <w:pPr>
                  <w:widowControl w:val="0"/>
                  <w:pBdr>
                    <w:top w:val="nil"/>
                    <w:left w:val="nil"/>
                    <w:bottom w:val="nil"/>
                    <w:right w:val="nil"/>
                    <w:between w:val="nil"/>
                  </w:pBdr>
                  <w:spacing w:line="240" w:lineRule="auto"/>
                  <w:jc w:val="center"/>
                  <w:rPr>
                    <w:rFonts w:ascii="Georgia" w:eastAsia="Georgia" w:hAnsi="Georgia" w:cs="Georgia"/>
                  </w:rPr>
                </w:pPr>
                <w:r>
                  <w:rPr>
                    <w:rFonts w:ascii="Georgia" w:eastAsia="Georgia" w:hAnsi="Georgia" w:cs="Georgia"/>
                  </w:rPr>
                  <w:t>Percentage (%)</w:t>
                </w:r>
              </w:p>
            </w:tc>
            <w:tc>
              <w:tcPr>
                <w:tcW w:w="2925" w:type="dxa"/>
                <w:shd w:val="clear" w:color="auto" w:fill="auto"/>
                <w:tcMar>
                  <w:top w:w="100" w:type="dxa"/>
                  <w:left w:w="100" w:type="dxa"/>
                  <w:bottom w:w="100" w:type="dxa"/>
                  <w:right w:w="100" w:type="dxa"/>
                </w:tcMar>
              </w:tcPr>
              <w:p w:rsidR="00E438DA" w:rsidRDefault="00000000">
                <w:pPr>
                  <w:widowControl w:val="0"/>
                  <w:pBdr>
                    <w:top w:val="nil"/>
                    <w:left w:val="nil"/>
                    <w:bottom w:val="nil"/>
                    <w:right w:val="nil"/>
                    <w:between w:val="nil"/>
                  </w:pBdr>
                  <w:spacing w:line="240" w:lineRule="auto"/>
                  <w:rPr>
                    <w:rFonts w:ascii="Georgia" w:eastAsia="Georgia" w:hAnsi="Georgia" w:cs="Georgia"/>
                  </w:rPr>
                </w:pPr>
                <w:r>
                  <w:rPr>
                    <w:rFonts w:ascii="Georgia" w:eastAsia="Georgia" w:hAnsi="Georgia" w:cs="Georgia"/>
                  </w:rPr>
                  <w:t>World Development Indicators (WDI), World Bank (2020)</w:t>
                </w:r>
              </w:p>
            </w:tc>
          </w:tr>
          <w:tr w:rsidR="00E438DA">
            <w:tc>
              <w:tcPr>
                <w:tcW w:w="3090" w:type="dxa"/>
                <w:shd w:val="clear" w:color="auto" w:fill="auto"/>
                <w:tcMar>
                  <w:top w:w="100" w:type="dxa"/>
                  <w:left w:w="100" w:type="dxa"/>
                  <w:bottom w:w="100" w:type="dxa"/>
                  <w:right w:w="100" w:type="dxa"/>
                </w:tcMar>
              </w:tcPr>
              <w:p w:rsidR="00E438DA" w:rsidRDefault="00000000">
                <w:pPr>
                  <w:widowControl w:val="0"/>
                  <w:pBdr>
                    <w:top w:val="nil"/>
                    <w:left w:val="nil"/>
                    <w:bottom w:val="nil"/>
                    <w:right w:val="nil"/>
                    <w:between w:val="nil"/>
                  </w:pBdr>
                  <w:spacing w:line="240" w:lineRule="auto"/>
                  <w:jc w:val="center"/>
                  <w:rPr>
                    <w:rFonts w:ascii="Georgia" w:eastAsia="Georgia" w:hAnsi="Georgia" w:cs="Georgia"/>
                  </w:rPr>
                </w:pPr>
                <w:r>
                  <w:rPr>
                    <w:rFonts w:ascii="Georgia" w:eastAsia="Georgia" w:hAnsi="Georgia" w:cs="Georgia"/>
                  </w:rPr>
                  <w:t>FD (Financial Development)</w:t>
                </w:r>
              </w:p>
            </w:tc>
            <w:tc>
              <w:tcPr>
                <w:tcW w:w="2340" w:type="dxa"/>
                <w:shd w:val="clear" w:color="auto" w:fill="auto"/>
                <w:tcMar>
                  <w:top w:w="100" w:type="dxa"/>
                  <w:left w:w="100" w:type="dxa"/>
                  <w:bottom w:w="100" w:type="dxa"/>
                  <w:right w:w="100" w:type="dxa"/>
                </w:tcMar>
              </w:tcPr>
              <w:p w:rsidR="00E438DA" w:rsidRDefault="00000000">
                <w:pPr>
                  <w:widowControl w:val="0"/>
                  <w:pBdr>
                    <w:top w:val="nil"/>
                    <w:left w:val="nil"/>
                    <w:bottom w:val="nil"/>
                    <w:right w:val="nil"/>
                    <w:between w:val="nil"/>
                  </w:pBdr>
                  <w:spacing w:line="240" w:lineRule="auto"/>
                  <w:jc w:val="both"/>
                  <w:rPr>
                    <w:rFonts w:ascii="Georgia" w:eastAsia="Georgia" w:hAnsi="Georgia" w:cs="Georgia"/>
                  </w:rPr>
                </w:pPr>
                <w:r>
                  <w:rPr>
                    <w:rFonts w:ascii="Georgia" w:eastAsia="Georgia" w:hAnsi="Georgia" w:cs="Georgia"/>
                  </w:rPr>
                  <w:t>Composite index reflecting financial institutions and markets in terms of depth, access, and efficiency</w:t>
                </w:r>
              </w:p>
            </w:tc>
            <w:tc>
              <w:tcPr>
                <w:tcW w:w="2565" w:type="dxa"/>
                <w:shd w:val="clear" w:color="auto" w:fill="auto"/>
                <w:tcMar>
                  <w:top w:w="100" w:type="dxa"/>
                  <w:left w:w="100" w:type="dxa"/>
                  <w:bottom w:w="100" w:type="dxa"/>
                  <w:right w:w="100" w:type="dxa"/>
                </w:tcMar>
              </w:tcPr>
              <w:p w:rsidR="00E438DA" w:rsidRDefault="00000000">
                <w:pPr>
                  <w:widowControl w:val="0"/>
                  <w:pBdr>
                    <w:top w:val="nil"/>
                    <w:left w:val="nil"/>
                    <w:bottom w:val="nil"/>
                    <w:right w:val="nil"/>
                    <w:between w:val="nil"/>
                  </w:pBdr>
                  <w:spacing w:line="240" w:lineRule="auto"/>
                  <w:jc w:val="center"/>
                  <w:rPr>
                    <w:rFonts w:ascii="Georgia" w:eastAsia="Georgia" w:hAnsi="Georgia" w:cs="Georgia"/>
                  </w:rPr>
                </w:pPr>
                <w:r>
                  <w:rPr>
                    <w:rFonts w:ascii="Georgia" w:eastAsia="Georgia" w:hAnsi="Georgia" w:cs="Georgia"/>
                  </w:rPr>
                  <w:t>Index (0 to 1 scale)</w:t>
                </w:r>
              </w:p>
            </w:tc>
            <w:tc>
              <w:tcPr>
                <w:tcW w:w="2925" w:type="dxa"/>
                <w:shd w:val="clear" w:color="auto" w:fill="auto"/>
                <w:tcMar>
                  <w:top w:w="100" w:type="dxa"/>
                  <w:left w:w="100" w:type="dxa"/>
                  <w:bottom w:w="100" w:type="dxa"/>
                  <w:right w:w="100" w:type="dxa"/>
                </w:tcMar>
              </w:tcPr>
              <w:p w:rsidR="00E438DA" w:rsidRDefault="00000000">
                <w:pPr>
                  <w:widowControl w:val="0"/>
                  <w:pBdr>
                    <w:top w:val="nil"/>
                    <w:left w:val="nil"/>
                    <w:bottom w:val="nil"/>
                    <w:right w:val="nil"/>
                    <w:between w:val="nil"/>
                  </w:pBdr>
                  <w:spacing w:line="240" w:lineRule="auto"/>
                  <w:rPr>
                    <w:rFonts w:ascii="Georgia" w:eastAsia="Georgia" w:hAnsi="Georgia" w:cs="Georgia"/>
                  </w:rPr>
                </w:pPr>
                <w:r>
                  <w:rPr>
                    <w:rFonts w:ascii="Georgia" w:eastAsia="Georgia" w:hAnsi="Georgia" w:cs="Georgia"/>
                  </w:rPr>
                  <w:t>IMF Financial Statistics Database</w:t>
                </w:r>
              </w:p>
            </w:tc>
          </w:tr>
          <w:tr w:rsidR="00E438DA">
            <w:trPr>
              <w:trHeight w:val="849"/>
            </w:trPr>
            <w:tc>
              <w:tcPr>
                <w:tcW w:w="3090" w:type="dxa"/>
                <w:shd w:val="clear" w:color="auto" w:fill="auto"/>
                <w:tcMar>
                  <w:top w:w="100" w:type="dxa"/>
                  <w:left w:w="100" w:type="dxa"/>
                  <w:bottom w:w="100" w:type="dxa"/>
                  <w:right w:w="100" w:type="dxa"/>
                </w:tcMar>
              </w:tcPr>
              <w:p w:rsidR="00E438DA" w:rsidRDefault="00000000">
                <w:pPr>
                  <w:widowControl w:val="0"/>
                  <w:pBdr>
                    <w:top w:val="nil"/>
                    <w:left w:val="nil"/>
                    <w:bottom w:val="nil"/>
                    <w:right w:val="nil"/>
                    <w:between w:val="nil"/>
                  </w:pBdr>
                  <w:spacing w:line="240" w:lineRule="auto"/>
                  <w:jc w:val="center"/>
                  <w:rPr>
                    <w:rFonts w:ascii="Georgia" w:eastAsia="Georgia" w:hAnsi="Georgia" w:cs="Georgia"/>
                  </w:rPr>
                </w:pPr>
                <w:r>
                  <w:rPr>
                    <w:rFonts w:ascii="Georgia" w:eastAsia="Georgia" w:hAnsi="Georgia" w:cs="Georgia"/>
                  </w:rPr>
                  <w:t>INST (Institutional Quality)</w:t>
                </w:r>
              </w:p>
            </w:tc>
            <w:tc>
              <w:tcPr>
                <w:tcW w:w="2340" w:type="dxa"/>
                <w:shd w:val="clear" w:color="auto" w:fill="auto"/>
                <w:tcMar>
                  <w:top w:w="100" w:type="dxa"/>
                  <w:left w:w="100" w:type="dxa"/>
                  <w:bottom w:w="100" w:type="dxa"/>
                  <w:right w:w="100" w:type="dxa"/>
                </w:tcMar>
              </w:tcPr>
              <w:p w:rsidR="00E438DA" w:rsidRDefault="00000000">
                <w:pPr>
                  <w:widowControl w:val="0"/>
                  <w:pBdr>
                    <w:top w:val="nil"/>
                    <w:left w:val="nil"/>
                    <w:bottom w:val="nil"/>
                    <w:right w:val="nil"/>
                    <w:between w:val="nil"/>
                  </w:pBdr>
                  <w:spacing w:line="240" w:lineRule="auto"/>
                  <w:jc w:val="both"/>
                  <w:rPr>
                    <w:rFonts w:ascii="Georgia" w:eastAsia="Georgia" w:hAnsi="Georgia" w:cs="Georgia"/>
                  </w:rPr>
                </w:pPr>
                <w:r>
                  <w:rPr>
                    <w:rFonts w:ascii="Georgia" w:eastAsia="Georgia" w:hAnsi="Georgia" w:cs="Georgia"/>
                  </w:rPr>
                  <w:t>Composite index measuring corruption control and stability</w:t>
                </w:r>
              </w:p>
              <w:p w:rsidR="00E438DA" w:rsidRDefault="00E438DA">
                <w:pPr>
                  <w:widowControl w:val="0"/>
                  <w:pBdr>
                    <w:top w:val="nil"/>
                    <w:left w:val="nil"/>
                    <w:bottom w:val="nil"/>
                    <w:right w:val="nil"/>
                    <w:between w:val="nil"/>
                  </w:pBdr>
                  <w:spacing w:line="240" w:lineRule="auto"/>
                  <w:jc w:val="both"/>
                  <w:rPr>
                    <w:rFonts w:ascii="Georgia" w:eastAsia="Georgia" w:hAnsi="Georgia" w:cs="Georgia"/>
                  </w:rPr>
                </w:pPr>
              </w:p>
            </w:tc>
            <w:tc>
              <w:tcPr>
                <w:tcW w:w="2565" w:type="dxa"/>
                <w:shd w:val="clear" w:color="auto" w:fill="auto"/>
                <w:tcMar>
                  <w:top w:w="100" w:type="dxa"/>
                  <w:left w:w="100" w:type="dxa"/>
                  <w:bottom w:w="100" w:type="dxa"/>
                  <w:right w:w="100" w:type="dxa"/>
                </w:tcMar>
              </w:tcPr>
              <w:p w:rsidR="00E438DA" w:rsidRDefault="00000000">
                <w:pPr>
                  <w:widowControl w:val="0"/>
                  <w:pBdr>
                    <w:top w:val="nil"/>
                    <w:left w:val="nil"/>
                    <w:bottom w:val="nil"/>
                    <w:right w:val="nil"/>
                    <w:between w:val="nil"/>
                  </w:pBdr>
                  <w:spacing w:line="240" w:lineRule="auto"/>
                  <w:jc w:val="center"/>
                  <w:rPr>
                    <w:rFonts w:ascii="Georgia" w:eastAsia="Georgia" w:hAnsi="Georgia" w:cs="Georgia"/>
                  </w:rPr>
                </w:pPr>
                <w:r>
                  <w:rPr>
                    <w:rFonts w:ascii="Georgia" w:eastAsia="Georgia" w:hAnsi="Georgia" w:cs="Georgia"/>
                  </w:rPr>
                  <w:t>Index (0 to 1 scale)</w:t>
                </w:r>
              </w:p>
            </w:tc>
            <w:tc>
              <w:tcPr>
                <w:tcW w:w="2925" w:type="dxa"/>
                <w:shd w:val="clear" w:color="auto" w:fill="auto"/>
                <w:tcMar>
                  <w:top w:w="100" w:type="dxa"/>
                  <w:left w:w="100" w:type="dxa"/>
                  <w:bottom w:w="100" w:type="dxa"/>
                  <w:right w:w="100" w:type="dxa"/>
                </w:tcMar>
              </w:tcPr>
              <w:p w:rsidR="00E438DA" w:rsidRDefault="00000000">
                <w:pPr>
                  <w:widowControl w:val="0"/>
                  <w:pBdr>
                    <w:top w:val="nil"/>
                    <w:left w:val="nil"/>
                    <w:bottom w:val="nil"/>
                    <w:right w:val="nil"/>
                    <w:between w:val="nil"/>
                  </w:pBdr>
                  <w:spacing w:line="240" w:lineRule="auto"/>
                  <w:rPr>
                    <w:rFonts w:ascii="Georgia" w:eastAsia="Georgia" w:hAnsi="Georgia" w:cs="Georgia"/>
                  </w:rPr>
                </w:pPr>
                <w:r>
                  <w:rPr>
                    <w:rFonts w:ascii="Georgia" w:eastAsia="Georgia" w:hAnsi="Georgia" w:cs="Georgia"/>
                  </w:rPr>
                  <w:t>International Country Risk Guide (ICRG)</w:t>
                </w:r>
              </w:p>
            </w:tc>
          </w:tr>
          <w:tr w:rsidR="00E438DA">
            <w:tc>
              <w:tcPr>
                <w:tcW w:w="3090" w:type="dxa"/>
                <w:shd w:val="clear" w:color="auto" w:fill="auto"/>
                <w:tcMar>
                  <w:top w:w="100" w:type="dxa"/>
                  <w:left w:w="100" w:type="dxa"/>
                  <w:bottom w:w="100" w:type="dxa"/>
                  <w:right w:w="100" w:type="dxa"/>
                </w:tcMar>
              </w:tcPr>
              <w:p w:rsidR="00E438DA" w:rsidRDefault="00000000">
                <w:pPr>
                  <w:widowControl w:val="0"/>
                  <w:pBdr>
                    <w:top w:val="nil"/>
                    <w:left w:val="nil"/>
                    <w:bottom w:val="nil"/>
                    <w:right w:val="nil"/>
                    <w:between w:val="nil"/>
                  </w:pBdr>
                  <w:spacing w:line="240" w:lineRule="auto"/>
                  <w:jc w:val="center"/>
                  <w:rPr>
                    <w:rFonts w:ascii="Georgia" w:eastAsia="Georgia" w:hAnsi="Georgia" w:cs="Georgia"/>
                  </w:rPr>
                </w:pPr>
                <w:r>
                  <w:rPr>
                    <w:rFonts w:ascii="Georgia" w:eastAsia="Georgia" w:hAnsi="Georgia" w:cs="Georgia"/>
                  </w:rPr>
                  <w:lastRenderedPageBreak/>
                  <w:t>RGDPPC (GDP per capita)</w:t>
                </w:r>
              </w:p>
            </w:tc>
            <w:tc>
              <w:tcPr>
                <w:tcW w:w="2340" w:type="dxa"/>
                <w:shd w:val="clear" w:color="auto" w:fill="auto"/>
                <w:tcMar>
                  <w:top w:w="100" w:type="dxa"/>
                  <w:left w:w="100" w:type="dxa"/>
                  <w:bottom w:w="100" w:type="dxa"/>
                  <w:right w:w="100" w:type="dxa"/>
                </w:tcMar>
              </w:tcPr>
              <w:p w:rsidR="00E438DA" w:rsidRDefault="00000000">
                <w:pPr>
                  <w:widowControl w:val="0"/>
                  <w:pBdr>
                    <w:top w:val="nil"/>
                    <w:left w:val="nil"/>
                    <w:bottom w:val="nil"/>
                    <w:right w:val="nil"/>
                    <w:between w:val="nil"/>
                  </w:pBdr>
                  <w:spacing w:line="240" w:lineRule="auto"/>
                  <w:jc w:val="both"/>
                  <w:rPr>
                    <w:rFonts w:ascii="Georgia" w:eastAsia="Georgia" w:hAnsi="Georgia" w:cs="Georgia"/>
                  </w:rPr>
                </w:pPr>
                <w:r>
                  <w:rPr>
                    <w:rFonts w:ascii="Georgia" w:eastAsia="Georgia" w:hAnsi="Georgia" w:cs="Georgia"/>
                  </w:rPr>
                  <w:t>Economic output per person adjusted for inflation</w:t>
                </w:r>
              </w:p>
            </w:tc>
            <w:tc>
              <w:tcPr>
                <w:tcW w:w="2565" w:type="dxa"/>
                <w:shd w:val="clear" w:color="auto" w:fill="auto"/>
                <w:tcMar>
                  <w:top w:w="100" w:type="dxa"/>
                  <w:left w:w="100" w:type="dxa"/>
                  <w:bottom w:w="100" w:type="dxa"/>
                  <w:right w:w="100" w:type="dxa"/>
                </w:tcMar>
              </w:tcPr>
              <w:p w:rsidR="00E438DA" w:rsidRDefault="00000000">
                <w:pPr>
                  <w:widowControl w:val="0"/>
                  <w:pBdr>
                    <w:top w:val="nil"/>
                    <w:left w:val="nil"/>
                    <w:bottom w:val="nil"/>
                    <w:right w:val="nil"/>
                    <w:between w:val="nil"/>
                  </w:pBdr>
                  <w:spacing w:line="240" w:lineRule="auto"/>
                  <w:jc w:val="center"/>
                  <w:rPr>
                    <w:rFonts w:ascii="Georgia" w:eastAsia="Georgia" w:hAnsi="Georgia" w:cs="Georgia"/>
                  </w:rPr>
                </w:pPr>
                <w:r>
                  <w:rPr>
                    <w:rFonts w:ascii="Georgia" w:eastAsia="Georgia" w:hAnsi="Georgia" w:cs="Georgia"/>
                  </w:rPr>
                  <w:t>Constant 2015 US dollars</w:t>
                </w:r>
              </w:p>
            </w:tc>
            <w:tc>
              <w:tcPr>
                <w:tcW w:w="2925" w:type="dxa"/>
                <w:shd w:val="clear" w:color="auto" w:fill="auto"/>
                <w:tcMar>
                  <w:top w:w="100" w:type="dxa"/>
                  <w:left w:w="100" w:type="dxa"/>
                  <w:bottom w:w="100" w:type="dxa"/>
                  <w:right w:w="100" w:type="dxa"/>
                </w:tcMar>
              </w:tcPr>
              <w:p w:rsidR="00E438DA" w:rsidRDefault="00000000">
                <w:pPr>
                  <w:widowControl w:val="0"/>
                  <w:pBdr>
                    <w:top w:val="nil"/>
                    <w:left w:val="nil"/>
                    <w:bottom w:val="nil"/>
                    <w:right w:val="nil"/>
                    <w:between w:val="nil"/>
                  </w:pBdr>
                  <w:spacing w:line="240" w:lineRule="auto"/>
                  <w:rPr>
                    <w:rFonts w:ascii="Georgia" w:eastAsia="Georgia" w:hAnsi="Georgia" w:cs="Georgia"/>
                  </w:rPr>
                </w:pPr>
                <w:r>
                  <w:rPr>
                    <w:rFonts w:ascii="Georgia" w:eastAsia="Georgia" w:hAnsi="Georgia" w:cs="Georgia"/>
                  </w:rPr>
                  <w:t>WDI, World Bank (2020)</w:t>
                </w:r>
              </w:p>
            </w:tc>
          </w:tr>
          <w:tr w:rsidR="00E438DA">
            <w:tc>
              <w:tcPr>
                <w:tcW w:w="3090" w:type="dxa"/>
                <w:shd w:val="clear" w:color="auto" w:fill="auto"/>
                <w:tcMar>
                  <w:top w:w="100" w:type="dxa"/>
                  <w:left w:w="100" w:type="dxa"/>
                  <w:bottom w:w="100" w:type="dxa"/>
                  <w:right w:w="100" w:type="dxa"/>
                </w:tcMar>
              </w:tcPr>
              <w:p w:rsidR="00E438DA" w:rsidRDefault="00000000">
                <w:pPr>
                  <w:widowControl w:val="0"/>
                  <w:pBdr>
                    <w:top w:val="nil"/>
                    <w:left w:val="nil"/>
                    <w:bottom w:val="nil"/>
                    <w:right w:val="nil"/>
                    <w:between w:val="nil"/>
                  </w:pBdr>
                  <w:spacing w:line="240" w:lineRule="auto"/>
                  <w:jc w:val="center"/>
                  <w:rPr>
                    <w:rFonts w:ascii="Georgia" w:eastAsia="Georgia" w:hAnsi="Georgia" w:cs="Georgia"/>
                  </w:rPr>
                </w:pPr>
                <w:r>
                  <w:rPr>
                    <w:rFonts w:ascii="Georgia" w:eastAsia="Georgia" w:hAnsi="Georgia" w:cs="Georgia"/>
                  </w:rPr>
                  <w:t>FDI (Foreign Direct Investment)</w:t>
                </w:r>
              </w:p>
            </w:tc>
            <w:tc>
              <w:tcPr>
                <w:tcW w:w="2340" w:type="dxa"/>
                <w:shd w:val="clear" w:color="auto" w:fill="auto"/>
                <w:tcMar>
                  <w:top w:w="100" w:type="dxa"/>
                  <w:left w:w="100" w:type="dxa"/>
                  <w:bottom w:w="100" w:type="dxa"/>
                  <w:right w:w="100" w:type="dxa"/>
                </w:tcMar>
              </w:tcPr>
              <w:p w:rsidR="00E438DA" w:rsidRDefault="00000000">
                <w:pPr>
                  <w:widowControl w:val="0"/>
                  <w:pBdr>
                    <w:top w:val="nil"/>
                    <w:left w:val="nil"/>
                    <w:bottom w:val="nil"/>
                    <w:right w:val="nil"/>
                    <w:between w:val="nil"/>
                  </w:pBdr>
                  <w:spacing w:line="240" w:lineRule="auto"/>
                  <w:jc w:val="both"/>
                  <w:rPr>
                    <w:rFonts w:ascii="Georgia" w:eastAsia="Georgia" w:hAnsi="Georgia" w:cs="Georgia"/>
                  </w:rPr>
                </w:pPr>
                <w:r>
                  <w:rPr>
                    <w:rFonts w:ascii="Georgia" w:eastAsia="Georgia" w:hAnsi="Georgia" w:cs="Georgia"/>
                  </w:rPr>
                  <w:t>Foreign capital inflow as a share of GDP</w:t>
                </w:r>
              </w:p>
            </w:tc>
            <w:tc>
              <w:tcPr>
                <w:tcW w:w="2565" w:type="dxa"/>
                <w:shd w:val="clear" w:color="auto" w:fill="auto"/>
                <w:tcMar>
                  <w:top w:w="100" w:type="dxa"/>
                  <w:left w:w="100" w:type="dxa"/>
                  <w:bottom w:w="100" w:type="dxa"/>
                  <w:right w:w="100" w:type="dxa"/>
                </w:tcMar>
              </w:tcPr>
              <w:p w:rsidR="00E438DA" w:rsidRDefault="00000000">
                <w:pPr>
                  <w:widowControl w:val="0"/>
                  <w:pBdr>
                    <w:top w:val="nil"/>
                    <w:left w:val="nil"/>
                    <w:bottom w:val="nil"/>
                    <w:right w:val="nil"/>
                    <w:between w:val="nil"/>
                  </w:pBdr>
                  <w:spacing w:line="240" w:lineRule="auto"/>
                  <w:jc w:val="center"/>
                  <w:rPr>
                    <w:rFonts w:ascii="Georgia" w:eastAsia="Georgia" w:hAnsi="Georgia" w:cs="Georgia"/>
                  </w:rPr>
                </w:pPr>
                <w:r>
                  <w:rPr>
                    <w:rFonts w:ascii="Georgia" w:eastAsia="Georgia" w:hAnsi="Georgia" w:cs="Georgia"/>
                  </w:rPr>
                  <w:t>Percentage(%) of GDP</w:t>
                </w:r>
              </w:p>
            </w:tc>
            <w:tc>
              <w:tcPr>
                <w:tcW w:w="2925" w:type="dxa"/>
                <w:shd w:val="clear" w:color="auto" w:fill="auto"/>
                <w:tcMar>
                  <w:top w:w="100" w:type="dxa"/>
                  <w:left w:w="100" w:type="dxa"/>
                  <w:bottom w:w="100" w:type="dxa"/>
                  <w:right w:w="100" w:type="dxa"/>
                </w:tcMar>
              </w:tcPr>
              <w:p w:rsidR="00E438DA" w:rsidRDefault="00000000">
                <w:pPr>
                  <w:widowControl w:val="0"/>
                  <w:pBdr>
                    <w:top w:val="nil"/>
                    <w:left w:val="nil"/>
                    <w:bottom w:val="nil"/>
                    <w:right w:val="nil"/>
                    <w:between w:val="nil"/>
                  </w:pBdr>
                  <w:spacing w:line="240" w:lineRule="auto"/>
                  <w:rPr>
                    <w:rFonts w:ascii="Georgia" w:eastAsia="Georgia" w:hAnsi="Georgia" w:cs="Georgia"/>
                  </w:rPr>
                </w:pPr>
                <w:r>
                  <w:rPr>
                    <w:rFonts w:ascii="Georgia" w:eastAsia="Georgia" w:hAnsi="Georgia" w:cs="Georgia"/>
                  </w:rPr>
                  <w:t>WDI, World Bank (2020)</w:t>
                </w:r>
              </w:p>
            </w:tc>
          </w:tr>
          <w:tr w:rsidR="00E438DA">
            <w:tc>
              <w:tcPr>
                <w:tcW w:w="3090" w:type="dxa"/>
                <w:shd w:val="clear" w:color="auto" w:fill="auto"/>
                <w:tcMar>
                  <w:top w:w="100" w:type="dxa"/>
                  <w:left w:w="100" w:type="dxa"/>
                  <w:bottom w:w="100" w:type="dxa"/>
                  <w:right w:w="100" w:type="dxa"/>
                </w:tcMar>
              </w:tcPr>
              <w:p w:rsidR="00E438DA" w:rsidRDefault="00000000">
                <w:pPr>
                  <w:widowControl w:val="0"/>
                  <w:pBdr>
                    <w:top w:val="nil"/>
                    <w:left w:val="nil"/>
                    <w:bottom w:val="nil"/>
                    <w:right w:val="nil"/>
                    <w:between w:val="nil"/>
                  </w:pBdr>
                  <w:spacing w:line="240" w:lineRule="auto"/>
                  <w:jc w:val="center"/>
                  <w:rPr>
                    <w:rFonts w:ascii="Georgia" w:eastAsia="Georgia" w:hAnsi="Georgia" w:cs="Georgia"/>
                  </w:rPr>
                </w:pPr>
                <w:r>
                  <w:rPr>
                    <w:rFonts w:ascii="Georgia" w:eastAsia="Georgia" w:hAnsi="Georgia" w:cs="Georgia"/>
                  </w:rPr>
                  <w:t xml:space="preserve"> POP (Population)</w:t>
                </w:r>
              </w:p>
            </w:tc>
            <w:tc>
              <w:tcPr>
                <w:tcW w:w="2340" w:type="dxa"/>
                <w:shd w:val="clear" w:color="auto" w:fill="auto"/>
                <w:tcMar>
                  <w:top w:w="100" w:type="dxa"/>
                  <w:left w:w="100" w:type="dxa"/>
                  <w:bottom w:w="100" w:type="dxa"/>
                  <w:right w:w="100" w:type="dxa"/>
                </w:tcMar>
              </w:tcPr>
              <w:p w:rsidR="00E438DA" w:rsidRDefault="00000000">
                <w:pPr>
                  <w:widowControl w:val="0"/>
                  <w:pBdr>
                    <w:top w:val="nil"/>
                    <w:left w:val="nil"/>
                    <w:bottom w:val="nil"/>
                    <w:right w:val="nil"/>
                    <w:between w:val="nil"/>
                  </w:pBdr>
                  <w:spacing w:line="240" w:lineRule="auto"/>
                  <w:jc w:val="both"/>
                  <w:rPr>
                    <w:rFonts w:ascii="Georgia" w:eastAsia="Georgia" w:hAnsi="Georgia" w:cs="Georgia"/>
                    <w:sz w:val="16"/>
                    <w:szCs w:val="16"/>
                  </w:rPr>
                </w:pPr>
                <w:r>
                  <w:rPr>
                    <w:rFonts w:ascii="Georgia" w:eastAsia="Georgia" w:hAnsi="Georgia" w:cs="Georgia"/>
                    <w:sz w:val="16"/>
                    <w:szCs w:val="16"/>
                  </w:rPr>
                  <w:t>Total population of a country</w:t>
                </w:r>
              </w:p>
            </w:tc>
            <w:tc>
              <w:tcPr>
                <w:tcW w:w="2565" w:type="dxa"/>
                <w:shd w:val="clear" w:color="auto" w:fill="auto"/>
                <w:tcMar>
                  <w:top w:w="100" w:type="dxa"/>
                  <w:left w:w="100" w:type="dxa"/>
                  <w:bottom w:w="100" w:type="dxa"/>
                  <w:right w:w="100" w:type="dxa"/>
                </w:tcMar>
              </w:tcPr>
              <w:p w:rsidR="00E438DA" w:rsidRDefault="00000000">
                <w:pPr>
                  <w:widowControl w:val="0"/>
                  <w:pBdr>
                    <w:top w:val="nil"/>
                    <w:left w:val="nil"/>
                    <w:bottom w:val="nil"/>
                    <w:right w:val="nil"/>
                    <w:between w:val="nil"/>
                  </w:pBdr>
                  <w:spacing w:line="240" w:lineRule="auto"/>
                  <w:jc w:val="center"/>
                  <w:rPr>
                    <w:rFonts w:ascii="Georgia" w:eastAsia="Georgia" w:hAnsi="Georgia" w:cs="Georgia"/>
                  </w:rPr>
                </w:pPr>
                <w:r>
                  <w:rPr>
                    <w:rFonts w:ascii="Georgia" w:eastAsia="Georgia" w:hAnsi="Georgia" w:cs="Georgia"/>
                  </w:rPr>
                  <w:t>Count (people)</w:t>
                </w:r>
              </w:p>
            </w:tc>
            <w:tc>
              <w:tcPr>
                <w:tcW w:w="2925" w:type="dxa"/>
                <w:shd w:val="clear" w:color="auto" w:fill="auto"/>
                <w:tcMar>
                  <w:top w:w="100" w:type="dxa"/>
                  <w:left w:w="100" w:type="dxa"/>
                  <w:bottom w:w="100" w:type="dxa"/>
                  <w:right w:w="100" w:type="dxa"/>
                </w:tcMar>
              </w:tcPr>
              <w:p w:rsidR="00E438DA" w:rsidRDefault="00000000">
                <w:pPr>
                  <w:widowControl w:val="0"/>
                  <w:pBdr>
                    <w:top w:val="nil"/>
                    <w:left w:val="nil"/>
                    <w:bottom w:val="nil"/>
                    <w:right w:val="nil"/>
                    <w:between w:val="nil"/>
                  </w:pBdr>
                  <w:spacing w:line="240" w:lineRule="auto"/>
                  <w:rPr>
                    <w:rFonts w:ascii="Georgia" w:eastAsia="Georgia" w:hAnsi="Georgia" w:cs="Georgia"/>
                  </w:rPr>
                </w:pPr>
                <w:r>
                  <w:rPr>
                    <w:rFonts w:ascii="Georgia" w:eastAsia="Georgia" w:hAnsi="Georgia" w:cs="Georgia"/>
                  </w:rPr>
                  <w:t>WDI, World Bank (2020)</w:t>
                </w:r>
              </w:p>
            </w:tc>
          </w:tr>
        </w:tbl>
      </w:sdtContent>
    </w:sdt>
    <w:p w:rsidR="00E438DA" w:rsidRDefault="00E438DA">
      <w:pPr>
        <w:widowControl w:val="0"/>
        <w:spacing w:line="240" w:lineRule="auto"/>
        <w:jc w:val="both"/>
        <w:rPr>
          <w:rFonts w:ascii="Times New Roman" w:eastAsia="Times New Roman" w:hAnsi="Times New Roman" w:cs="Times New Roman"/>
          <w:color w:val="666666"/>
          <w:sz w:val="26"/>
          <w:szCs w:val="26"/>
          <w:highlight w:val="white"/>
        </w:rPr>
      </w:pPr>
    </w:p>
    <w:sectPr w:rsidR="00E438DA">
      <w:headerReference w:type="default" r:id="rId70"/>
      <w:footerReference w:type="default" r:id="rId71"/>
      <w:footerReference w:type="first" r:id="rId72"/>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26501" w:rsidRDefault="00A26501">
      <w:pPr>
        <w:spacing w:line="240" w:lineRule="auto"/>
      </w:pPr>
      <w:r>
        <w:separator/>
      </w:r>
    </w:p>
  </w:endnote>
  <w:endnote w:type="continuationSeparator" w:id="0">
    <w:p w:rsidR="00A26501" w:rsidRDefault="00A265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438DA" w:rsidRDefault="00000000">
    <w:pPr>
      <w:jc w:val="right"/>
    </w:pPr>
    <w:r>
      <w:fldChar w:fldCharType="begin"/>
    </w:r>
    <w:r>
      <w:instrText>PAGE</w:instrText>
    </w:r>
    <w:r>
      <w:fldChar w:fldCharType="separate"/>
    </w:r>
    <w:r w:rsidR="007C372D">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438DA" w:rsidRDefault="00E438D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26501" w:rsidRDefault="00A26501">
      <w:pPr>
        <w:spacing w:line="240" w:lineRule="auto"/>
      </w:pPr>
      <w:r>
        <w:separator/>
      </w:r>
    </w:p>
  </w:footnote>
  <w:footnote w:type="continuationSeparator" w:id="0">
    <w:p w:rsidR="00A26501" w:rsidRDefault="00A2650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438DA" w:rsidRDefault="00E438D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74748"/>
    <w:multiLevelType w:val="multilevel"/>
    <w:tmpl w:val="D6947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E72694"/>
    <w:multiLevelType w:val="multilevel"/>
    <w:tmpl w:val="88940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34602C"/>
    <w:multiLevelType w:val="multilevel"/>
    <w:tmpl w:val="9238FA2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22B074FA"/>
    <w:multiLevelType w:val="multilevel"/>
    <w:tmpl w:val="C31460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7B62466"/>
    <w:multiLevelType w:val="multilevel"/>
    <w:tmpl w:val="4C523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D20B58"/>
    <w:multiLevelType w:val="multilevel"/>
    <w:tmpl w:val="B2F60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57A52E5"/>
    <w:multiLevelType w:val="multilevel"/>
    <w:tmpl w:val="9E40A4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D0E08CF"/>
    <w:multiLevelType w:val="multilevel"/>
    <w:tmpl w:val="289091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1CA403B"/>
    <w:multiLevelType w:val="multilevel"/>
    <w:tmpl w:val="C9289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1E9741D"/>
    <w:multiLevelType w:val="multilevel"/>
    <w:tmpl w:val="8D34A7C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DFB7302"/>
    <w:multiLevelType w:val="multilevel"/>
    <w:tmpl w:val="CE983C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14E09DC"/>
    <w:multiLevelType w:val="multilevel"/>
    <w:tmpl w:val="ED183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59137884">
    <w:abstractNumId w:val="5"/>
  </w:num>
  <w:num w:numId="2" w16cid:durableId="304310920">
    <w:abstractNumId w:val="8"/>
  </w:num>
  <w:num w:numId="3" w16cid:durableId="2023702735">
    <w:abstractNumId w:val="1"/>
  </w:num>
  <w:num w:numId="4" w16cid:durableId="893000997">
    <w:abstractNumId w:val="6"/>
  </w:num>
  <w:num w:numId="5" w16cid:durableId="1089696734">
    <w:abstractNumId w:val="9"/>
  </w:num>
  <w:num w:numId="6" w16cid:durableId="2076197902">
    <w:abstractNumId w:val="7"/>
  </w:num>
  <w:num w:numId="7" w16cid:durableId="1059355640">
    <w:abstractNumId w:val="3"/>
  </w:num>
  <w:num w:numId="8" w16cid:durableId="2049836527">
    <w:abstractNumId w:val="2"/>
  </w:num>
  <w:num w:numId="9" w16cid:durableId="1503427993">
    <w:abstractNumId w:val="10"/>
  </w:num>
  <w:num w:numId="10" w16cid:durableId="495418725">
    <w:abstractNumId w:val="11"/>
  </w:num>
  <w:num w:numId="11" w16cid:durableId="791174664">
    <w:abstractNumId w:val="0"/>
  </w:num>
  <w:num w:numId="12" w16cid:durableId="18973560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8DA"/>
    <w:rsid w:val="00375142"/>
    <w:rsid w:val="00644450"/>
    <w:rsid w:val="007C372D"/>
    <w:rsid w:val="00A17836"/>
    <w:rsid w:val="00A26501"/>
    <w:rsid w:val="00B45AFD"/>
    <w:rsid w:val="00E438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A1E0A"/>
  <w15:docId w15:val="{1D460567-0382-48EB-90D4-40DFB36C7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016/j.cesys.%202022.100082" TargetMode="External"/><Relationship Id="rId21" Type="http://schemas.openxmlformats.org/officeDocument/2006/relationships/hyperlink" Target="https://www.sciencedirect.com/topics/earth-and-planetary-sciences/asia" TargetMode="External"/><Relationship Id="rId42" Type="http://schemas.openxmlformats.org/officeDocument/2006/relationships/hyperlink" Target="https://www.sciencedirect.com/science/article/pii/S0275531924004598" TargetMode="External"/><Relationship Id="rId47" Type="http://schemas.openxmlformats.org/officeDocument/2006/relationships/hyperlink" Target="https://link.springer.com/article/10.1007/s11356-022-18976-8" TargetMode="External"/><Relationship Id="rId63" Type="http://schemas.openxmlformats.org/officeDocument/2006/relationships/hyperlink" Target="https://www.ren21.net/" TargetMode="External"/><Relationship Id="rId68" Type="http://schemas.openxmlformats.org/officeDocument/2006/relationships/hyperlink" Target="https://pmc.ncbi.nlm.nih.gov/articles/PMC9966120/" TargetMode="External"/><Relationship Id="rId2" Type="http://schemas.openxmlformats.org/officeDocument/2006/relationships/numbering" Target="numbering.xml"/><Relationship Id="rId16" Type="http://schemas.openxmlformats.org/officeDocument/2006/relationships/hyperlink" Target="https://www.sciencedirect.com/science/article/pii/S2405844023013622?via%3Dihub" TargetMode="External"/><Relationship Id="rId29" Type="http://schemas.openxmlformats.org/officeDocument/2006/relationships/hyperlink" Target="https://doi.org/10.1016/j.strueco.2021.03.011" TargetMode="External"/><Relationship Id="rId11" Type="http://schemas.openxmlformats.org/officeDocument/2006/relationships/hyperlink" Target="https://www.sciencedirect.com/topics/economics-econometrics-and-finance/renewable-energy-consumption" TargetMode="External"/><Relationship Id="rId24" Type="http://schemas.openxmlformats.org/officeDocument/2006/relationships/hyperlink" Target="https://www.sciencedirect.com/science/article/pii/S0140988316302122" TargetMode="External"/><Relationship Id="rId32" Type="http://schemas.openxmlformats.org/officeDocument/2006/relationships/hyperlink" Target="https://www.sciencedirect.com/science/article/pii/S0960148122010047?via%3Dihub" TargetMode="External"/><Relationship Id="rId37" Type="http://schemas.openxmlformats.org/officeDocument/2006/relationships/hyperlink" Target="https://www.sciencedirect.com/science/article/pii/S0275531924004598" TargetMode="External"/><Relationship Id="rId40" Type="http://schemas.openxmlformats.org/officeDocument/2006/relationships/hyperlink" Target="https://link.springer.com/article/10.1007/s11356-022-18976-8" TargetMode="External"/><Relationship Id="rId45" Type="http://schemas.openxmlformats.org/officeDocument/2006/relationships/hyperlink" Target="https://ideas.repec.org/a/eee/renene/v190y2022icp606-616.html" TargetMode="External"/><Relationship Id="rId53" Type="http://schemas.openxmlformats.org/officeDocument/2006/relationships/hyperlink" Target="https://www.sciencedirect.com/science/article/pii/S0960148122005067" TargetMode="External"/><Relationship Id="rId58" Type="http://schemas.openxmlformats.org/officeDocument/2006/relationships/image" Target="media/image3.png"/><Relationship Id="rId66" Type="http://schemas.openxmlformats.org/officeDocument/2006/relationships/hyperlink" Target="https://pmc.ncbi.nlm.nih.gov/articles/PMC9966120/"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weforum.org/stories/2023/05/how-does-policy-impact-capital-and-investments-in-renewable-energy/" TargetMode="External"/><Relationship Id="rId19" Type="http://schemas.openxmlformats.org/officeDocument/2006/relationships/hyperlink" Target="https://www.sciencedirect.com/topics/earth-and-planetary-sciences/green-infrastructure" TargetMode="External"/><Relationship Id="rId14" Type="http://schemas.openxmlformats.org/officeDocument/2006/relationships/hyperlink" Target="https://www.sciencedirect.com/science/article/pii/S2405844023013622?via%3Dihub" TargetMode="External"/><Relationship Id="rId22" Type="http://schemas.openxmlformats.org/officeDocument/2006/relationships/hyperlink" Target="https://www.sciencedirect.com/topics/earth-and-planetary-sciences/asia" TargetMode="External"/><Relationship Id="rId27" Type="http://schemas.openxmlformats.org/officeDocument/2006/relationships/hyperlink" Target="https://doi.org/10.1080/15228916.2021.1984818" TargetMode="External"/><Relationship Id="rId30" Type="http://schemas.openxmlformats.org/officeDocument/2006/relationships/hyperlink" Target="https://doi.org/10.1016/j.eneco.2019.104563" TargetMode="External"/><Relationship Id="rId35" Type="http://schemas.openxmlformats.org/officeDocument/2006/relationships/hyperlink" Target="https://www.sciencedirect.com/science/article/pii/S2949753122000066" TargetMode="External"/><Relationship Id="rId43" Type="http://schemas.openxmlformats.org/officeDocument/2006/relationships/hyperlink" Target="https://www.sciencedirect.com/science/article/pii/S0954349X22000352" TargetMode="External"/><Relationship Id="rId48" Type="http://schemas.openxmlformats.org/officeDocument/2006/relationships/hyperlink" Target="https://www.sciencedirect.com/science/article/pii/S0360544220310999?via%3Dihub" TargetMode="External"/><Relationship Id="rId56" Type="http://schemas.openxmlformats.org/officeDocument/2006/relationships/hyperlink" Target="https://www.sciencedirect.com/science/article/pii/S0275531924004598" TargetMode="External"/><Relationship Id="rId64" Type="http://schemas.openxmlformats.org/officeDocument/2006/relationships/hyperlink" Target="https://www.irena.org/Energy-Transition/Outlook/Policies-for-the-energy-transition" TargetMode="External"/><Relationship Id="rId69" Type="http://schemas.openxmlformats.org/officeDocument/2006/relationships/hyperlink" Target="https://www.weforum.org/stories/2023/05/how-does-policy-impact-capital-and-investments-in-renewable-energy/" TargetMode="External"/><Relationship Id="rId8" Type="http://schemas.openxmlformats.org/officeDocument/2006/relationships/image" Target="media/image1.png"/><Relationship Id="rId51" Type="http://schemas.openxmlformats.org/officeDocument/2006/relationships/hyperlink" Target="https://www.sciencedirect.com/science/article/pii/S2352484718302269" TargetMode="External"/><Relationship Id="rId72" Type="http://schemas.openxmlformats.org/officeDocument/2006/relationships/footer" Target="footer2.xml"/><Relationship Id="rId3" Type="http://schemas.openxmlformats.org/officeDocument/2006/relationships/styles" Target="styles.xml"/><Relationship Id="rId12" Type="http://schemas.openxmlformats.org/officeDocument/2006/relationships/hyperlink" Target="https://www.sciencedirect.com/science/article/pii/S2405844023013622?via%3Dihub" TargetMode="External"/><Relationship Id="rId17" Type="http://schemas.openxmlformats.org/officeDocument/2006/relationships/hyperlink" Target="https://www.sciencedirect.com/science/article/pii/S0275531924004598" TargetMode="External"/><Relationship Id="rId25" Type="http://schemas.openxmlformats.org/officeDocument/2006/relationships/hyperlink" Target="https://doi.org/10.1016/j.enpol.2021.112524" TargetMode="External"/><Relationship Id="rId33" Type="http://schemas.openxmlformats.org/officeDocument/2006/relationships/hyperlink" Target="https://doi.org/10.1007/s11356-022-18976-8" TargetMode="External"/><Relationship Id="rId38" Type="http://schemas.openxmlformats.org/officeDocument/2006/relationships/hyperlink" Target="http://www.materialflows.net/" TargetMode="External"/><Relationship Id="rId46" Type="http://schemas.openxmlformats.org/officeDocument/2006/relationships/hyperlink" Target="https://ideas.repec.org/a/eee/renene/v178y2021icp1370-1380.html" TargetMode="External"/><Relationship Id="rId59" Type="http://schemas.openxmlformats.org/officeDocument/2006/relationships/hyperlink" Target="https://www.weforum.org/stories/2023/05/how-does-policy-impact-capital-and-investments-in-renewable-energy/" TargetMode="External"/><Relationship Id="rId67" Type="http://schemas.openxmlformats.org/officeDocument/2006/relationships/hyperlink" Target="https://www.elsevier.es/en-revista-journal-innovation-knowledge-376-articulo-how-do-financial-development-environmental-S2444569X23000653" TargetMode="External"/><Relationship Id="rId20" Type="http://schemas.openxmlformats.org/officeDocument/2006/relationships/hyperlink" Target="https://www.sciencedirect.com/topics/earth-and-planetary-sciences/green-infrastructure" TargetMode="External"/><Relationship Id="rId41" Type="http://schemas.openxmlformats.org/officeDocument/2006/relationships/hyperlink" Target="https://link.springer.com/article/10.1007/s13132-022-00999-8?fromPaywallRec=false" TargetMode="External"/><Relationship Id="rId54" Type="http://schemas.openxmlformats.org/officeDocument/2006/relationships/hyperlink" Target="https://www.sciencedirect.com/science/article/pii/S0954349X22000352" TargetMode="External"/><Relationship Id="rId62" Type="http://schemas.openxmlformats.org/officeDocument/2006/relationships/hyperlink" Target="https://www.wisein.org/" TargetMode="External"/><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sciencedirect.com/science/article/pii/S2405844023013622?via%3Dihub" TargetMode="External"/><Relationship Id="rId23" Type="http://schemas.openxmlformats.org/officeDocument/2006/relationships/hyperlink" Target="https://www.sciencedirect.com/science/article/pii/S2405844023013622?via%3Dihub" TargetMode="External"/><Relationship Id="rId28" Type="http://schemas.openxmlformats.org/officeDocument/2006/relationships/hyperlink" Target="https://ideas.repec.org/a/eee/renene/v147y2020ip1p330-338.html" TargetMode="External"/><Relationship Id="rId36" Type="http://schemas.openxmlformats.org/officeDocument/2006/relationships/hyperlink" Target="https://link.springer.com/article/10.1007/s13132-022-00999-8?fromPaywallRec=false" TargetMode="External"/><Relationship Id="rId49" Type="http://schemas.openxmlformats.org/officeDocument/2006/relationships/hyperlink" Target="https://ideas.repec.org/a/eee/renene/v190y2022icp606-616.html" TargetMode="External"/><Relationship Id="rId57" Type="http://schemas.openxmlformats.org/officeDocument/2006/relationships/image" Target="media/image2.png"/><Relationship Id="rId10" Type="http://schemas.openxmlformats.org/officeDocument/2006/relationships/hyperlink" Target="https://www.sciencedirect.com/topics/economics-econometrics-and-finance/renewable-energy-consumption" TargetMode="External"/><Relationship Id="rId31" Type="http://schemas.openxmlformats.org/officeDocument/2006/relationships/hyperlink" Target="https://www.sciencedirect.com/science/article/pii/S0960148119307190" TargetMode="External"/><Relationship Id="rId44" Type="http://schemas.openxmlformats.org/officeDocument/2006/relationships/hyperlink" Target="https://www.sciencedirect.com/science/article/pii/S0954349X21000333?via%3Dihub" TargetMode="External"/><Relationship Id="rId52" Type="http://schemas.openxmlformats.org/officeDocument/2006/relationships/hyperlink" Target="https://link.springer.com/article/10.1007/s13132-022-00999-8?fromPaywallRec=false" TargetMode="External"/><Relationship Id="rId60" Type="http://schemas.openxmlformats.org/officeDocument/2006/relationships/hyperlink" Target="https://www.econjournals.com/index.php/ijeep/article/download/16794/8233/39287" TargetMode="External"/><Relationship Id="rId65" Type="http://schemas.openxmlformats.org/officeDocument/2006/relationships/hyperlink" Target="https://www.diva-portal.org/smash/get/diva2:1774247/FULLTEXT01.pdf"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ciencedirect.com/science/article/pii/S0360544220310999?via%3Dihub" TargetMode="External"/><Relationship Id="rId13" Type="http://schemas.openxmlformats.org/officeDocument/2006/relationships/hyperlink" Target="https://www.sciencedirect.com/science/article/pii/S2405844023013622?via%3Dihub" TargetMode="External"/><Relationship Id="rId18" Type="http://schemas.openxmlformats.org/officeDocument/2006/relationships/hyperlink" Target="https://link.springer.com/article/10.1007/s11356-023-25888-8" TargetMode="External"/><Relationship Id="rId39" Type="http://schemas.openxmlformats.org/officeDocument/2006/relationships/hyperlink" Target="https://www.sciencedirect.com/science/article/pii/S0960148122005067" TargetMode="External"/><Relationship Id="rId34" Type="http://schemas.openxmlformats.org/officeDocument/2006/relationships/hyperlink" Target="https://link.springer.com/content/pdf/10.1007/s13132-022-00999-8.pdf" TargetMode="External"/><Relationship Id="rId50" Type="http://schemas.openxmlformats.org/officeDocument/2006/relationships/hyperlink" Target="https://ideas.repec.org/a/eee/renene/v178y2021icp1370-1380.html" TargetMode="External"/><Relationship Id="rId55" Type="http://schemas.openxmlformats.org/officeDocument/2006/relationships/hyperlink" Target="https://www.sciencedirect.com/science/article/pii/S0954349X21000333?via%3Dihub" TargetMode="External"/><Relationship Id="rId7" Type="http://schemas.openxmlformats.org/officeDocument/2006/relationships/endnotes" Target="endnotes.xml"/><Relationship Id="rId7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LR9uNj9GKvs1U+GD7uDK+yekSg==">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46</Pages>
  <Words>13883</Words>
  <Characters>79137</Characters>
  <Application>Microsoft Office Word</Application>
  <DocSecurity>0</DocSecurity>
  <Lines>659</Lines>
  <Paragraphs>185</Paragraphs>
  <ScaleCrop>false</ScaleCrop>
  <Company/>
  <LinksUpToDate>false</LinksUpToDate>
  <CharactersWithSpaces>92835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Arrush Nair</cp:lastModifiedBy>
  <cp:revision>3</cp:revision>
  <dcterms:created xsi:type="dcterms:W3CDTF">2025-04-26T18:21:00Z</dcterms:created>
  <dcterms:modified xsi:type="dcterms:W3CDTF">2025-04-26T18:30:00Z</dcterms:modified>
</cp:coreProperties>
</file>