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Position Initiation Recommendation Note</w:t>
      </w:r>
    </w:p>
    <w:p>
      <w:pPr>
        <w:jc w:val="center"/>
      </w:pPr>
      <w:r>
        <w:rPr>
          <w:i/>
          <w:color w:val="5A5A5A"/>
          <w:sz w:val="20"/>
        </w:rPr>
        <w:t>Revised decision memorandum based on the reviewed stop-history scenario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9FC"/>
          </w:tcPr>
          <w:p>
            <w:r>
              <w:rPr>
                <w:b/>
                <w:color w:val="C00000"/>
                <w:sz w:val="28"/>
              </w:rPr>
              <w:t>NONE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Reason in one line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The reviewed output is a stop-management simulation for an already-assumed long trade; it is not an entry model and therefore does not justify authorizing a new LONG or SHORT position.</w:t>
            </w:r>
          </w:p>
        </w:tc>
      </w:tr>
    </w:tbl>
    <w:p/>
    <w:p>
      <w:r>
        <w:rPr>
          <w:b/>
          <w:color w:val="1F4E79"/>
          <w:sz w:val="26"/>
        </w:rPr>
        <w:t>1. Decision Summary</w:t>
      </w:r>
    </w:p>
    <w:p>
      <w:pPr>
        <w:spacing w:after="80"/>
      </w:pPr>
      <w:r>
        <w:t>The scenario reviewed was a what-if stop-history path for an assumed long futures position. It demonstrates how stop risk would have evolved after entry, but it does not establish that a new entry had positive expected value.</w:t>
      </w:r>
    </w:p>
    <w:p>
      <w:pPr>
        <w:spacing w:after="80"/>
      </w:pPr>
      <w:r>
        <w:t>A disciplined institutional recommendation cannot be upgraded to LONG because the material required for entry authorization is absent: there is no validated trigger, no expected reward framework, no expectancy evidence, and no documented comparison between initial risk and likely payoff.</w:t>
      </w:r>
    </w:p>
    <w:p>
      <w:pPr>
        <w:spacing w:after="80"/>
      </w:pPr>
      <w:r>
        <w:t>A SHORT recommendation is also not supported. The scenario contains no short-side thesis, no short entry trigger, and no evidence that the instrument should be sold short rather than avoided.</w:t>
      </w:r>
    </w:p>
    <w:p>
      <w:r>
        <w:rPr>
          <w:b/>
          <w:color w:val="1F4E79"/>
          <w:sz w:val="26"/>
        </w:rPr>
        <w:t>2. Scenario Facts Used in This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304"/>
        <w:gridCol w:w="4752"/>
      </w:tblGrid>
      <w:tr>
        <w:tc>
          <w:tcPr>
            <w:tcW w:type="dxa" w:w="3312"/>
            <w:shd w:fill="D9EA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Observed item</w:t>
            </w:r>
          </w:p>
        </w:tc>
        <w:tc>
          <w:tcPr>
            <w:tcW w:type="dxa" w:w="3312"/>
            <w:shd w:fill="D9EA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Value</w:t>
            </w:r>
          </w:p>
        </w:tc>
        <w:tc>
          <w:tcPr>
            <w:tcW w:type="dxa" w:w="3312"/>
            <w:shd w:fill="D9EA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Instrument / scenario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INFY26APRFUT what-if long path</w:t>
            </w:r>
          </w:p>
        </w:tc>
        <w:tc>
          <w:tcPr>
            <w:tcW w:type="dxa" w:w="47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The reviewed table is conditional on already being long; it is not an initiation signal.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Assumed entry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1 lot, entry price 1292.50 on 2026-04-01</w:t>
            </w:r>
          </w:p>
        </w:tc>
        <w:tc>
          <w:tcPr>
            <w:tcW w:type="dxa" w:w="47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This defines risk after the fact; it does not prove the entry itself was valid.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Initial stop risk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Risk per unit 56.80; total initial risk 22,720</w:t>
            </w:r>
          </w:p>
        </w:tc>
        <w:tc>
          <w:tcPr>
            <w:tcW w:type="dxa" w:w="47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This quantifies downside after entry, but not whether the trade deserved to be opened.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Latest reviewed state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By 2026-04-10, risk per unit tightened to 19.45; total risk to 7,780</w:t>
            </w:r>
          </w:p>
        </w:tc>
        <w:tc>
          <w:tcPr>
            <w:tcW w:type="dxa" w:w="47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Risk improving after entry is useful for management, not sufficient for authorization.</w:t>
            </w:r>
          </w:p>
        </w:tc>
      </w:tr>
    </w:tbl>
    <w:p/>
    <w:p>
      <w:r>
        <w:rPr>
          <w:b/>
          <w:color w:val="1F4E79"/>
          <w:sz w:val="26"/>
        </w:rPr>
        <w:t>3. Why the Recommendation Remains NONE</w:t>
      </w:r>
    </w:p>
    <w:p>
      <w:pPr>
        <w:ind w:left="288" w:hanging="259"/>
      </w:pPr>
      <w:r>
        <w:rPr>
          <w:b/>
        </w:rPr>
        <w:t xml:space="preserve">• </w:t>
      </w:r>
      <w:r>
        <w:t>The reviewed output is conditional on an assumed long entry. A conditional simulation cannot be treated as evidence that a position should now be initiated.</w:t>
      </w:r>
    </w:p>
    <w:p>
      <w:pPr>
        <w:ind w:left="288" w:hanging="259"/>
      </w:pPr>
      <w:r>
        <w:rPr>
          <w:b/>
        </w:rPr>
        <w:t xml:space="preserve">• </w:t>
      </w:r>
      <w:r>
        <w:t>No entry signal is present. There is no breakout rule, pullback rule, trend confirmation, relative-strength filter, or any other reproducible authorization trigger.</w:t>
      </w:r>
    </w:p>
    <w:p>
      <w:pPr>
        <w:ind w:left="288" w:hanging="259"/>
      </w:pPr>
      <w:r>
        <w:rPr>
          <w:b/>
        </w:rPr>
        <w:t xml:space="preserve">• </w:t>
      </w:r>
      <w:r>
        <w:t>No reward case is present. The scenario quantifies downside to stop but does not provide a target, expected reward distribution, or reward-to-risk case.</w:t>
      </w:r>
    </w:p>
    <w:p>
      <w:pPr>
        <w:ind w:left="288" w:hanging="259"/>
      </w:pPr>
      <w:r>
        <w:rPr>
          <w:b/>
        </w:rPr>
        <w:t xml:space="preserve">• </w:t>
      </w:r>
      <w:r>
        <w:t>No edge is shown. There is no backtested expectancy, hit rate, drawdown profile, slippage assumption, or regime analysis.</w:t>
      </w:r>
    </w:p>
    <w:p>
      <w:pPr>
        <w:ind w:left="288" w:hanging="259"/>
      </w:pPr>
      <w:r>
        <w:rPr>
          <w:b/>
        </w:rPr>
        <w:t xml:space="preserve">• </w:t>
      </w:r>
      <w:r>
        <w:t>No portfolio context is shown. A decision to initiate a position must consider risk budget, exposure concentration, event risk, and competing opportunities.</w:t>
      </w:r>
    </w:p>
    <w:p>
      <w:r>
        <w:rPr>
          <w:b/>
          <w:color w:val="1F4E79"/>
          <w:sz w:val="26"/>
        </w:rPr>
        <w:t>4. What the Scenario Does Prove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4968"/>
            <w:shd w:fill="D9EA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Useful conclusion</w:t>
            </w:r>
          </w:p>
        </w:tc>
        <w:tc>
          <w:tcPr>
            <w:tcW w:type="dxa" w:w="4968"/>
            <w:shd w:fill="D9EA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Initial stop risk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How much rupee risk the trade would have carried immediately after the assumed entry.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Stop evolution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Whether risk tightened, stayed flat, or widened as the market moved after entry.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Capital protection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Whether the stop eventually moved near or above entry and started protecting open profit.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Operational discipline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Whether the rules would have required a stop update or no action on each day.</w:t>
            </w:r>
          </w:p>
        </w:tc>
      </w:tr>
    </w:tbl>
    <w:p/>
    <w:p>
      <w:r>
        <w:rPr>
          <w:b/>
          <w:color w:val="1F4E79"/>
          <w:sz w:val="26"/>
        </w:rPr>
        <w:t>5. Minimum Institutional Standard Before LONG or SHORT</w:t>
      </w:r>
    </w:p>
    <w:p>
      <w:pPr>
        <w:spacing w:after="40"/>
      </w:pPr>
      <w:r>
        <w:rPr>
          <w:b/>
        </w:rPr>
        <w:t xml:space="preserve">Entry rule: </w:t>
      </w:r>
      <w:r>
        <w:t>A documented and reproducible trigger must exist before the trade is authorized.</w:t>
      </w:r>
    </w:p>
    <w:p>
      <w:pPr>
        <w:spacing w:after="40"/>
      </w:pPr>
      <w:r>
        <w:rPr>
          <w:b/>
        </w:rPr>
        <w:t xml:space="preserve">Initial stop rule: </w:t>
      </w:r>
      <w:r>
        <w:t>Initial rupee risk per lot must be known before entry, not inferred later.</w:t>
      </w:r>
    </w:p>
    <w:p>
      <w:pPr>
        <w:spacing w:after="40"/>
      </w:pPr>
      <w:r>
        <w:rPr>
          <w:b/>
        </w:rPr>
        <w:t xml:space="preserve">Sizing rule: </w:t>
      </w:r>
      <w:r>
        <w:t>Lots must be sized from a fixed risk budget rather than from discretionary comfort.</w:t>
      </w:r>
    </w:p>
    <w:p>
      <w:pPr>
        <w:spacing w:after="40"/>
      </w:pPr>
      <w:r>
        <w:rPr>
          <w:b/>
        </w:rPr>
        <w:t xml:space="preserve">Reward framework: </w:t>
      </w:r>
      <w:r>
        <w:t>Expected upside or payoff distribution must be documented so reward can be compared with risk.</w:t>
      </w:r>
    </w:p>
    <w:p>
      <w:pPr>
        <w:spacing w:after="40"/>
      </w:pPr>
      <w:r>
        <w:rPr>
          <w:b/>
        </w:rPr>
        <w:t xml:space="preserve">Validation: </w:t>
      </w:r>
      <w:r>
        <w:t>Historical testing must cover multiple dates, volatility conditions, slippage assumptions, and drawdown behavior.</w:t>
      </w:r>
    </w:p>
    <w:p>
      <w:pPr>
        <w:spacing w:after="40"/>
      </w:pPr>
      <w:r>
        <w:rPr>
          <w:b/>
        </w:rPr>
        <w:t xml:space="preserve">Execution controls: </w:t>
      </w:r>
      <w:r>
        <w:t>Liquidity, lot size, event risk, gap risk, and portfolio concentration must be checked.</w:t>
      </w:r>
    </w:p>
    <w:p>
      <w:r>
        <w:rPr>
          <w:b/>
          <w:color w:val="1F4E79"/>
          <w:sz w:val="26"/>
        </w:rPr>
        <w:t>6. Recommended Decision Standard</w:t>
      </w:r>
    </w:p>
    <w:p>
      <w:r>
        <w:t>Upgrade to LONG only when a valid entry trigger, an acceptable initial rupee risk per lot, and a documented reward expectation all exist together.</w:t>
      </w:r>
    </w:p>
    <w:p>
      <w:r>
        <w:t>Upgrade to SHORT only when the same standard is satisfied on the short side.</w:t>
      </w:r>
    </w:p>
    <w:p>
      <w:r>
        <w:t>Until that framework is added, the disciplined institutional recommendation remains NONE.</w:t>
      </w:r>
    </w:p>
    <w:p>
      <w:r>
        <w:rPr>
          <w:b/>
          <w:color w:val="1F4E79"/>
          <w:sz w:val="26"/>
        </w:rPr>
        <w:t>7. Immediate Next Step</w:t>
      </w:r>
    </w:p>
    <w:p>
      <w:r>
        <w:rPr>
          <w:b/>
        </w:rPr>
        <w:t xml:space="preserve">Build a separate entry-decision layer that outputs: </w:t>
      </w:r>
      <w:r>
        <w:t>signal (LONG / NONE / SHORT), entry trigger, initial stop, risk per lot, permissible lots under risk budget, and expected reward-to-risk. The existing stop engine can then manage the position after the entry has been authorized.</w:t>
      </w:r>
    </w:p>
    <w:p/>
    <w:p>
      <w:pPr>
        <w:jc w:val="center"/>
      </w:pPr>
      <w:r>
        <w:rPr>
          <w:i/>
          <w:color w:val="646464"/>
          <w:sz w:val="18"/>
        </w:rPr>
        <w:t>Prepared from the reviewed stop-history scenario and revised for sharper decision use.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