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i w:val="0"/>
          <w:color w:val="1F4E79"/>
          <w:sz w:val="40"/>
        </w:rPr>
        <w:t>Position Initiation Recommendation Note</w:t>
      </w:r>
    </w:p>
    <w:p>
      <w:pPr>
        <w:jc w:val="center"/>
      </w:pPr>
      <w:r>
        <w:rPr>
          <w:rFonts w:ascii="Aptos" w:hAnsi="Aptos"/>
          <w:b w:val="0"/>
          <w:i/>
          <w:color w:val="5A5A5A"/>
          <w:sz w:val="21"/>
        </w:rPr>
        <w:t>Institutional-grade recommendation based on the provided stop-history scenario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056"/>
      </w:tblGrid>
      <w:tr>
        <w:tc>
          <w:tcPr>
            <w:tcW w:type="dxa" w:w="2592"/>
            <w:vAlign w:val="center"/>
            <w:shd w:fill="1F4E79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22"/>
              </w:rPr>
              <w:t>Recommendation</w:t>
            </w:r>
          </w:p>
        </w:tc>
        <w:tc>
          <w:tcPr>
            <w:tcW w:type="dxa" w:w="7056"/>
            <w:vAlign w:val="center"/>
            <w:shd w:fill="FDE9E7"/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C00000"/>
                <w:sz w:val="22"/>
              </w:rPr>
              <w:t>NONE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rFonts w:ascii="Aptos" w:hAnsi="Aptos"/>
                <w:b/>
                <w:i w:val="0"/>
                <w:sz w:val="20"/>
              </w:rPr>
              <w:t>Decision basis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The supplied output is a stop-management simulation, not an entry model. It shows how risk would evolve after a hypothetical long entry, but it does not establish whether initiating the trade has positive expected value.</w:t>
            </w:r>
          </w:p>
        </w:tc>
      </w:tr>
    </w:tbl>
    <w:p/>
    <w:p>
      <w:pPr>
        <w:spacing w:after="60"/>
      </w:pPr>
      <w:r>
        <w:rPr>
          <w:rFonts w:ascii="Aptos" w:hAnsi="Aptos"/>
          <w:b/>
          <w:i w:val="0"/>
          <w:color w:val="1F4E79"/>
          <w:sz w:val="25"/>
        </w:rPr>
        <w:t>Document purpose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This note records a disciplined recommendation on whether a new position should be initiated from the scenario reviewed in the stop-history what-if output.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The analysis conclusion is intentionally narrow: the stop-history path is useful for post-entry risk management, but it is not sufficient on its own to authorize a new trade.</w:t>
      </w:r>
    </w:p>
    <w:p>
      <w:pPr>
        <w:spacing w:after="60"/>
      </w:pPr>
      <w:r>
        <w:rPr>
          <w:rFonts w:ascii="Aptos" w:hAnsi="Aptos"/>
          <w:b/>
          <w:i w:val="0"/>
          <w:color w:val="1F4E79"/>
          <w:sz w:val="25"/>
        </w:rPr>
        <w:t>Why the recommendation is NONE</w:t>
      </w:r>
    </w:p>
    <w:p>
      <w:pPr>
        <w:pStyle w:val="ListBullet"/>
        <w:spacing w:after="20"/>
      </w:pPr>
      <w:r>
        <w:t>The scenario is conditional on already being long from a selected entry date and price.</w:t>
      </w:r>
    </w:p>
    <w:p>
      <w:pPr>
        <w:pStyle w:val="ListBullet"/>
        <w:spacing w:after="20"/>
      </w:pPr>
      <w:r>
        <w:t>It does not supply an entry signal, entry thesis, or evidence of edge.</w:t>
      </w:r>
    </w:p>
    <w:p>
      <w:pPr>
        <w:pStyle w:val="ListBullet"/>
        <w:spacing w:after="20"/>
      </w:pPr>
      <w:r>
        <w:t>It does not provide a reward target or expected upside to compare against initial stop risk.</w:t>
      </w:r>
    </w:p>
    <w:p>
      <w:pPr>
        <w:pStyle w:val="ListBullet"/>
        <w:spacing w:after="20"/>
      </w:pPr>
      <w:r>
        <w:t>It does not show expected value, win rate, drawdown behaviour, or market-regime robustness.</w:t>
      </w:r>
    </w:p>
    <w:p>
      <w:pPr>
        <w:pStyle w:val="ListBullet"/>
        <w:spacing w:after="20"/>
      </w:pPr>
      <w:r>
        <w:t>It therefore supports trade management, not trade authorization.</w:t>
      </w:r>
    </w:p>
    <w:p>
      <w:pPr>
        <w:spacing w:after="60"/>
      </w:pPr>
      <w:r>
        <w:rPr>
          <w:rFonts w:ascii="Aptos" w:hAnsi="Aptos"/>
          <w:b/>
          <w:i w:val="0"/>
          <w:color w:val="1F4E79"/>
          <w:sz w:val="25"/>
        </w:rPr>
        <w:t>What the scenario does prove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336"/>
      </w:tblGrid>
      <w:tr>
        <w:tc>
          <w:tcPr>
            <w:tcW w:type="dxa" w:w="4968"/>
            <w:shd w:fill="D9EAF7"/>
            <w:vAlign w:val="center"/>
          </w:tcPr>
          <w:p>
            <w:r>
              <w:rPr>
                <w:rFonts w:ascii="Aptos" w:hAnsi="Aptos"/>
                <w:b/>
                <w:i w:val="0"/>
                <w:color w:val="1F4E79"/>
                <w:sz w:val="20"/>
              </w:rPr>
              <w:t>Useful conclusion</w:t>
            </w:r>
          </w:p>
        </w:tc>
        <w:tc>
          <w:tcPr>
            <w:tcW w:type="dxa" w:w="4968"/>
            <w:shd w:fill="D9EAF7"/>
            <w:vAlign w:val="center"/>
          </w:tcPr>
          <w:p>
            <w:r>
              <w:rPr>
                <w:rFonts w:ascii="Aptos" w:hAnsi="Aptos"/>
                <w:b/>
                <w:i w:val="0"/>
                <w:color w:val="1F4E79"/>
                <w:sz w:val="20"/>
              </w:rPr>
              <w:t>Meaning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Initial stop risk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How much rupee risk the trade would have carried immediately after the chosen entry.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Stop evolution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Whether risk tightened, stayed flat, or expanded as the market moved.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Capital protection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Whether the stop eventually moved above entry and began protecting open profit.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Operational discipline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ptos" w:hAnsi="Aptos"/>
                <w:b w:val="0"/>
                <w:i w:val="0"/>
                <w:sz w:val="20"/>
              </w:rPr>
              <w:t>Whether a rule-based stop process would have required updates or no action on each day.</w:t>
            </w:r>
          </w:p>
        </w:tc>
      </w:tr>
    </w:tbl>
    <w:p/>
    <w:p>
      <w:pPr>
        <w:spacing w:after="60"/>
      </w:pPr>
      <w:r>
        <w:rPr>
          <w:rFonts w:ascii="Aptos" w:hAnsi="Aptos"/>
          <w:b/>
          <w:i w:val="0"/>
          <w:color w:val="1F4E79"/>
          <w:sz w:val="25"/>
        </w:rPr>
        <w:t>Institutional-grade requirements before upgrading to LONG or SHORT</w:t>
      </w:r>
    </w:p>
    <w:p>
      <w:pPr>
        <w:pStyle w:val="ListNumber"/>
        <w:spacing w:after="20"/>
      </w:pPr>
      <w:r>
        <w:rPr>
          <w:rFonts w:ascii="Aptos" w:hAnsi="Aptos"/>
          <w:b/>
          <w:i w:val="0"/>
          <w:sz w:val="21"/>
        </w:rPr>
        <w:t xml:space="preserve">Entry rule: </w:t>
      </w:r>
      <w:r>
        <w:rPr>
          <w:rFonts w:ascii="Aptos" w:hAnsi="Aptos"/>
          <w:b w:val="0"/>
          <w:i w:val="0"/>
          <w:sz w:val="21"/>
        </w:rPr>
        <w:t>A clearly defined trigger such as breakout, pullback, range expansion, relative-strength confirmation, or another reproducible setup.</w:t>
      </w:r>
    </w:p>
    <w:p>
      <w:pPr>
        <w:pStyle w:val="ListNumber"/>
        <w:spacing w:after="20"/>
      </w:pPr>
      <w:r>
        <w:rPr>
          <w:rFonts w:ascii="Aptos" w:hAnsi="Aptos"/>
          <w:b/>
          <w:i w:val="0"/>
          <w:sz w:val="21"/>
        </w:rPr>
        <w:t xml:space="preserve">Initial stop rule: </w:t>
      </w:r>
      <w:r>
        <w:rPr>
          <w:rFonts w:ascii="Aptos" w:hAnsi="Aptos"/>
          <w:b w:val="0"/>
          <w:i w:val="0"/>
          <w:sz w:val="21"/>
        </w:rPr>
        <w:t>A computed initial stop with risk per unit and rupee risk per lot known before entry.</w:t>
      </w:r>
    </w:p>
    <w:p>
      <w:pPr>
        <w:pStyle w:val="ListNumber"/>
        <w:spacing w:after="20"/>
      </w:pPr>
      <w:r>
        <w:rPr>
          <w:rFonts w:ascii="Aptos" w:hAnsi="Aptos"/>
          <w:b/>
          <w:i w:val="0"/>
          <w:sz w:val="21"/>
        </w:rPr>
        <w:t xml:space="preserve">Position sizing rule: </w:t>
      </w:r>
      <w:r>
        <w:rPr>
          <w:rFonts w:ascii="Aptos" w:hAnsi="Aptos"/>
          <w:b w:val="0"/>
          <w:i w:val="0"/>
          <w:sz w:val="21"/>
        </w:rPr>
        <w:t>Lots sized from a fixed loss budget rather than from discretionary comfort.</w:t>
      </w:r>
    </w:p>
    <w:p>
      <w:pPr>
        <w:pStyle w:val="ListNumber"/>
        <w:spacing w:after="20"/>
      </w:pPr>
      <w:r>
        <w:rPr>
          <w:rFonts w:ascii="Aptos" w:hAnsi="Aptos"/>
          <w:b/>
          <w:i w:val="0"/>
          <w:sz w:val="21"/>
        </w:rPr>
        <w:t xml:space="preserve">Reward framework: </w:t>
      </w:r>
      <w:r>
        <w:rPr>
          <w:rFonts w:ascii="Aptos" w:hAnsi="Aptos"/>
          <w:b w:val="0"/>
          <w:i w:val="0"/>
          <w:sz w:val="21"/>
        </w:rPr>
        <w:t>A target or expected payoff distribution so reward can be compared with initial risk.</w:t>
      </w:r>
    </w:p>
    <w:p>
      <w:pPr>
        <w:pStyle w:val="ListNumber"/>
        <w:spacing w:after="20"/>
      </w:pPr>
      <w:r>
        <w:rPr>
          <w:rFonts w:ascii="Aptos" w:hAnsi="Aptos"/>
          <w:b/>
          <w:i w:val="0"/>
          <w:sz w:val="21"/>
        </w:rPr>
        <w:t xml:space="preserve">Validation: </w:t>
      </w:r>
      <w:r>
        <w:rPr>
          <w:rFonts w:ascii="Aptos" w:hAnsi="Aptos"/>
          <w:b w:val="0"/>
          <w:i w:val="0"/>
          <w:sz w:val="21"/>
        </w:rPr>
        <w:t>Historical testing across multiple dates and conditions, including drawdown and slippage assumptions.</w:t>
      </w:r>
    </w:p>
    <w:p>
      <w:pPr>
        <w:pStyle w:val="ListNumber"/>
        <w:spacing w:after="20"/>
      </w:pPr>
      <w:r>
        <w:rPr>
          <w:rFonts w:ascii="Aptos" w:hAnsi="Aptos"/>
          <w:b/>
          <w:i w:val="0"/>
          <w:sz w:val="21"/>
        </w:rPr>
        <w:t xml:space="preserve">Execution checklist: </w:t>
      </w:r>
      <w:r>
        <w:rPr>
          <w:rFonts w:ascii="Aptos" w:hAnsi="Aptos"/>
          <w:b w:val="0"/>
          <w:i w:val="0"/>
          <w:sz w:val="21"/>
        </w:rPr>
        <w:t>Liquidity, lot size, gap risk, event risk, and portfolio concentration controls.</w:t>
      </w:r>
    </w:p>
    <w:p>
      <w:pPr>
        <w:spacing w:after="60"/>
      </w:pPr>
      <w:r>
        <w:rPr>
          <w:rFonts w:ascii="Aptos" w:hAnsi="Aptos"/>
          <w:b/>
          <w:i w:val="0"/>
          <w:color w:val="1F4E79"/>
          <w:sz w:val="25"/>
        </w:rPr>
        <w:t>Recommended decision standard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Upgrade to LONG only when the trade has a valid entry trigger, an acceptable initial rupee risk per lot, and a documented reward expectation that justifies the risk budget.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Upgrade to SHORT only when the same standard is satisfied on the short side.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Until that framework is added, the disciplined institutional recommendation remains NONE.</w:t>
      </w:r>
    </w:p>
    <w:p>
      <w:pPr>
        <w:spacing w:after="60"/>
      </w:pPr>
      <w:r>
        <w:rPr>
          <w:rFonts w:ascii="Aptos" w:hAnsi="Aptos"/>
          <w:b/>
          <w:i w:val="0"/>
          <w:color w:val="1F4E79"/>
          <w:sz w:val="25"/>
        </w:rPr>
        <w:t>Practical next step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Build a separate entry-decision layer that outputs: signal (LONG / NONE / SHORT), entry trigger, initial stop, risk per lot, permissible lots under risk budget, and expected reward-to-risk. The existing stop engine can then manage the position after the entry has been authorized.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646464"/>
        <w:sz w:val="17"/>
      </w:rPr>
      <w:t>Prepared from the current scenario discussion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