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실습 4.7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탄력적 IP 주소 할당과 사용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탄력적 IP 주소를 할당하고 이미 만들어진 인스턴스에 연결한다.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4320000" cy="267840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7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‘IPv4 퍼블릭 IP’ 를 확인한다. 실습을 마치고 나면 변경된 것을 확인할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VPC 대시 보드에서 [탄력적 IP]를 클릭한다.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[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탄력적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IP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주소 할당]을 클릭한다.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16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[할당]을 클릭한다.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20000" cy="25056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0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4. EIP를 클릭하고 [</w:t>
      </w:r>
      <w:r w:rsidDel="00000000" w:rsidR="00000000" w:rsidRPr="00000000">
        <w:rPr>
          <w:b w:val="1"/>
          <w:color w:val="ff0000"/>
          <w:rtl w:val="0"/>
        </w:rPr>
        <w:t xml:space="preserve">Action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] 메뉴에서 [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탄력적 IP 주소 연결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]을 클릭한다.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160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5. 이미 만들어진 인스턴스를 선택한다.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6. [연결]을 클릭한다. 인스턴스의 원래 퍼블릭 IP 주소가 EIP로 변경돼야 한다.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35498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49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4320000" cy="24192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‘IPv4 퍼블릭 IP’ 가 탄력적 IP 주소로 변경된 것을 확인할 수 있다.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