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A5F"/>
          <w:sz w:val="60"/>
        </w:rPr>
        <w:t>Family Medicine Synthetic Dataset</w:t>
      </w:r>
    </w:p>
    <w:p>
      <w:pPr>
        <w:jc w:val="center"/>
      </w:pPr>
      <w:r>
        <w:rPr>
          <w:color w:val="167D7F"/>
          <w:sz w:val="40"/>
        </w:rPr>
        <w:t>Feature Guide</w:t>
      </w:r>
    </w:p>
    <w:p>
      <w:pPr>
        <w:jc w:val="center"/>
      </w:pPr>
      <w:r>
        <w:rPr>
          <w:color w:val="555555"/>
          <w:sz w:val="26"/>
        </w:rPr>
        <w:t>10,000 patients  ·  165,000+ visits  ·  777,000+ lab results</w:t>
      </w:r>
    </w:p>
    <w:p/>
    <w:p/>
    <w:p/>
    <w:p/>
    <w:p/>
    <w:p/>
    <w:p/>
    <w:p/>
    <w:p>
      <w:pPr>
        <w:jc w:val="center"/>
      </w:pPr>
      <w:r>
        <w:rPr>
          <w:i/>
          <w:color w:val="555555"/>
        </w:rPr>
        <w:t>A medically realistic synthetic OPD dataset for testing agentic AI care programs</w:t>
      </w:r>
    </w:p>
    <w:p>
      <w:pPr>
        <w:jc w:val="center"/>
      </w:pPr>
      <w:r>
        <w:rPr>
          <w:color w:val="555555"/>
          <w:sz w:val="20"/>
        </w:rPr>
        <w:t>Stack: Python · Faker · SQLAlchemy · SQLite · Alembic</w:t>
      </w:r>
    </w:p>
    <w:p>
      <w:r>
        <w:br w:type="page"/>
      </w:r>
    </w:p>
    <w:p>
      <w:pPr>
        <w:pStyle w:val="Heading1"/>
      </w:pPr>
      <w:r>
        <w:t>Contents</w:t>
      </w:r>
    </w:p>
    <w:p>
      <w:pPr>
        <w:spacing w:after="60"/>
      </w:pPr>
      <w:r>
        <w:t>1.  Overview</w:t>
      </w:r>
    </w:p>
    <w:p>
      <w:pPr>
        <w:spacing w:after="60"/>
      </w:pPr>
      <w:r>
        <w:t>2.  Key Features at a Glance</w:t>
      </w:r>
    </w:p>
    <w:p>
      <w:pPr>
        <w:spacing w:after="60"/>
      </w:pPr>
      <w:r>
        <w:t>3.  Getting Started</w:t>
      </w:r>
    </w:p>
    <w:p>
      <w:pPr>
        <w:spacing w:after="60"/>
      </w:pPr>
      <w:r>
        <w:t>4.  Data Model</w:t>
      </w:r>
    </w:p>
    <w:p>
      <w:pPr>
        <w:spacing w:after="60"/>
      </w:pPr>
      <w:r>
        <w:t>5.  The Disease Engine</w:t>
      </w:r>
    </w:p>
    <w:p>
      <w:pPr>
        <w:spacing w:after="60"/>
      </w:pPr>
      <w:r>
        <w:t>6.  Command-Line Interface</w:t>
      </w:r>
    </w:p>
    <w:p>
      <w:pPr>
        <w:spacing w:after="60"/>
      </w:pPr>
      <w:r>
        <w:t>7.  Export Formats</w:t>
      </w:r>
    </w:p>
    <w:p>
      <w:pPr>
        <w:spacing w:after="60"/>
      </w:pPr>
      <w:r>
        <w:t>8.  Extensible Schema Architecture</w:t>
      </w:r>
    </w:p>
    <w:p>
      <w:pPr>
        <w:spacing w:after="60"/>
      </w:pPr>
      <w:r>
        <w:t>9.  Dataset Statistics</w:t>
      </w:r>
    </w:p>
    <w:p>
      <w:pPr>
        <w:spacing w:after="60"/>
      </w:pPr>
      <w:r>
        <w:t>10. Roadmap &amp; Possible Extensions</w:t>
      </w:r>
    </w:p>
    <w:p>
      <w:r>
        <w:br w:type="page"/>
      </w:r>
    </w:p>
    <w:p>
      <w:pPr>
        <w:pStyle w:val="Heading1"/>
      </w:pPr>
      <w:r>
        <w:t>1.  Overview</w:t>
      </w:r>
    </w:p>
    <w:p>
      <w:r>
        <w:t>The Family Medicine Synthetic Dataset is a generator and pre-built database of medically realistic outpatient (OPD) records. It produces 10,000 synthetic patients with roughly four years of visit history — 165,000+ visits, 165,000+ diagnoses, 170,000+ prescriptions, and 777,000+ lab results — all driven by age, sex, and seasonal disease probabilities.</w:t>
      </w:r>
    </w:p>
    <w:p>
      <w:r>
        <w:t>The dataset is purpose-built as a safe, no-PHI sandbox for developing and testing agentic AI care programs, clinical decision tools, FHIR pipelines, and analytics — without touching real patient data.</w:t>
      </w:r>
    </w:p>
    <w:p>
      <w:pPr>
        <w:pStyle w:val="Heading3"/>
      </w:pPr>
      <w:r>
        <w:t>Who it's for</w:t>
      </w:r>
    </w:p>
    <w:p>
      <w:pPr>
        <w:pStyle w:val="ListBullet"/>
      </w:pPr>
      <w:r>
        <w:t>AI/ML engineers building or evaluating agentic care programs.</w:t>
      </w:r>
    </w:p>
    <w:p>
      <w:pPr>
        <w:pStyle w:val="ListBullet"/>
      </w:pPr>
      <w:r>
        <w:t>Healthcare integration developers testing FHIR R4 pipelines.</w:t>
      </w:r>
    </w:p>
    <w:p>
      <w:pPr>
        <w:pStyle w:val="ListBullet"/>
      </w:pPr>
      <w:r>
        <w:t>Data scientists prototyping risk-stratification or care-gap models.</w:t>
      </w:r>
    </w:p>
    <w:p>
      <w:pPr>
        <w:pStyle w:val="ListBullet"/>
      </w:pPr>
      <w:r>
        <w:t>Anyone needing realistic clinical data without privacy or compliance overhead.</w:t>
      </w:r>
    </w:p>
    <w:p>
      <w:pPr>
        <w:pStyle w:val="Heading1"/>
      </w:pPr>
      <w:r>
        <w:t>2.  Key Features at a Glance</w:t>
      </w:r>
    </w:p>
    <w:tbl>
      <w:tblPr>
        <w:tblStyle w:val="LightGrid-Accent1"/>
        <w:tblW w:type="auto" w:w="0"/>
        <w:jc w:val="left"/>
        <w:tblLook w:firstColumn="1" w:firstRow="1" w:lastColumn="0" w:lastRow="0" w:noHBand="0" w:noVBand="1" w:val="04A0"/>
      </w:tblPr>
      <w:tblGrid>
        <w:gridCol w:w="4320"/>
        <w:gridCol w:w="4320"/>
      </w:tblGrid>
      <w:tr>
        <w:tc>
          <w:tcPr>
            <w:tcW w:type="dxa" w:w="2880"/>
            <w:shd w:val="clear" w:fill="1F3A5F"/>
          </w:tcPr>
          <w:p>
            <w:r/>
            <w:r>
              <w:rPr>
                <w:b/>
                <w:color w:val="FFFFFF"/>
                <w:sz w:val="21"/>
              </w:rPr>
              <w:t>Feature</w:t>
            </w:r>
          </w:p>
        </w:tc>
        <w:tc>
          <w:tcPr>
            <w:tcW w:type="dxa" w:w="6480"/>
            <w:shd w:val="clear" w:fill="1F3A5F"/>
          </w:tcPr>
          <w:p>
            <w:r/>
            <w:r>
              <w:rPr>
                <w:b/>
                <w:color w:val="FFFFFF"/>
                <w:sz w:val="21"/>
              </w:rPr>
              <w:t>Description</w:t>
            </w:r>
          </w:p>
        </w:tc>
      </w:tr>
      <w:tr>
        <w:tc>
          <w:tcPr>
            <w:tcW w:type="dxa" w:w="2880"/>
          </w:tcPr>
          <w:p>
            <w:r/>
            <w:r>
              <w:rPr>
                <w:sz w:val="20"/>
              </w:rPr>
              <w:t>Realistic generation</w:t>
            </w:r>
          </w:p>
        </w:tc>
        <w:tc>
          <w:tcPr>
            <w:tcW w:type="dxa" w:w="6480"/>
          </w:tcPr>
          <w:p>
            <w:r/>
            <w:r>
              <w:rPr>
                <w:sz w:val="20"/>
              </w:rPr>
              <w:t>Age/sex/season-weighted disease probability engine with comorbidity seeding.</w:t>
            </w:r>
          </w:p>
        </w:tc>
      </w:tr>
      <w:tr>
        <w:tc>
          <w:tcPr>
            <w:tcW w:type="dxa" w:w="2880"/>
          </w:tcPr>
          <w:p>
            <w:r/>
            <w:r>
              <w:rPr>
                <w:sz w:val="20"/>
              </w:rPr>
              <w:t>30 conditions</w:t>
            </w:r>
          </w:p>
        </w:tc>
        <w:tc>
          <w:tcPr>
            <w:tcW w:type="dxa" w:w="6480"/>
          </w:tcPr>
          <w:p>
            <w:r/>
            <w:r>
              <w:rPr>
                <w:sz w:val="20"/>
              </w:rPr>
              <w:t>Coverage spanning pediatric, adolescent, adult, and senior care.</w:t>
            </w:r>
          </w:p>
        </w:tc>
      </w:tr>
      <w:tr>
        <w:tc>
          <w:tcPr>
            <w:tcW w:type="dxa" w:w="2880"/>
          </w:tcPr>
          <w:p>
            <w:r/>
            <w:r>
              <w:rPr>
                <w:sz w:val="20"/>
              </w:rPr>
              <w:t>Full clinical detail</w:t>
            </w:r>
          </w:p>
        </w:tc>
        <w:tc>
          <w:tcPr>
            <w:tcW w:type="dxa" w:w="6480"/>
          </w:tcPr>
          <w:p>
            <w:r/>
            <w:r>
              <w:rPr>
                <w:sz w:val="20"/>
              </w:rPr>
              <w:t>Vitals, ICD-10 diagnoses, formulary-accurate prescriptions, and LOINC-coded labs.</w:t>
            </w:r>
          </w:p>
        </w:tc>
      </w:tr>
      <w:tr>
        <w:tc>
          <w:tcPr>
            <w:tcW w:type="dxa" w:w="2880"/>
          </w:tcPr>
          <w:p>
            <w:r/>
            <w:r>
              <w:rPr>
                <w:sz w:val="20"/>
              </w:rPr>
              <w:t>Three export formats</w:t>
            </w:r>
          </w:p>
        </w:tc>
        <w:tc>
          <w:tcPr>
            <w:tcW w:type="dxa" w:w="6480"/>
          </w:tcPr>
          <w:p>
            <w:r/>
            <w:r>
              <w:rPr>
                <w:sz w:val="20"/>
              </w:rPr>
              <w:t>Per-patient JSON, FHIR R4 Bundles, and LLM-ready plain-text charts.</w:t>
            </w:r>
          </w:p>
        </w:tc>
      </w:tr>
      <w:tr>
        <w:tc>
          <w:tcPr>
            <w:tcW w:type="dxa" w:w="2880"/>
          </w:tcPr>
          <w:p>
            <w:r/>
            <w:r>
              <w:rPr>
                <w:sz w:val="20"/>
              </w:rPr>
              <w:t>Maintenance CLI</w:t>
            </w:r>
          </w:p>
        </w:tc>
        <w:tc>
          <w:tcPr>
            <w:tcW w:type="dxa" w:w="6480"/>
          </w:tcPr>
          <w:p>
            <w:r/>
            <w:r>
              <w:rPr>
                <w:sz w:val="20"/>
              </w:rPr>
              <w:t>Generate, inspect, export, inject disease spikes, and advance time.</w:t>
            </w:r>
          </w:p>
        </w:tc>
      </w:tr>
      <w:tr>
        <w:tc>
          <w:tcPr>
            <w:tcW w:type="dxa" w:w="2880"/>
          </w:tcPr>
          <w:p>
            <w:r/>
            <w:r>
              <w:rPr>
                <w:sz w:val="20"/>
              </w:rPr>
              <w:t>Pre-built database</w:t>
            </w:r>
          </w:p>
        </w:tc>
        <w:tc>
          <w:tcPr>
            <w:tcW w:type="dxa" w:w="6480"/>
          </w:tcPr>
          <w:p>
            <w:r/>
            <w:r>
              <w:rPr>
                <w:sz w:val="20"/>
              </w:rPr>
              <w:t>Ships with a ~87 MB SQLite database of 10,000 patients.</w:t>
            </w:r>
          </w:p>
        </w:tc>
      </w:tr>
      <w:tr>
        <w:tc>
          <w:tcPr>
            <w:tcW w:type="dxa" w:w="2880"/>
          </w:tcPr>
          <w:p>
            <w:r/>
            <w:r>
              <w:rPr>
                <w:sz w:val="20"/>
              </w:rPr>
              <w:t>Extensible schema</w:t>
            </w:r>
          </w:p>
        </w:tc>
        <w:tc>
          <w:tcPr>
            <w:tcW w:type="dxa" w:w="6480"/>
          </w:tcPr>
          <w:p>
            <w:r/>
            <w:r>
              <w:rPr>
                <w:sz w:val="20"/>
              </w:rPr>
              <w:t>JSON-driven, modular schema registry with Alembic migration support.</w:t>
            </w:r>
          </w:p>
        </w:tc>
      </w:tr>
    </w:tbl>
    <w:p/>
    <w:p>
      <w:pPr>
        <w:pStyle w:val="Heading1"/>
      </w:pPr>
      <w:r>
        <w:t>3.  Getting Started</w:t>
      </w:r>
    </w:p>
    <w:p>
      <w:r>
        <w:t>Install dependencies and generate a dataset in a few commands:</w:t>
      </w:r>
    </w:p>
    <w:p>
      <w:pPr>
        <w:spacing w:before="40" w:after="160"/>
        <w:ind w:left="288"/>
        <w:shd w:val="clear" w:fill="EAF1F4"/>
      </w:pPr>
      <w:r>
        <w:rPr>
          <w:rFonts w:ascii="Consolas" w:hAnsi="Consolas"/>
          <w:color w:val="1A1A1A"/>
          <w:sz w:val="19"/>
        </w:rPr>
        <w:t>pip install -r requirements.txt</w:t>
        <w:br/>
        <w:br/>
        <w:t># Generate 10,000 patients (4 years of history)</w:t>
        <w:br/>
        <w:t>python cli.py generate --patients 10000 --years 4</w:t>
        <w:br/>
        <w:br/>
        <w:t># View statistics</w:t>
        <w:br/>
        <w:t>python cli.py stats</w:t>
        <w:br/>
        <w:br/>
        <w:t># Export to JSON / FHIR R4 / Plain text</w:t>
        <w:br/>
        <w:t>python cli.py export --format all --limit 500 --output-dir exports/</w:t>
        <w:br/>
        <w:br/>
        <w:t># Show one patient chart</w:t>
        <w:br/>
        <w:t>python cli.py show --mrn MRN12345678</w:t>
      </w:r>
    </w:p>
    <w:p>
      <w:r>
        <w:t>A pre-generated database (family_medicine.db) is included, so you can run stats, show, and export commands immediately without regenerating.</w:t>
      </w:r>
    </w:p>
    <w:p>
      <w:pPr>
        <w:pStyle w:val="Heading3"/>
      </w:pPr>
      <w:r>
        <w:t>Project Files</w:t>
      </w:r>
    </w:p>
    <w:tbl>
      <w:tblPr>
        <w:tblStyle w:val="LightGrid-Accent1"/>
        <w:tblW w:type="auto" w:w="0"/>
        <w:jc w:val="left"/>
        <w:tblLook w:firstColumn="1" w:firstRow="1" w:lastColumn="0" w:lastRow="0" w:noHBand="0" w:noVBand="1" w:val="04A0"/>
      </w:tblPr>
      <w:tblGrid>
        <w:gridCol w:w="4320"/>
        <w:gridCol w:w="4320"/>
      </w:tblGrid>
      <w:tr>
        <w:tc>
          <w:tcPr>
            <w:tcW w:type="dxa" w:w="2592"/>
            <w:shd w:val="clear" w:fill="1F3A5F"/>
          </w:tcPr>
          <w:p>
            <w:r/>
            <w:r>
              <w:rPr>
                <w:b/>
                <w:color w:val="FFFFFF"/>
                <w:sz w:val="21"/>
              </w:rPr>
              <w:t>File</w:t>
            </w:r>
          </w:p>
        </w:tc>
        <w:tc>
          <w:tcPr>
            <w:tcW w:type="dxa" w:w="6768"/>
            <w:shd w:val="clear" w:fill="1F3A5F"/>
          </w:tcPr>
          <w:p>
            <w:r/>
            <w:r>
              <w:rPr>
                <w:b/>
                <w:color w:val="FFFFFF"/>
                <w:sz w:val="21"/>
              </w:rPr>
              <w:t>Purpose</w:t>
            </w:r>
          </w:p>
        </w:tc>
      </w:tr>
      <w:tr>
        <w:tc>
          <w:tcPr>
            <w:tcW w:type="dxa" w:w="2592"/>
          </w:tcPr>
          <w:p>
            <w:r/>
            <w:r>
              <w:rPr>
                <w:sz w:val="20"/>
              </w:rPr>
              <w:t>models.py</w:t>
            </w:r>
          </w:p>
        </w:tc>
        <w:tc>
          <w:tcPr>
            <w:tcW w:type="dxa" w:w="6768"/>
          </w:tcPr>
          <w:p>
            <w:r/>
            <w:r>
              <w:rPr>
                <w:sz w:val="20"/>
              </w:rPr>
              <w:t>SQLAlchemy ORM — Patient, Visit, Vital, Diagnosis, Prescription, LabResult.</w:t>
            </w:r>
          </w:p>
        </w:tc>
      </w:tr>
      <w:tr>
        <w:tc>
          <w:tcPr>
            <w:tcW w:type="dxa" w:w="2592"/>
          </w:tcPr>
          <w:p>
            <w:r/>
            <w:r>
              <w:rPr>
                <w:sz w:val="20"/>
              </w:rPr>
              <w:t>disease_engine.py</w:t>
            </w:r>
          </w:p>
        </w:tc>
        <w:tc>
          <w:tcPr>
            <w:tcW w:type="dxa" w:w="6768"/>
          </w:tcPr>
          <w:p>
            <w:r/>
            <w:r>
              <w:rPr>
                <w:sz w:val="20"/>
              </w:rPr>
              <w:t>Age/sex/season probability engine, ICD-10 codes, medication formularies.</w:t>
            </w:r>
          </w:p>
        </w:tc>
      </w:tr>
      <w:tr>
        <w:tc>
          <w:tcPr>
            <w:tcW w:type="dxa" w:w="2592"/>
          </w:tcPr>
          <w:p>
            <w:r/>
            <w:r>
              <w:rPr>
                <w:sz w:val="20"/>
              </w:rPr>
              <w:t>generators.py</w:t>
            </w:r>
          </w:p>
        </w:tc>
        <w:tc>
          <w:tcPr>
            <w:tcW w:type="dxa" w:w="6768"/>
          </w:tcPr>
          <w:p>
            <w:r/>
            <w:r>
              <w:rPr>
                <w:sz w:val="20"/>
              </w:rPr>
              <w:t>Patient and visit-history generators.</w:t>
            </w:r>
          </w:p>
        </w:tc>
      </w:tr>
      <w:tr>
        <w:tc>
          <w:tcPr>
            <w:tcW w:type="dxa" w:w="2592"/>
          </w:tcPr>
          <w:p>
            <w:r/>
            <w:r>
              <w:rPr>
                <w:sz w:val="20"/>
              </w:rPr>
              <w:t>exporters.py</w:t>
            </w:r>
          </w:p>
        </w:tc>
        <w:tc>
          <w:tcPr>
            <w:tcW w:type="dxa" w:w="6768"/>
          </w:tcPr>
          <w:p>
            <w:r/>
            <w:r>
              <w:rPr>
                <w:sz w:val="20"/>
              </w:rPr>
              <w:t>JSON, FHIR R4 Bundle, and plain-text clinical-note exporters.</w:t>
            </w:r>
          </w:p>
        </w:tc>
      </w:tr>
      <w:tr>
        <w:tc>
          <w:tcPr>
            <w:tcW w:type="dxa" w:w="2592"/>
          </w:tcPr>
          <w:p>
            <w:r/>
            <w:r>
              <w:rPr>
                <w:sz w:val="20"/>
              </w:rPr>
              <w:t>cli.py</w:t>
            </w:r>
          </w:p>
        </w:tc>
        <w:tc>
          <w:tcPr>
            <w:tcW w:type="dxa" w:w="6768"/>
          </w:tcPr>
          <w:p>
            <w:r/>
            <w:r>
              <w:rPr>
                <w:sz w:val="20"/>
              </w:rPr>
              <w:t>Maintenance command-line interface.</w:t>
            </w:r>
          </w:p>
        </w:tc>
      </w:tr>
      <w:tr>
        <w:tc>
          <w:tcPr>
            <w:tcW w:type="dxa" w:w="2592"/>
          </w:tcPr>
          <w:p>
            <w:r/>
            <w:r>
              <w:rPr>
                <w:sz w:val="20"/>
              </w:rPr>
              <w:t>family_medicine.db</w:t>
            </w:r>
          </w:p>
        </w:tc>
        <w:tc>
          <w:tcPr>
            <w:tcW w:type="dxa" w:w="6768"/>
          </w:tcPr>
          <w:p>
            <w:r/>
            <w:r>
              <w:rPr>
                <w:sz w:val="20"/>
              </w:rPr>
              <w:t>Pre-generated SQLite database (10,000 patients).</w:t>
            </w:r>
          </w:p>
        </w:tc>
      </w:tr>
    </w:tbl>
    <w:p/>
    <w:p>
      <w:pPr>
        <w:pStyle w:val="Heading1"/>
      </w:pPr>
      <w:r>
        <w:t>4.  Data Model</w:t>
      </w:r>
    </w:p>
    <w:p>
      <w:r>
        <w:t>The schema is defined in models.py as SQLAlchemy ORM classes. Each patient anchors a tree of visits, and each visit carries its own vitals, diagnoses, prescriptions, and labs.</w:t>
      </w:r>
    </w:p>
    <w:tbl>
      <w:tblPr>
        <w:tblStyle w:val="LightGrid-Accent1"/>
        <w:tblW w:type="auto" w:w="0"/>
        <w:jc w:val="left"/>
        <w:tblLook w:firstColumn="1" w:firstRow="1" w:lastColumn="0" w:lastRow="0" w:noHBand="0" w:noVBand="1" w:val="04A0"/>
      </w:tblPr>
      <w:tblGrid>
        <w:gridCol w:w="2880"/>
        <w:gridCol w:w="2880"/>
        <w:gridCol w:w="2880"/>
      </w:tblGrid>
      <w:tr>
        <w:tc>
          <w:tcPr>
            <w:tcW w:type="dxa" w:w="2016"/>
            <w:shd w:val="clear" w:fill="1F3A5F"/>
          </w:tcPr>
          <w:p>
            <w:r/>
            <w:r>
              <w:rPr>
                <w:b/>
                <w:color w:val="FFFFFF"/>
                <w:sz w:val="21"/>
              </w:rPr>
              <w:t>Model</w:t>
            </w:r>
          </w:p>
        </w:tc>
        <w:tc>
          <w:tcPr>
            <w:tcW w:type="dxa" w:w="2016"/>
            <w:shd w:val="clear" w:fill="1F3A5F"/>
          </w:tcPr>
          <w:p>
            <w:r/>
            <w:r>
              <w:rPr>
                <w:b/>
                <w:color w:val="FFFFFF"/>
                <w:sz w:val="21"/>
              </w:rPr>
              <w:t>Table</w:t>
            </w:r>
          </w:p>
        </w:tc>
        <w:tc>
          <w:tcPr>
            <w:tcW w:type="dxa" w:w="5328"/>
            <w:shd w:val="clear" w:fill="1F3A5F"/>
          </w:tcPr>
          <w:p>
            <w:r/>
            <w:r>
              <w:rPr>
                <w:b/>
                <w:color w:val="FFFFFF"/>
                <w:sz w:val="21"/>
              </w:rPr>
              <w:t>Key Columns</w:t>
            </w:r>
          </w:p>
        </w:tc>
      </w:tr>
      <w:tr>
        <w:tc>
          <w:tcPr>
            <w:tcW w:type="dxa" w:w="2016"/>
          </w:tcPr>
          <w:p>
            <w:r/>
            <w:r>
              <w:rPr>
                <w:sz w:val="20"/>
              </w:rPr>
              <w:t>Patient</w:t>
            </w:r>
          </w:p>
        </w:tc>
        <w:tc>
          <w:tcPr>
            <w:tcW w:type="dxa" w:w="2016"/>
          </w:tcPr>
          <w:p>
            <w:r/>
            <w:r>
              <w:rPr>
                <w:sz w:val="20"/>
              </w:rPr>
              <w:t>patients</w:t>
            </w:r>
          </w:p>
        </w:tc>
        <w:tc>
          <w:tcPr>
            <w:tcW w:type="dxa" w:w="5328"/>
          </w:tcPr>
          <w:p>
            <w:r/>
            <w:r>
              <w:rPr>
                <w:sz w:val="20"/>
              </w:rPr>
              <w:t>mrn, dob, sex, race, insurance, allergies, fam_hx_*, smoker, bmi_baseline</w:t>
            </w:r>
          </w:p>
        </w:tc>
      </w:tr>
      <w:tr>
        <w:tc>
          <w:tcPr>
            <w:tcW w:type="dxa" w:w="2016"/>
          </w:tcPr>
          <w:p>
            <w:r/>
            <w:r>
              <w:rPr>
                <w:sz w:val="20"/>
              </w:rPr>
              <w:t>ChronicCondition</w:t>
            </w:r>
          </w:p>
        </w:tc>
        <w:tc>
          <w:tcPr>
            <w:tcW w:type="dxa" w:w="2016"/>
          </w:tcPr>
          <w:p>
            <w:r/>
            <w:r>
              <w:rPr>
                <w:sz w:val="20"/>
              </w:rPr>
              <w:t>chronic_conditions</w:t>
            </w:r>
          </w:p>
        </w:tc>
        <w:tc>
          <w:tcPr>
            <w:tcW w:type="dxa" w:w="5328"/>
          </w:tcPr>
          <w:p>
            <w:r/>
            <w:r>
              <w:rPr>
                <w:sz w:val="20"/>
              </w:rPr>
              <w:t>patient_id, icd10_code, onset_date, controlled</w:t>
            </w:r>
          </w:p>
        </w:tc>
      </w:tr>
      <w:tr>
        <w:tc>
          <w:tcPr>
            <w:tcW w:type="dxa" w:w="2016"/>
          </w:tcPr>
          <w:p>
            <w:r/>
            <w:r>
              <w:rPr>
                <w:sz w:val="20"/>
              </w:rPr>
              <w:t>Visit</w:t>
            </w:r>
          </w:p>
        </w:tc>
        <w:tc>
          <w:tcPr>
            <w:tcW w:type="dxa" w:w="2016"/>
          </w:tcPr>
          <w:p>
            <w:r/>
            <w:r>
              <w:rPr>
                <w:sz w:val="20"/>
              </w:rPr>
              <w:t>visits</w:t>
            </w:r>
          </w:p>
        </w:tc>
        <w:tc>
          <w:tcPr>
            <w:tcW w:type="dxa" w:w="5328"/>
          </w:tcPr>
          <w:p>
            <w:r/>
            <w:r>
              <w:rPr>
                <w:sz w:val="20"/>
              </w:rPr>
              <w:t>patient_id, visit_date, visit_type, chief_complaint, provider_name, follow_up_days</w:t>
            </w:r>
          </w:p>
        </w:tc>
      </w:tr>
      <w:tr>
        <w:tc>
          <w:tcPr>
            <w:tcW w:type="dxa" w:w="2016"/>
          </w:tcPr>
          <w:p>
            <w:r/>
            <w:r>
              <w:rPr>
                <w:sz w:val="20"/>
              </w:rPr>
              <w:t>Vital</w:t>
            </w:r>
          </w:p>
        </w:tc>
        <w:tc>
          <w:tcPr>
            <w:tcW w:type="dxa" w:w="2016"/>
          </w:tcPr>
          <w:p>
            <w:r/>
            <w:r>
              <w:rPr>
                <w:sz w:val="20"/>
              </w:rPr>
              <w:t>vitals</w:t>
            </w:r>
          </w:p>
        </w:tc>
        <w:tc>
          <w:tcPr>
            <w:tcW w:type="dxa" w:w="5328"/>
          </w:tcPr>
          <w:p>
            <w:r/>
            <w:r>
              <w:rPr>
                <w:sz w:val="20"/>
              </w:rPr>
              <w:t>visit_id, bp_systolic, bp_diastolic, hr, rr, temp_f, spo2, weight_kg, bmi, pain_scale</w:t>
            </w:r>
          </w:p>
        </w:tc>
      </w:tr>
      <w:tr>
        <w:tc>
          <w:tcPr>
            <w:tcW w:type="dxa" w:w="2016"/>
          </w:tcPr>
          <w:p>
            <w:r/>
            <w:r>
              <w:rPr>
                <w:sz w:val="20"/>
              </w:rPr>
              <w:t>Diagnosis</w:t>
            </w:r>
          </w:p>
        </w:tc>
        <w:tc>
          <w:tcPr>
            <w:tcW w:type="dxa" w:w="2016"/>
          </w:tcPr>
          <w:p>
            <w:r/>
            <w:r>
              <w:rPr>
                <w:sz w:val="20"/>
              </w:rPr>
              <w:t>diagnoses</w:t>
            </w:r>
          </w:p>
        </w:tc>
        <w:tc>
          <w:tcPr>
            <w:tcW w:type="dxa" w:w="5328"/>
          </w:tcPr>
          <w:p>
            <w:r/>
            <w:r>
              <w:rPr>
                <w:sz w:val="20"/>
              </w:rPr>
              <w:t>visit_id, icd10_code, description, is_primary</w:t>
            </w:r>
          </w:p>
        </w:tc>
      </w:tr>
      <w:tr>
        <w:tc>
          <w:tcPr>
            <w:tcW w:type="dxa" w:w="2016"/>
          </w:tcPr>
          <w:p>
            <w:r/>
            <w:r>
              <w:rPr>
                <w:sz w:val="20"/>
              </w:rPr>
              <w:t>Prescription</w:t>
            </w:r>
          </w:p>
        </w:tc>
        <w:tc>
          <w:tcPr>
            <w:tcW w:type="dxa" w:w="2016"/>
          </w:tcPr>
          <w:p>
            <w:r/>
            <w:r>
              <w:rPr>
                <w:sz w:val="20"/>
              </w:rPr>
              <w:t>prescriptions</w:t>
            </w:r>
          </w:p>
        </w:tc>
        <w:tc>
          <w:tcPr>
            <w:tcW w:type="dxa" w:w="5328"/>
          </w:tcPr>
          <w:p>
            <w:r/>
            <w:r>
              <w:rPr>
                <w:sz w:val="20"/>
              </w:rPr>
              <w:t>visit_id, drug_name, drug_class, dose, frequency, duration_days, refills, is_new</w:t>
            </w:r>
          </w:p>
        </w:tc>
      </w:tr>
      <w:tr>
        <w:tc>
          <w:tcPr>
            <w:tcW w:type="dxa" w:w="2016"/>
          </w:tcPr>
          <w:p>
            <w:r/>
            <w:r>
              <w:rPr>
                <w:sz w:val="20"/>
              </w:rPr>
              <w:t>LabResult</w:t>
            </w:r>
          </w:p>
        </w:tc>
        <w:tc>
          <w:tcPr>
            <w:tcW w:type="dxa" w:w="2016"/>
          </w:tcPr>
          <w:p>
            <w:r/>
            <w:r>
              <w:rPr>
                <w:sz w:val="20"/>
              </w:rPr>
              <w:t>lab_results</w:t>
            </w:r>
          </w:p>
        </w:tc>
        <w:tc>
          <w:tcPr>
            <w:tcW w:type="dxa" w:w="5328"/>
          </w:tcPr>
          <w:p>
            <w:r/>
            <w:r>
              <w:rPr>
                <w:sz w:val="20"/>
              </w:rPr>
              <w:t>visit_id, test_name, value, unit, ref_low, ref_high, status, loinc_code</w:t>
            </w:r>
          </w:p>
        </w:tc>
      </w:tr>
    </w:tbl>
    <w:p/>
    <w:p>
      <w:pPr>
        <w:pStyle w:val="Heading3"/>
      </w:pPr>
      <w:r>
        <w:t>Enums</w:t>
      </w:r>
    </w:p>
    <w:p>
      <w:pPr>
        <w:pStyle w:val="ListBullet"/>
      </w:pPr>
      <w:r>
        <w:t>Sex: M / F</w:t>
      </w:r>
    </w:p>
    <w:p>
      <w:pPr>
        <w:pStyle w:val="ListBullet"/>
      </w:pPr>
      <w:r>
        <w:t>VisitType: acute / follow_up / preventive / urgent</w:t>
      </w:r>
    </w:p>
    <w:p>
      <w:pPr>
        <w:pStyle w:val="ListBullet"/>
      </w:pPr>
      <w:r>
        <w:t>LabStatus: normal / high / low / critical</w:t>
      </w:r>
    </w:p>
    <w:p>
      <w:pPr>
        <w:pStyle w:val="Heading3"/>
      </w:pPr>
      <w:r>
        <w:t>Key Relationships</w:t>
      </w:r>
    </w:p>
    <w:p>
      <w:pPr>
        <w:spacing w:before="40" w:after="160"/>
        <w:ind w:left="288"/>
        <w:shd w:val="clear" w:fill="EAF1F4"/>
      </w:pPr>
      <w:r>
        <w:rPr>
          <w:rFonts w:ascii="Consolas" w:hAnsi="Consolas"/>
          <w:color w:val="1A1A1A"/>
          <w:sz w:val="19"/>
        </w:rPr>
        <w:t>Patient ──&lt; Visit ──&lt; Diagnosis</w:t>
        <w:br/>
        <w:t xml:space="preserve">                 ──&lt; Prescription</w:t>
        <w:br/>
        <w:t xml:space="preserve">                 ──&lt; LabResult</w:t>
        <w:br/>
        <w:t xml:space="preserve">                 ──1 Vital</w:t>
        <w:br/>
        <w:t>Patient ──&lt; ChronicCondition</w:t>
      </w:r>
    </w:p>
    <w:p>
      <w:pPr>
        <w:pStyle w:val="Heading1"/>
      </w:pPr>
      <w:r>
        <w:t>5.  The Disease Engine</w:t>
      </w:r>
    </w:p>
    <w:p>
      <w:r>
        <w:t>The disease engine (disease_engine.py) is the heart of the realism. Each condition is modeled as a ConditionProfile dataclass that defines exactly how a visit for that condition should look.</w:t>
      </w:r>
    </w:p>
    <w:p>
      <w:pPr>
        <w:pStyle w:val="Heading3"/>
      </w:pPr>
      <w:r>
        <w:t>Each ConditionProfile defines</w:t>
      </w:r>
    </w:p>
    <w:p>
      <w:pPr>
        <w:pStyle w:val="ListBullet"/>
      </w:pPr>
      <w:r>
        <w:t>icd10_code, description, chief_complaint, and visit_type.</w:t>
      </w:r>
    </w:p>
    <w:p>
      <w:pPr>
        <w:pStyle w:val="ListBullet"/>
      </w:pPr>
      <w:r>
        <w:t>Vital deltas from baseline (mean, sd) for BP, HR, RR, temperature, SpO2, and pain.</w:t>
      </w:r>
    </w:p>
    <w:p>
      <w:pPr>
        <w:pStyle w:val="ListBullet"/>
      </w:pPr>
      <w:r>
        <w:t>labs — which lab panels to order (LabSpec).</w:t>
      </w:r>
    </w:p>
    <w:p>
      <w:pPr>
        <w:pStyle w:val="ListBullet"/>
      </w:pPr>
      <w:r>
        <w:t>rx_options — condition-appropriate formulary entries (RxSpec).</w:t>
      </w:r>
    </w:p>
    <w:p>
      <w:pPr>
        <w:pStyle w:val="ListBullet"/>
      </w:pPr>
      <w:r>
        <w:t>follow_up_days — a clinical-guideline follow-up interval.</w:t>
      </w:r>
    </w:p>
    <w:p>
      <w:pPr>
        <w:pStyle w:val="ListBullet"/>
      </w:pPr>
      <w:r>
        <w:t>seasonal_weights — month-to-multiplier seasonal weighting.</w:t>
      </w:r>
    </w:p>
    <w:p>
      <w:pPr>
        <w:pStyle w:val="Heading3"/>
      </w:pPr>
      <w:r>
        <w:t>30 Conditions by Age Group</w:t>
      </w:r>
    </w:p>
    <w:tbl>
      <w:tblPr>
        <w:tblStyle w:val="LightGrid-Accent1"/>
        <w:tblW w:type="auto" w:w="0"/>
        <w:jc w:val="left"/>
        <w:tblLook w:firstColumn="1" w:firstRow="1" w:lastColumn="0" w:lastRow="0" w:noHBand="0" w:noVBand="1" w:val="04A0"/>
      </w:tblPr>
      <w:tblGrid>
        <w:gridCol w:w="4320"/>
        <w:gridCol w:w="4320"/>
      </w:tblGrid>
      <w:tr>
        <w:tc>
          <w:tcPr>
            <w:tcW w:type="dxa" w:w="2304"/>
            <w:shd w:val="clear" w:fill="1F3A5F"/>
          </w:tcPr>
          <w:p>
            <w:r/>
            <w:r>
              <w:rPr>
                <w:b/>
                <w:color w:val="FFFFFF"/>
                <w:sz w:val="21"/>
              </w:rPr>
              <w:t>Age Group</w:t>
            </w:r>
          </w:p>
        </w:tc>
        <w:tc>
          <w:tcPr>
            <w:tcW w:type="dxa" w:w="7056"/>
            <w:shd w:val="clear" w:fill="1F3A5F"/>
          </w:tcPr>
          <w:p>
            <w:r/>
            <w:r>
              <w:rPr>
                <w:b/>
                <w:color w:val="FFFFFF"/>
                <w:sz w:val="21"/>
              </w:rPr>
              <w:t>Conditions</w:t>
            </w:r>
          </w:p>
        </w:tc>
      </w:tr>
      <w:tr>
        <w:tc>
          <w:tcPr>
            <w:tcW w:type="dxa" w:w="2304"/>
          </w:tcPr>
          <w:p>
            <w:r/>
            <w:r>
              <w:rPr>
                <w:sz w:val="20"/>
              </w:rPr>
              <w:t>Infant 0–2</w:t>
            </w:r>
          </w:p>
        </w:tc>
        <w:tc>
          <w:tcPr>
            <w:tcW w:type="dxa" w:w="7056"/>
          </w:tcPr>
          <w:p>
            <w:r/>
            <w:r>
              <w:rPr>
                <w:sz w:val="20"/>
              </w:rPr>
              <w:t>Well-child, otitis media, RSV, febrile illness, rash/eczema, conjunctivitis, URI</w:t>
            </w:r>
          </w:p>
        </w:tc>
      </w:tr>
      <w:tr>
        <w:tc>
          <w:tcPr>
            <w:tcW w:type="dxa" w:w="2304"/>
          </w:tcPr>
          <w:p>
            <w:r/>
            <w:r>
              <w:rPr>
                <w:sz w:val="20"/>
              </w:rPr>
              <w:t>Child 3–12</w:t>
            </w:r>
          </w:p>
        </w:tc>
        <w:tc>
          <w:tcPr>
            <w:tcW w:type="dxa" w:w="7056"/>
          </w:tcPr>
          <w:p>
            <w:r/>
            <w:r>
              <w:rPr>
                <w:sz w:val="20"/>
              </w:rPr>
              <w:t>Well-child, otitis media, strep throat, URI, febrile illness, rash, conjunctivitis, sports injury</w:t>
            </w:r>
          </w:p>
        </w:tc>
      </w:tr>
      <w:tr>
        <w:tc>
          <w:tcPr>
            <w:tcW w:type="dxa" w:w="2304"/>
          </w:tcPr>
          <w:p>
            <w:r/>
            <w:r>
              <w:rPr>
                <w:sz w:val="20"/>
              </w:rPr>
              <w:t>Teen 13–17</w:t>
            </w:r>
          </w:p>
        </w:tc>
        <w:tc>
          <w:tcPr>
            <w:tcW w:type="dxa" w:w="7056"/>
          </w:tcPr>
          <w:p>
            <w:r/>
            <w:r>
              <w:rPr>
                <w:sz w:val="20"/>
              </w:rPr>
              <w:t>Sports physical, URI, sports injury, acne, anxiety, strep, mono</w:t>
            </w:r>
          </w:p>
        </w:tc>
      </w:tr>
      <w:tr>
        <w:tc>
          <w:tcPr>
            <w:tcW w:type="dxa" w:w="2304"/>
          </w:tcPr>
          <w:p>
            <w:r/>
            <w:r>
              <w:rPr>
                <w:sz w:val="20"/>
              </w:rPr>
              <w:t>Young Adult 18–35</w:t>
            </w:r>
          </w:p>
        </w:tc>
        <w:tc>
          <w:tcPr>
            <w:tcW w:type="dxa" w:w="7056"/>
          </w:tcPr>
          <w:p>
            <w:r/>
            <w:r>
              <w:rPr>
                <w:sz w:val="20"/>
              </w:rPr>
              <w:t>Annual physical, influenza, URI, UTI, anxiety, low back pain, laceration, contraception, GERD</w:t>
            </w:r>
          </w:p>
        </w:tc>
      </w:tr>
      <w:tr>
        <w:tc>
          <w:tcPr>
            <w:tcW w:type="dxa" w:w="2304"/>
          </w:tcPr>
          <w:p>
            <w:r/>
            <w:r>
              <w:rPr>
                <w:sz w:val="20"/>
              </w:rPr>
              <w:t>Adult 36–50</w:t>
            </w:r>
          </w:p>
        </w:tc>
        <w:tc>
          <w:tcPr>
            <w:tcW w:type="dxa" w:w="7056"/>
          </w:tcPr>
          <w:p>
            <w:r/>
            <w:r>
              <w:rPr>
                <w:sz w:val="20"/>
              </w:rPr>
              <w:t>Annual physical, HTN, hyperlipidemia, T2DM, URI, influenza, GERD, anxiety, back pain, obesity</w:t>
            </w:r>
          </w:p>
        </w:tc>
      </w:tr>
      <w:tr>
        <w:tc>
          <w:tcPr>
            <w:tcW w:type="dxa" w:w="2304"/>
          </w:tcPr>
          <w:p>
            <w:r/>
            <w:r>
              <w:rPr>
                <w:sz w:val="20"/>
              </w:rPr>
              <w:t>Middle-aged 51–65</w:t>
            </w:r>
          </w:p>
        </w:tc>
        <w:tc>
          <w:tcPr>
            <w:tcW w:type="dxa" w:w="7056"/>
          </w:tcPr>
          <w:p>
            <w:r/>
            <w:r>
              <w:rPr>
                <w:sz w:val="20"/>
              </w:rPr>
              <w:t>Annual physical, HTN, T2DM, hyperlipidemia, osteoarthritis, GERD, URI, COPD, depression, hypothyroidism</w:t>
            </w:r>
          </w:p>
        </w:tc>
      </w:tr>
      <w:tr>
        <w:tc>
          <w:tcPr>
            <w:tcW w:type="dxa" w:w="2304"/>
          </w:tcPr>
          <w:p>
            <w:r/>
            <w:r>
              <w:rPr>
                <w:sz w:val="20"/>
              </w:rPr>
              <w:t>Senior 65+</w:t>
            </w:r>
          </w:p>
        </w:tc>
        <w:tc>
          <w:tcPr>
            <w:tcW w:type="dxa" w:w="7056"/>
          </w:tcPr>
          <w:p>
            <w:r/>
            <w:r>
              <w:rPr>
                <w:sz w:val="20"/>
              </w:rPr>
              <w:t>Annual wellness, HTN, T2DM, hyperlipidemia, osteoarthritis, COPD, falls, polypharmacy review, depression, hypothyroidism, influenza</w:t>
            </w:r>
          </w:p>
        </w:tc>
      </w:tr>
    </w:tbl>
    <w:p/>
    <w:p>
      <w:pPr>
        <w:pStyle w:val="Heading3"/>
      </w:pPr>
      <w:r>
        <w:t>Seasonal Multipliers</w:t>
      </w:r>
    </w:p>
    <w:p>
      <w:r>
        <w:t>Disease incidence is weighted by month so the dataset shows realistic seasonality.</w:t>
      </w:r>
    </w:p>
    <w:p>
      <w:pPr>
        <w:spacing w:before="40" w:after="160"/>
        <w:ind w:left="288"/>
        <w:shd w:val="clear" w:fill="EAF1F4"/>
      </w:pPr>
      <w:r>
        <w:rPr>
          <w:rFonts w:ascii="Consolas" w:hAnsi="Consolas"/>
          <w:color w:val="1A1A1A"/>
          <w:sz w:val="19"/>
        </w:rPr>
        <w:t>FLU_SEASON  = {Jan:2.5, Feb:2.0, ..., Dec:2.5}   # peaks winter</w:t>
        <w:br/>
        <w:t>RSV_SEASON  = {Jan:2.0, Feb:1.5, ..., Dec:2.5}   # peaks late fall/winter</w:t>
        <w:br/>
        <w:t>SUMMER_PEAK = {Jun:1.5, Jul:1.5, Aug:1.5, ...}   # UTI, sports injuries, lacerations</w:t>
      </w:r>
    </w:p>
    <w:p>
      <w:pPr>
        <w:pStyle w:val="Heading3"/>
      </w:pPr>
      <w:r>
        <w:t>Comorbidity Seeding</w:t>
      </w:r>
    </w:p>
    <w:p>
      <w:r>
        <w:t>Chronic conditions are seeded probabilistically from age, family history, smoking status, and BMI — producing realistic clusters of comorbidities.</w:t>
      </w:r>
    </w:p>
    <w:p>
      <w:pPr>
        <w:spacing w:before="40" w:after="160"/>
        <w:ind w:left="288"/>
        <w:shd w:val="clear" w:fill="EAF1F4"/>
      </w:pPr>
      <w:r>
        <w:rPr>
          <w:rFonts w:ascii="Consolas" w:hAnsi="Consolas"/>
          <w:color w:val="1A1A1A"/>
          <w:sz w:val="19"/>
        </w:rPr>
        <w:t>def comorbidity_seeds(age, fam_hx, smoker, bmi) -&gt; set[str]:</w:t>
        <w:br/>
        <w:t xml:space="preserve">    # age &gt;= 45: seeds HTN (30%), T2DM (20%), hyperlipidemia (35%)</w:t>
        <w:br/>
        <w:t xml:space="preserve">    # age &gt;= 60: seeds COPD if smoker, hypothyroidism (25%), OA (40%)</w:t>
      </w:r>
    </w:p>
    <w:p>
      <w:pPr>
        <w:pStyle w:val="Heading1"/>
      </w:pPr>
      <w:r>
        <w:t>6.  Command-Line Interface</w:t>
      </w:r>
    </w:p>
    <w:p>
      <w:r>
        <w:t>All maintenance tasks are driven through cli.py.</w:t>
      </w:r>
    </w:p>
    <w:tbl>
      <w:tblPr>
        <w:tblStyle w:val="LightGrid-Accent1"/>
        <w:tblW w:type="auto" w:w="0"/>
        <w:jc w:val="left"/>
        <w:tblLook w:firstColumn="1" w:firstRow="1" w:lastColumn="0" w:lastRow="0" w:noHBand="0" w:noVBand="1" w:val="04A0"/>
      </w:tblPr>
      <w:tblGrid>
        <w:gridCol w:w="4320"/>
        <w:gridCol w:w="4320"/>
      </w:tblGrid>
      <w:tr>
        <w:tc>
          <w:tcPr>
            <w:tcW w:type="dxa" w:w="4896"/>
            <w:shd w:val="clear" w:fill="1F3A5F"/>
          </w:tcPr>
          <w:p>
            <w:r/>
            <w:r>
              <w:rPr>
                <w:b/>
                <w:color w:val="FFFFFF"/>
                <w:sz w:val="21"/>
              </w:rPr>
              <w:t>Command</w:t>
            </w:r>
          </w:p>
        </w:tc>
        <w:tc>
          <w:tcPr>
            <w:tcW w:type="dxa" w:w="4464"/>
            <w:shd w:val="clear" w:fill="1F3A5F"/>
          </w:tcPr>
          <w:p>
            <w:r/>
            <w:r>
              <w:rPr>
                <w:b/>
                <w:color w:val="FFFFFF"/>
                <w:sz w:val="21"/>
              </w:rPr>
              <w:t>Purpose</w:t>
            </w:r>
          </w:p>
        </w:tc>
      </w:tr>
      <w:tr>
        <w:tc>
          <w:tcPr>
            <w:tcW w:type="dxa" w:w="4896"/>
          </w:tcPr>
          <w:p>
            <w:r/>
            <w:r>
              <w:rPr>
                <w:sz w:val="20"/>
              </w:rPr>
              <w:t>generate --patients N --years Y</w:t>
            </w:r>
          </w:p>
        </w:tc>
        <w:tc>
          <w:tcPr>
            <w:tcW w:type="dxa" w:w="4464"/>
          </w:tcPr>
          <w:p>
            <w:r/>
            <w:r>
              <w:rPr>
                <w:sz w:val="20"/>
              </w:rPr>
              <w:t>Generate a fresh dataset.</w:t>
            </w:r>
          </w:p>
        </w:tc>
      </w:tr>
      <w:tr>
        <w:tc>
          <w:tcPr>
            <w:tcW w:type="dxa" w:w="4896"/>
          </w:tcPr>
          <w:p>
            <w:r/>
            <w:r>
              <w:rPr>
                <w:sz w:val="20"/>
              </w:rPr>
              <w:t>stats</w:t>
            </w:r>
          </w:p>
        </w:tc>
        <w:tc>
          <w:tcPr>
            <w:tcW w:type="dxa" w:w="4464"/>
          </w:tcPr>
          <w:p>
            <w:r/>
            <w:r>
              <w:rPr>
                <w:sz w:val="20"/>
              </w:rPr>
              <w:t>Print dataset statistics.</w:t>
            </w:r>
          </w:p>
        </w:tc>
      </w:tr>
      <w:tr>
        <w:tc>
          <w:tcPr>
            <w:tcW w:type="dxa" w:w="4896"/>
          </w:tcPr>
          <w:p>
            <w:r/>
            <w:r>
              <w:rPr>
                <w:sz w:val="20"/>
              </w:rPr>
              <w:t>export --format {json|fhir|text|all} --limit N --output-dir DIR</w:t>
            </w:r>
          </w:p>
        </w:tc>
        <w:tc>
          <w:tcPr>
            <w:tcW w:type="dxa" w:w="4464"/>
          </w:tcPr>
          <w:p>
            <w:r/>
            <w:r>
              <w:rPr>
                <w:sz w:val="20"/>
              </w:rPr>
              <w:t>Export records in one or all formats.</w:t>
            </w:r>
          </w:p>
        </w:tc>
      </w:tr>
      <w:tr>
        <w:tc>
          <w:tcPr>
            <w:tcW w:type="dxa" w:w="4896"/>
          </w:tcPr>
          <w:p>
            <w:r/>
            <w:r>
              <w:rPr>
                <w:sz w:val="20"/>
              </w:rPr>
              <w:t>show --mrn MRN########</w:t>
            </w:r>
          </w:p>
        </w:tc>
        <w:tc>
          <w:tcPr>
            <w:tcW w:type="dxa" w:w="4464"/>
          </w:tcPr>
          <w:p>
            <w:r/>
            <w:r>
              <w:rPr>
                <w:sz w:val="20"/>
              </w:rPr>
              <w:t>Print a single patient's full chart.</w:t>
            </w:r>
          </w:p>
        </w:tc>
      </w:tr>
      <w:tr>
        <w:tc>
          <w:tcPr>
            <w:tcW w:type="dxa" w:w="4896"/>
          </w:tcPr>
          <w:p>
            <w:r/>
            <w:r>
              <w:rPr>
                <w:sz w:val="20"/>
              </w:rPr>
              <w:t>list-conditions</w:t>
            </w:r>
          </w:p>
        </w:tc>
        <w:tc>
          <w:tcPr>
            <w:tcW w:type="dxa" w:w="4464"/>
          </w:tcPr>
          <w:p>
            <w:r/>
            <w:r>
              <w:rPr>
                <w:sz w:val="20"/>
              </w:rPr>
              <w:t>List all available condition codes.</w:t>
            </w:r>
          </w:p>
        </w:tc>
      </w:tr>
      <w:tr>
        <w:tc>
          <w:tcPr>
            <w:tcW w:type="dxa" w:w="4896"/>
          </w:tcPr>
          <w:p>
            <w:r/>
            <w:r>
              <w:rPr>
                <w:sz w:val="20"/>
              </w:rPr>
              <w:t>add-spike --condition NAME --month M --n N</w:t>
            </w:r>
          </w:p>
        </w:tc>
        <w:tc>
          <w:tcPr>
            <w:tcW w:type="dxa" w:w="4464"/>
          </w:tcPr>
          <w:p>
            <w:r/>
            <w:r>
              <w:rPr>
                <w:sz w:val="20"/>
              </w:rPr>
              <w:t>Inject a seasonal disease spike.</w:t>
            </w:r>
          </w:p>
        </w:tc>
      </w:tr>
      <w:tr>
        <w:tc>
          <w:tcPr>
            <w:tcW w:type="dxa" w:w="4896"/>
          </w:tcPr>
          <w:p>
            <w:r/>
            <w:r>
              <w:rPr>
                <w:sz w:val="20"/>
              </w:rPr>
              <w:t>advance --months M</w:t>
            </w:r>
          </w:p>
        </w:tc>
        <w:tc>
          <w:tcPr>
            <w:tcW w:type="dxa" w:w="4464"/>
          </w:tcPr>
          <w:p>
            <w:r/>
            <w:r>
              <w:rPr>
                <w:sz w:val="20"/>
              </w:rPr>
              <w:t>Advance time, adding follow-up visits for chronic patients.</w:t>
            </w:r>
          </w:p>
        </w:tc>
      </w:tr>
    </w:tbl>
    <w:p/>
    <w:p>
      <w:r>
        <w:t>Example — inject 300 extra influenza visits in January:</w:t>
      </w:r>
    </w:p>
    <w:p>
      <w:pPr>
        <w:spacing w:before="40" w:after="160"/>
        <w:ind w:left="288"/>
        <w:shd w:val="clear" w:fill="EAF1F4"/>
      </w:pPr>
      <w:r>
        <w:rPr>
          <w:rFonts w:ascii="Consolas" w:hAnsi="Consolas"/>
          <w:color w:val="1A1A1A"/>
          <w:sz w:val="19"/>
        </w:rPr>
        <w:t>python cli.py add-spike --condition influenza --month 1 --n 300</w:t>
      </w:r>
    </w:p>
    <w:p>
      <w:r>
        <w:t>Example — advance the timeline by 6 months:</w:t>
      </w:r>
    </w:p>
    <w:p>
      <w:pPr>
        <w:spacing w:before="40" w:after="160"/>
        <w:ind w:left="288"/>
        <w:shd w:val="clear" w:fill="EAF1F4"/>
      </w:pPr>
      <w:r>
        <w:rPr>
          <w:rFonts w:ascii="Consolas" w:hAnsi="Consolas"/>
          <w:color w:val="1A1A1A"/>
          <w:sz w:val="19"/>
        </w:rPr>
        <w:t>python cli.py advance --months 6</w:t>
      </w:r>
    </w:p>
    <w:p>
      <w:pPr>
        <w:pStyle w:val="Heading1"/>
      </w:pPr>
      <w:r>
        <w:t>7.  Export Formats</w:t>
      </w:r>
    </w:p>
    <w:p>
      <w:r>
        <w:t>Records can be exported in three complementary formats.</w:t>
      </w:r>
    </w:p>
    <w:p>
      <w:pPr>
        <w:pStyle w:val="Heading3"/>
      </w:pPr>
      <w:r>
        <w:t>JSON (per patient)</w:t>
      </w:r>
    </w:p>
    <w:p>
      <w:r>
        <w:t>A full denormalized bundle per patient — one file equals one patient's entire record, including chronic conditions and every visit with its vitals, diagnoses, prescriptions, and labs.</w:t>
      </w:r>
    </w:p>
    <w:p>
      <w:pPr>
        <w:pStyle w:val="Heading3"/>
      </w:pPr>
      <w:r>
        <w:t>FHIR R4 Bundle</w:t>
      </w:r>
    </w:p>
    <w:p>
      <w:r>
        <w:t>A standard FHIR R4 Bundle per patient containing:</w:t>
      </w:r>
    </w:p>
    <w:p>
      <w:pPr>
        <w:pStyle w:val="ListBullet"/>
      </w:pPr>
      <w:r>
        <w:t>Patient resource.</w:t>
      </w:r>
    </w:p>
    <w:p>
      <w:pPr>
        <w:pStyle w:val="ListBullet"/>
      </w:pPr>
      <w:r>
        <w:t>Encounter resource per visit.</w:t>
      </w:r>
    </w:p>
    <w:p>
      <w:pPr>
        <w:pStyle w:val="ListBullet"/>
      </w:pPr>
      <w:r>
        <w:t>Observation resources for vitals (with LOINC codes).</w:t>
      </w:r>
    </w:p>
    <w:p>
      <w:pPr>
        <w:pStyle w:val="ListBullet"/>
      </w:pPr>
      <w:r>
        <w:t>Condition resources for diagnoses (ICD-10).</w:t>
      </w:r>
    </w:p>
    <w:p>
      <w:pPr>
        <w:pStyle w:val="ListBullet"/>
      </w:pPr>
      <w:r>
        <w:t>MedicationRequest resources for prescriptions.</w:t>
      </w:r>
    </w:p>
    <w:p>
      <w:pPr>
        <w:pStyle w:val="ListBullet"/>
      </w:pPr>
      <w:r>
        <w:t>Observation resources for labs (with LOINC codes and reference ranges).</w:t>
      </w:r>
    </w:p>
    <w:p>
      <w:pPr>
        <w:pStyle w:val="Heading3"/>
      </w:pPr>
      <w:r>
        <w:t>Plain-Text Clinical Notes</w:t>
      </w:r>
    </w:p>
    <w:p>
      <w:r>
        <w:t>An LLM-ready chart summary — ideal as direct context for language models.</w:t>
      </w:r>
    </w:p>
    <w:p>
      <w:pPr>
        <w:spacing w:before="40" w:after="160"/>
        <w:ind w:left="288"/>
        <w:shd w:val="clear" w:fill="EAF1F4"/>
      </w:pPr>
      <w:r>
        <w:rPr>
          <w:rFonts w:ascii="Consolas" w:hAnsi="Consolas"/>
          <w:color w:val="1A1A1A"/>
          <w:sz w:val="19"/>
        </w:rPr>
        <w:t>PATIENT CHART SUMMARY</w:t>
        <w:br/>
        <w:t>MRN: ... | Name: ... | Age: ... | Sex: ...</w:t>
        <w:br/>
        <w:t>FAMILY HISTORY: ...</w:t>
        <w:br/>
        <w:t>ACTIVE CHRONIC CONDITIONS: [ICD10] Description — Onset: date (Controlled/Uncontrolled)</w:t>
        <w:br/>
        <w:br/>
        <w:t>VISIT HISTORY (N total visits)</w:t>
        <w:br/>
        <w:t>DATE: 2022-03-06 [Follow Up] — Provider: Dr. James O'Brien, MD</w:t>
        <w:br/>
        <w:t>CHIEF COMPLAINT: Shortness of breath, worsening COPD</w:t>
        <w:br/>
        <w:t>VITALS: BP 129/88 | HR 74 | Temp 98.4°F | SpO2 93% | BMI 20.2 | Pain 1/10</w:t>
        <w:br/>
        <w:t>ASSESSMENT: J44.1 – COPD with acute exacerbation</w:t>
        <w:br/>
        <w:t xml:space="preserve">  Rx [Refill]: Albuterol inhaler 2 puffs Q4H PRN ×Ongoing</w:t>
        <w:br/>
        <w:t xml:space="preserve">  LABS: WBC 8.02 K/uL (Normal) | FEV1 40.13 %predicted ◄</w:t>
        <w:br/>
        <w:t>FOLLOW-UP: Return in 30 days</w:t>
      </w:r>
    </w:p>
    <w:p>
      <w:pPr>
        <w:pStyle w:val="Heading1"/>
      </w:pPr>
      <w:r>
        <w:t>8.  Extensible Schema Architecture</w:t>
      </w:r>
    </w:p>
    <w:p>
      <w:r>
        <w:t>Beyond the core ORM, the project documents a JSON-driven, modular schema registry that lets teams extend the data model without editing core class bodies — and keeps Alembic autogenerate working cleanly.</w:t>
      </w:r>
    </w:p>
    <w:p>
      <w:pPr>
        <w:pStyle w:val="Heading3"/>
      </w:pPr>
      <w:r>
        <w:t>Core concept</w:t>
      </w:r>
    </w:p>
    <w:p>
      <w:r>
        <w:t>Declarative JSON is the source of truth — not Python class bodies. A registry merges schemas across modules, a ClassFactory builds the SQLAlchemy classes, and Alembic then sees ordinary metadata.</w:t>
      </w:r>
    </w:p>
    <w:p>
      <w:pPr>
        <w:pStyle w:val="Heading3"/>
      </w:pPr>
      <w:r>
        <w:t>Modular layout</w:t>
      </w:r>
    </w:p>
    <w:p>
      <w:pPr>
        <w:pStyle w:val="ListBullet"/>
      </w:pPr>
      <w:r>
        <w:t>base_module — the core entities and relationships.</w:t>
      </w:r>
    </w:p>
    <w:p>
      <w:pPr>
        <w:pStyle w:val="ListBullet"/>
      </w:pPr>
      <w:r>
        <w:t>ontology_module — adds ontology columns (e.g. SNOMED tags) and new entities.</w:t>
      </w:r>
    </w:p>
    <w:p>
      <w:pPr>
        <w:pStyle w:val="ListBullet"/>
      </w:pPr>
      <w:r>
        <w:t>clinical_module — adds clinical extensions such as billing CPT codes or lab review fields.</w:t>
      </w:r>
    </w:p>
    <w:p>
      <w:r>
        <w:t>Each module ships a manifest.json declaring its name, version, dependencies, and priority, plus a schema/ folder split into entities/ (columns + indexes) and relationships/ (relationship definitions).</w:t>
      </w:r>
    </w:p>
    <w:p>
      <w:pPr>
        <w:pStyle w:val="Heading3"/>
      </w:pPr>
      <w:r>
        <w:t>Four-phase load order</w:t>
      </w:r>
    </w:p>
    <w:p>
      <w:r>
        <w:t>Entities and relationships live in separate files because columns only need their own table to exist, while relationships need both sides mapped. The registry loads in four phases, then the factory builds classes in two passes:</w:t>
      </w:r>
    </w:p>
    <w:tbl>
      <w:tblPr>
        <w:tblStyle w:val="LightGrid-Accent1"/>
        <w:tblW w:type="auto" w:w="0"/>
        <w:jc w:val="left"/>
        <w:tblLook w:firstColumn="1" w:firstRow="1" w:lastColumn="0" w:lastRow="0" w:noHBand="0" w:noVBand="1" w:val="04A0"/>
      </w:tblPr>
      <w:tblGrid>
        <w:gridCol w:w="4320"/>
        <w:gridCol w:w="4320"/>
      </w:tblGrid>
      <w:tr>
        <w:tc>
          <w:tcPr>
            <w:tcW w:type="dxa" w:w="3168"/>
            <w:shd w:val="clear" w:fill="1F3A5F"/>
          </w:tcPr>
          <w:p>
            <w:r/>
            <w:r>
              <w:rPr>
                <w:b/>
                <w:color w:val="FFFFFF"/>
                <w:sz w:val="21"/>
              </w:rPr>
              <w:t>Phase</w:t>
            </w:r>
          </w:p>
        </w:tc>
        <w:tc>
          <w:tcPr>
            <w:tcW w:type="dxa" w:w="6192"/>
            <w:shd w:val="clear" w:fill="1F3A5F"/>
          </w:tcPr>
          <w:p>
            <w:r/>
            <w:r>
              <w:rPr>
                <w:b/>
                <w:color w:val="FFFFFF"/>
                <w:sz w:val="21"/>
              </w:rPr>
              <w:t>What happens</w:t>
            </w:r>
          </w:p>
        </w:tc>
      </w:tr>
      <w:tr>
        <w:tc>
          <w:tcPr>
            <w:tcW w:type="dxa" w:w="3168"/>
          </w:tcPr>
          <w:p>
            <w:r/>
            <w:r>
              <w:rPr>
                <w:sz w:val="20"/>
              </w:rPr>
              <w:t>Phase 1 — Entity schemas</w:t>
            </w:r>
          </w:p>
        </w:tc>
        <w:tc>
          <w:tcPr>
            <w:tcW w:type="dxa" w:w="6192"/>
          </w:tcPr>
          <w:p>
            <w:r/>
            <w:r>
              <w:rPr>
                <w:sz w:val="20"/>
              </w:rPr>
              <w:t>Load all modules' columns; every tablename and column is now known.</w:t>
            </w:r>
          </w:p>
        </w:tc>
      </w:tr>
      <w:tr>
        <w:tc>
          <w:tcPr>
            <w:tcW w:type="dxa" w:w="3168"/>
          </w:tcPr>
          <w:p>
            <w:r/>
            <w:r>
              <w:rPr>
                <w:sz w:val="20"/>
              </w:rPr>
              <w:t>Phase 2 — Merge entities</w:t>
            </w:r>
          </w:p>
        </w:tc>
        <w:tc>
          <w:tcPr>
            <w:tcW w:type="dxa" w:w="6192"/>
          </w:tcPr>
          <w:p>
            <w:r/>
            <w:r>
              <w:rPr>
                <w:sz w:val="20"/>
              </w:rPr>
              <w:t>Produce one merged column+index spec per entity (later module wins, logged).</w:t>
            </w:r>
          </w:p>
        </w:tc>
      </w:tr>
      <w:tr>
        <w:tc>
          <w:tcPr>
            <w:tcW w:type="dxa" w:w="3168"/>
          </w:tcPr>
          <w:p>
            <w:r/>
            <w:r>
              <w:rPr>
                <w:sz w:val="20"/>
              </w:rPr>
              <w:t>Phase 3 — Relationship schemas</w:t>
            </w:r>
          </w:p>
        </w:tc>
        <w:tc>
          <w:tcPr>
            <w:tcW w:type="dxa" w:w="6192"/>
          </w:tcPr>
          <w:p>
            <w:r/>
            <w:r>
              <w:rPr>
                <w:sz w:val="20"/>
              </w:rPr>
              <w:t>Validate all relationship targets against the complete entity set.</w:t>
            </w:r>
          </w:p>
        </w:tc>
      </w:tr>
      <w:tr>
        <w:tc>
          <w:tcPr>
            <w:tcW w:type="dxa" w:w="3168"/>
          </w:tcPr>
          <w:p>
            <w:r/>
            <w:r>
              <w:rPr>
                <w:sz w:val="20"/>
              </w:rPr>
              <w:t>Phase 4 — Merge relationships</w:t>
            </w:r>
          </w:p>
        </w:tc>
        <w:tc>
          <w:tcPr>
            <w:tcW w:type="dxa" w:w="6192"/>
          </w:tcPr>
          <w:p>
            <w:r/>
            <w:r>
              <w:rPr>
                <w:sz w:val="20"/>
              </w:rPr>
              <w:t>Merge relationship specs (later module wins, logged).</w:t>
            </w:r>
          </w:p>
        </w:tc>
      </w:tr>
      <w:tr>
        <w:tc>
          <w:tcPr>
            <w:tcW w:type="dxa" w:w="3168"/>
          </w:tcPr>
          <w:p>
            <w:r/>
            <w:r>
              <w:rPr>
                <w:sz w:val="20"/>
              </w:rPr>
              <w:t>Factory Pass 1</w:t>
            </w:r>
          </w:p>
        </w:tc>
        <w:tc>
          <w:tcPr>
            <w:tcW w:type="dxa" w:w="6192"/>
          </w:tcPr>
          <w:p>
            <w:r/>
            <w:r>
              <w:rPr>
                <w:sz w:val="20"/>
              </w:rPr>
              <w:t>Create mapped classes (columns + indexes only).</w:t>
            </w:r>
          </w:p>
        </w:tc>
      </w:tr>
      <w:tr>
        <w:tc>
          <w:tcPr>
            <w:tcW w:type="dxa" w:w="3168"/>
          </w:tcPr>
          <w:p>
            <w:r/>
            <w:r>
              <w:rPr>
                <w:sz w:val="20"/>
              </w:rPr>
              <w:t>Factory Pass 2</w:t>
            </w:r>
          </w:p>
        </w:tc>
        <w:tc>
          <w:tcPr>
            <w:tcW w:type="dxa" w:w="6192"/>
          </w:tcPr>
          <w:p>
            <w:r/>
            <w:r>
              <w:rPr>
                <w:sz w:val="20"/>
              </w:rPr>
              <w:t>Wire relationships — no forward references or deferred resolution needed.</w:t>
            </w:r>
          </w:p>
        </w:tc>
      </w:tr>
    </w:tbl>
    <w:p/>
    <w:p>
      <w:pPr>
        <w:pStyle w:val="Heading3"/>
      </w:pPr>
      <w:r>
        <w:t>Merge collision rules</w:t>
      </w:r>
    </w:p>
    <w:tbl>
      <w:tblPr>
        <w:tblStyle w:val="LightGrid-Accent1"/>
        <w:tblW w:type="auto" w:w="0"/>
        <w:jc w:val="left"/>
        <w:tblLook w:firstColumn="1" w:firstRow="1" w:lastColumn="0" w:lastRow="0" w:noHBand="0" w:noVBand="1" w:val="04A0"/>
      </w:tblPr>
      <w:tblGrid>
        <w:gridCol w:w="4320"/>
        <w:gridCol w:w="4320"/>
      </w:tblGrid>
      <w:tr>
        <w:tc>
          <w:tcPr>
            <w:tcW w:type="dxa" w:w="4608"/>
            <w:shd w:val="clear" w:fill="1F3A5F"/>
          </w:tcPr>
          <w:p>
            <w:r/>
            <w:r>
              <w:rPr>
                <w:b/>
                <w:color w:val="FFFFFF"/>
                <w:sz w:val="21"/>
              </w:rPr>
              <w:t>Collision</w:t>
            </w:r>
          </w:p>
        </w:tc>
        <w:tc>
          <w:tcPr>
            <w:tcW w:type="dxa" w:w="4752"/>
            <w:shd w:val="clear" w:fill="1F3A5F"/>
          </w:tcPr>
          <w:p>
            <w:r/>
            <w:r>
              <w:rPr>
                <w:b/>
                <w:color w:val="FFFFFF"/>
                <w:sz w:val="21"/>
              </w:rPr>
              <w:t>Resolution</w:t>
            </w:r>
          </w:p>
        </w:tc>
      </w:tr>
      <w:tr>
        <w:tc>
          <w:tcPr>
            <w:tcW w:type="dxa" w:w="4608"/>
          </w:tcPr>
          <w:p>
            <w:r/>
            <w:r>
              <w:rPr>
                <w:sz w:val="20"/>
              </w:rPr>
              <w:t>Same column name, different modules</w:t>
            </w:r>
          </w:p>
        </w:tc>
        <w:tc>
          <w:tcPr>
            <w:tcW w:type="dxa" w:w="4752"/>
          </w:tcPr>
          <w:p>
            <w:r/>
            <w:r>
              <w:rPr>
                <w:sz w:val="20"/>
              </w:rPr>
              <w:t>Later module wins; warning logged.</w:t>
            </w:r>
          </w:p>
        </w:tc>
      </w:tr>
      <w:tr>
        <w:tc>
          <w:tcPr>
            <w:tcW w:type="dxa" w:w="4608"/>
          </w:tcPr>
          <w:p>
            <w:r/>
            <w:r>
              <w:rPr>
                <w:sz w:val="20"/>
              </w:rPr>
              <w:t>Same relationship name, different modules</w:t>
            </w:r>
          </w:p>
        </w:tc>
        <w:tc>
          <w:tcPr>
            <w:tcW w:type="dxa" w:w="4752"/>
          </w:tcPr>
          <w:p>
            <w:r/>
            <w:r>
              <w:rPr>
                <w:sz w:val="20"/>
              </w:rPr>
              <w:t>Later module wins; warning logged.</w:t>
            </w:r>
          </w:p>
        </w:tc>
      </w:tr>
      <w:tr>
        <w:tc>
          <w:tcPr>
            <w:tcW w:type="dxa" w:w="4608"/>
          </w:tcPr>
          <w:p>
            <w:r/>
            <w:r>
              <w:rPr>
                <w:sz w:val="20"/>
              </w:rPr>
              <w:t>Extension tries to rename tablename</w:t>
            </w:r>
          </w:p>
        </w:tc>
        <w:tc>
          <w:tcPr>
            <w:tcW w:type="dxa" w:w="4752"/>
          </w:tcPr>
          <w:p>
            <w:r/>
            <w:r>
              <w:rPr>
                <w:sz w:val="20"/>
              </w:rPr>
              <w:t>Hard error, blocked.</w:t>
            </w:r>
          </w:p>
        </w:tc>
      </w:tr>
      <w:tr>
        <w:tc>
          <w:tcPr>
            <w:tcW w:type="dxa" w:w="4608"/>
          </w:tcPr>
          <w:p>
            <w:r/>
            <w:r>
              <w:rPr>
                <w:sz w:val="20"/>
              </w:rPr>
              <w:t>Relationship targets unknown entity</w:t>
            </w:r>
          </w:p>
        </w:tc>
        <w:tc>
          <w:tcPr>
            <w:tcW w:type="dxa" w:w="4752"/>
          </w:tcPr>
          <w:p>
            <w:r/>
            <w:r>
              <w:rPr>
                <w:sz w:val="20"/>
              </w:rPr>
              <w:t>Hard error at Phase 3 load time.</w:t>
            </w:r>
          </w:p>
        </w:tc>
      </w:tr>
      <w:tr>
        <w:tc>
          <w:tcPr>
            <w:tcW w:type="dxa" w:w="4608"/>
          </w:tcPr>
          <w:p>
            <w:r/>
            <w:r>
              <w:rPr>
                <w:sz w:val="20"/>
              </w:rPr>
              <w:t>Circular module dependency</w:t>
            </w:r>
          </w:p>
        </w:tc>
        <w:tc>
          <w:tcPr>
            <w:tcW w:type="dxa" w:w="4752"/>
          </w:tcPr>
          <w:p>
            <w:r/>
            <w:r>
              <w:rPr>
                <w:sz w:val="20"/>
              </w:rPr>
              <w:t>Hard error from topological sort.</w:t>
            </w:r>
          </w:p>
        </w:tc>
      </w:tr>
    </w:tbl>
    <w:p/>
    <w:p>
      <w:pPr>
        <w:pStyle w:val="Heading3"/>
      </w:pPr>
      <w:r>
        <w:t>Bootstrap &amp; Alembic</w:t>
      </w:r>
    </w:p>
    <w:p>
      <w:r>
        <w:t>A single bootstrap() routine runs the full registry + factory sequence and must run in every process (CLI, Alembic, workers, API server) — the registry is a runtime construct, not persisted state. Adding a column is then a three-step workflow:</w:t>
      </w:r>
    </w:p>
    <w:p>
      <w:pPr>
        <w:spacing w:before="40" w:after="160"/>
        <w:ind w:left="288"/>
        <w:shd w:val="clear" w:fill="EAF1F4"/>
      </w:pPr>
      <w:r>
        <w:rPr>
          <w:rFonts w:ascii="Consolas" w:hAnsi="Consolas"/>
          <w:color w:val="1A1A1A"/>
          <w:sz w:val="19"/>
        </w:rPr>
        <w:t># 1. Add the column to the module's entities/*.json schema</w:t>
        <w:br/>
        <w:t># 2. Autogenerate the migration</w:t>
        <w:br/>
        <w:t>alembic revision --autogenerate -m "clinical_module: add encounter_duration_min"</w:t>
        <w:br/>
        <w:t># 3. Apply it</w:t>
        <w:br/>
        <w:t>alembic upgrade head</w:t>
      </w:r>
    </w:p>
    <w:p>
      <w:pPr>
        <w:pStyle w:val="Heading1"/>
      </w:pPr>
      <w:r>
        <w:t>9.  Dataset Statistics</w:t>
      </w:r>
    </w:p>
    <w:p>
      <w:r>
        <w:t>The shipped 10,000-patient dataset contains:</w:t>
      </w:r>
    </w:p>
    <w:tbl>
      <w:tblPr>
        <w:tblStyle w:val="LightGrid-Accent1"/>
        <w:tblW w:type="auto" w:w="0"/>
        <w:jc w:val="left"/>
        <w:tblLook w:firstColumn="1" w:firstRow="1" w:lastColumn="0" w:lastRow="0" w:noHBand="0" w:noVBand="1" w:val="04A0"/>
      </w:tblPr>
      <w:tblGrid>
        <w:gridCol w:w="4320"/>
        <w:gridCol w:w="4320"/>
      </w:tblGrid>
      <w:tr>
        <w:tc>
          <w:tcPr>
            <w:tcW w:type="dxa" w:w="3744"/>
            <w:shd w:val="clear" w:fill="1F3A5F"/>
          </w:tcPr>
          <w:p>
            <w:r/>
            <w:r>
              <w:rPr>
                <w:b/>
                <w:color w:val="FFFFFF"/>
                <w:sz w:val="21"/>
              </w:rPr>
              <w:t>Metric</w:t>
            </w:r>
          </w:p>
        </w:tc>
        <w:tc>
          <w:tcPr>
            <w:tcW w:type="dxa" w:w="2880"/>
            <w:shd w:val="clear" w:fill="1F3A5F"/>
          </w:tcPr>
          <w:p>
            <w:r/>
            <w:r>
              <w:rPr>
                <w:b/>
                <w:color w:val="FFFFFF"/>
                <w:sz w:val="21"/>
              </w:rPr>
              <w:t>Count</w:t>
            </w:r>
          </w:p>
        </w:tc>
      </w:tr>
      <w:tr>
        <w:tc>
          <w:tcPr>
            <w:tcW w:type="dxa" w:w="3744"/>
          </w:tcPr>
          <w:p>
            <w:r/>
            <w:r>
              <w:rPr>
                <w:sz w:val="20"/>
              </w:rPr>
              <w:t>Patients</w:t>
            </w:r>
          </w:p>
        </w:tc>
        <w:tc>
          <w:tcPr>
            <w:tcW w:type="dxa" w:w="2880"/>
          </w:tcPr>
          <w:p>
            <w:r/>
            <w:r>
              <w:rPr>
                <w:sz w:val="20"/>
              </w:rPr>
              <w:t>10,000</w:t>
            </w:r>
          </w:p>
        </w:tc>
      </w:tr>
      <w:tr>
        <w:tc>
          <w:tcPr>
            <w:tcW w:type="dxa" w:w="3744"/>
          </w:tcPr>
          <w:p>
            <w:r/>
            <w:r>
              <w:rPr>
                <w:sz w:val="20"/>
              </w:rPr>
              <w:t>Visits</w:t>
            </w:r>
          </w:p>
        </w:tc>
        <w:tc>
          <w:tcPr>
            <w:tcW w:type="dxa" w:w="2880"/>
          </w:tcPr>
          <w:p>
            <w:r/>
            <w:r>
              <w:rPr>
                <w:sz w:val="20"/>
              </w:rPr>
              <w:t>165,972</w:t>
            </w:r>
          </w:p>
        </w:tc>
      </w:tr>
      <w:tr>
        <w:tc>
          <w:tcPr>
            <w:tcW w:type="dxa" w:w="3744"/>
          </w:tcPr>
          <w:p>
            <w:r/>
            <w:r>
              <w:rPr>
                <w:sz w:val="20"/>
              </w:rPr>
              <w:t>Diagnoses</w:t>
            </w:r>
          </w:p>
        </w:tc>
        <w:tc>
          <w:tcPr>
            <w:tcW w:type="dxa" w:w="2880"/>
          </w:tcPr>
          <w:p>
            <w:r/>
            <w:r>
              <w:rPr>
                <w:sz w:val="20"/>
              </w:rPr>
              <w:t>165,972</w:t>
            </w:r>
          </w:p>
        </w:tc>
      </w:tr>
      <w:tr>
        <w:tc>
          <w:tcPr>
            <w:tcW w:type="dxa" w:w="3744"/>
          </w:tcPr>
          <w:p>
            <w:r/>
            <w:r>
              <w:rPr>
                <w:sz w:val="20"/>
              </w:rPr>
              <w:t>Prescriptions</w:t>
            </w:r>
          </w:p>
        </w:tc>
        <w:tc>
          <w:tcPr>
            <w:tcW w:type="dxa" w:w="2880"/>
          </w:tcPr>
          <w:p>
            <w:r/>
            <w:r>
              <w:rPr>
                <w:sz w:val="20"/>
              </w:rPr>
              <w:t>170,267</w:t>
            </w:r>
          </w:p>
        </w:tc>
      </w:tr>
      <w:tr>
        <w:tc>
          <w:tcPr>
            <w:tcW w:type="dxa" w:w="3744"/>
          </w:tcPr>
          <w:p>
            <w:r/>
            <w:r>
              <w:rPr>
                <w:sz w:val="20"/>
              </w:rPr>
              <w:t>Lab Results</w:t>
            </w:r>
          </w:p>
        </w:tc>
        <w:tc>
          <w:tcPr>
            <w:tcW w:type="dxa" w:w="2880"/>
          </w:tcPr>
          <w:p>
            <w:r/>
            <w:r>
              <w:rPr>
                <w:sz w:val="20"/>
              </w:rPr>
              <w:t>777,868</w:t>
            </w:r>
          </w:p>
        </w:tc>
      </w:tr>
      <w:tr>
        <w:tc>
          <w:tcPr>
            <w:tcW w:type="dxa" w:w="3744"/>
          </w:tcPr>
          <w:p>
            <w:r/>
            <w:r>
              <w:rPr>
                <w:sz w:val="20"/>
              </w:rPr>
              <w:t>Avg visits / patient</w:t>
            </w:r>
          </w:p>
        </w:tc>
        <w:tc>
          <w:tcPr>
            <w:tcW w:type="dxa" w:w="2880"/>
          </w:tcPr>
          <w:p>
            <w:r/>
            <w:r>
              <w:rPr>
                <w:sz w:val="20"/>
              </w:rPr>
              <w:t>16.6</w:t>
            </w:r>
          </w:p>
        </w:tc>
      </w:tr>
    </w:tbl>
    <w:p/>
    <w:p>
      <w:pPr>
        <w:pStyle w:val="Heading3"/>
      </w:pPr>
      <w:r>
        <w:t>Top Diagnoses</w:t>
      </w:r>
    </w:p>
    <w:tbl>
      <w:tblPr>
        <w:tblStyle w:val="LightGrid-Accent1"/>
        <w:tblW w:type="auto" w:w="0"/>
        <w:jc w:val="left"/>
        <w:tblLook w:firstColumn="1" w:firstRow="1" w:lastColumn="0" w:lastRow="0" w:noHBand="0" w:noVBand="1" w:val="04A0"/>
      </w:tblPr>
      <w:tblGrid>
        <w:gridCol w:w="2880"/>
        <w:gridCol w:w="2880"/>
        <w:gridCol w:w="2880"/>
      </w:tblGrid>
      <w:tr>
        <w:tc>
          <w:tcPr>
            <w:tcW w:type="dxa" w:w="1584"/>
            <w:shd w:val="clear" w:fill="1F3A5F"/>
          </w:tcPr>
          <w:p>
            <w:r/>
            <w:r>
              <w:rPr>
                <w:b/>
                <w:color w:val="FFFFFF"/>
                <w:sz w:val="21"/>
              </w:rPr>
              <w:t>ICD-10</w:t>
            </w:r>
          </w:p>
        </w:tc>
        <w:tc>
          <w:tcPr>
            <w:tcW w:type="dxa" w:w="5184"/>
            <w:shd w:val="clear" w:fill="1F3A5F"/>
          </w:tcPr>
          <w:p>
            <w:r/>
            <w:r>
              <w:rPr>
                <w:b/>
                <w:color w:val="FFFFFF"/>
                <w:sz w:val="21"/>
              </w:rPr>
              <w:t>Description</w:t>
            </w:r>
          </w:p>
        </w:tc>
        <w:tc>
          <w:tcPr>
            <w:tcW w:type="dxa" w:w="1728"/>
            <w:shd w:val="clear" w:fill="1F3A5F"/>
          </w:tcPr>
          <w:p>
            <w:r/>
            <w:r>
              <w:rPr>
                <w:b/>
                <w:color w:val="FFFFFF"/>
                <w:sz w:val="21"/>
              </w:rPr>
              <w:t>Count</w:t>
            </w:r>
          </w:p>
        </w:tc>
      </w:tr>
      <w:tr>
        <w:tc>
          <w:tcPr>
            <w:tcW w:type="dxa" w:w="1584"/>
          </w:tcPr>
          <w:p>
            <w:r/>
            <w:r>
              <w:rPr>
                <w:sz w:val="20"/>
              </w:rPr>
              <w:t>I10</w:t>
            </w:r>
          </w:p>
        </w:tc>
        <w:tc>
          <w:tcPr>
            <w:tcW w:type="dxa" w:w="5184"/>
          </w:tcPr>
          <w:p>
            <w:r/>
            <w:r>
              <w:rPr>
                <w:sz w:val="20"/>
              </w:rPr>
              <w:t>Essential hypertension</w:t>
            </w:r>
          </w:p>
        </w:tc>
        <w:tc>
          <w:tcPr>
            <w:tcW w:type="dxa" w:w="1728"/>
          </w:tcPr>
          <w:p>
            <w:r/>
            <w:r>
              <w:rPr>
                <w:sz w:val="20"/>
              </w:rPr>
              <w:t>21,051</w:t>
            </w:r>
          </w:p>
        </w:tc>
      </w:tr>
      <w:tr>
        <w:tc>
          <w:tcPr>
            <w:tcW w:type="dxa" w:w="1584"/>
          </w:tcPr>
          <w:p>
            <w:r/>
            <w:r>
              <w:rPr>
                <w:sz w:val="20"/>
              </w:rPr>
              <w:t>E11.9</w:t>
            </w:r>
          </w:p>
        </w:tc>
        <w:tc>
          <w:tcPr>
            <w:tcW w:type="dxa" w:w="5184"/>
          </w:tcPr>
          <w:p>
            <w:r/>
            <w:r>
              <w:rPr>
                <w:sz w:val="20"/>
              </w:rPr>
              <w:t>Type 2 diabetes mellitus</w:t>
            </w:r>
          </w:p>
        </w:tc>
        <w:tc>
          <w:tcPr>
            <w:tcW w:type="dxa" w:w="1728"/>
          </w:tcPr>
          <w:p>
            <w:r/>
            <w:r>
              <w:rPr>
                <w:sz w:val="20"/>
              </w:rPr>
              <w:t>15,804</w:t>
            </w:r>
          </w:p>
        </w:tc>
      </w:tr>
      <w:tr>
        <w:tc>
          <w:tcPr>
            <w:tcW w:type="dxa" w:w="1584"/>
          </w:tcPr>
          <w:p>
            <w:r/>
            <w:r>
              <w:rPr>
                <w:sz w:val="20"/>
              </w:rPr>
              <w:t>E78.5</w:t>
            </w:r>
          </w:p>
        </w:tc>
        <w:tc>
          <w:tcPr>
            <w:tcW w:type="dxa" w:w="5184"/>
          </w:tcPr>
          <w:p>
            <w:r/>
            <w:r>
              <w:rPr>
                <w:sz w:val="20"/>
              </w:rPr>
              <w:t>Hyperlipidemia</w:t>
            </w:r>
          </w:p>
        </w:tc>
        <w:tc>
          <w:tcPr>
            <w:tcW w:type="dxa" w:w="1728"/>
          </w:tcPr>
          <w:p>
            <w:r/>
            <w:r>
              <w:rPr>
                <w:sz w:val="20"/>
              </w:rPr>
              <w:t>14,585</w:t>
            </w:r>
          </w:p>
        </w:tc>
      </w:tr>
      <w:tr>
        <w:tc>
          <w:tcPr>
            <w:tcW w:type="dxa" w:w="1584"/>
          </w:tcPr>
          <w:p>
            <w:r/>
            <w:r>
              <w:rPr>
                <w:sz w:val="20"/>
              </w:rPr>
              <w:t>Z00.00</w:t>
            </w:r>
          </w:p>
        </w:tc>
        <w:tc>
          <w:tcPr>
            <w:tcW w:type="dxa" w:w="5184"/>
          </w:tcPr>
          <w:p>
            <w:r/>
            <w:r>
              <w:rPr>
                <w:sz w:val="20"/>
              </w:rPr>
              <w:t>General adult medical examination</w:t>
            </w:r>
          </w:p>
        </w:tc>
        <w:tc>
          <w:tcPr>
            <w:tcW w:type="dxa" w:w="1728"/>
          </w:tcPr>
          <w:p>
            <w:r/>
            <w:r>
              <w:rPr>
                <w:sz w:val="20"/>
              </w:rPr>
              <w:t>14,187</w:t>
            </w:r>
          </w:p>
        </w:tc>
      </w:tr>
      <w:tr>
        <w:tc>
          <w:tcPr>
            <w:tcW w:type="dxa" w:w="1584"/>
          </w:tcPr>
          <w:p>
            <w:r/>
            <w:r>
              <w:rPr>
                <w:sz w:val="20"/>
              </w:rPr>
              <w:t>J06.9</w:t>
            </w:r>
          </w:p>
        </w:tc>
        <w:tc>
          <w:tcPr>
            <w:tcW w:type="dxa" w:w="5184"/>
          </w:tcPr>
          <w:p>
            <w:r/>
            <w:r>
              <w:rPr>
                <w:sz w:val="20"/>
              </w:rPr>
              <w:t>Acute upper respiratory infection</w:t>
            </w:r>
          </w:p>
        </w:tc>
        <w:tc>
          <w:tcPr>
            <w:tcW w:type="dxa" w:w="1728"/>
          </w:tcPr>
          <w:p>
            <w:r/>
            <w:r>
              <w:rPr>
                <w:sz w:val="20"/>
              </w:rPr>
              <w:t>11,860</w:t>
            </w:r>
          </w:p>
        </w:tc>
      </w:tr>
      <w:tr>
        <w:tc>
          <w:tcPr>
            <w:tcW w:type="dxa" w:w="1584"/>
          </w:tcPr>
          <w:p>
            <w:r/>
            <w:r>
              <w:rPr>
                <w:sz w:val="20"/>
              </w:rPr>
              <w:t>M19.90</w:t>
            </w:r>
          </w:p>
        </w:tc>
        <w:tc>
          <w:tcPr>
            <w:tcW w:type="dxa" w:w="5184"/>
          </w:tcPr>
          <w:p>
            <w:r/>
            <w:r>
              <w:rPr>
                <w:sz w:val="20"/>
              </w:rPr>
              <w:t>Osteoarthritis</w:t>
            </w:r>
          </w:p>
        </w:tc>
        <w:tc>
          <w:tcPr>
            <w:tcW w:type="dxa" w:w="1728"/>
          </w:tcPr>
          <w:p>
            <w:r/>
            <w:r>
              <w:rPr>
                <w:sz w:val="20"/>
              </w:rPr>
              <w:t>11,568</w:t>
            </w:r>
          </w:p>
        </w:tc>
      </w:tr>
      <w:tr>
        <w:tc>
          <w:tcPr>
            <w:tcW w:type="dxa" w:w="1584"/>
          </w:tcPr>
          <w:p>
            <w:r/>
            <w:r>
              <w:rPr>
                <w:sz w:val="20"/>
              </w:rPr>
              <w:t>J11.1</w:t>
            </w:r>
          </w:p>
        </w:tc>
        <w:tc>
          <w:tcPr>
            <w:tcW w:type="dxa" w:w="5184"/>
          </w:tcPr>
          <w:p>
            <w:r/>
            <w:r>
              <w:rPr>
                <w:sz w:val="20"/>
              </w:rPr>
              <w:t>Influenza</w:t>
            </w:r>
          </w:p>
        </w:tc>
        <w:tc>
          <w:tcPr>
            <w:tcW w:type="dxa" w:w="1728"/>
          </w:tcPr>
          <w:p>
            <w:r/>
            <w:r>
              <w:rPr>
                <w:sz w:val="20"/>
              </w:rPr>
              <w:t>9,056</w:t>
            </w:r>
          </w:p>
        </w:tc>
      </w:tr>
      <w:tr>
        <w:tc>
          <w:tcPr>
            <w:tcW w:type="dxa" w:w="1584"/>
          </w:tcPr>
          <w:p>
            <w:r/>
            <w:r>
              <w:rPr>
                <w:sz w:val="20"/>
              </w:rPr>
              <w:t>Z00.129</w:t>
            </w:r>
          </w:p>
        </w:tc>
        <w:tc>
          <w:tcPr>
            <w:tcW w:type="dxa" w:w="5184"/>
          </w:tcPr>
          <w:p>
            <w:r/>
            <w:r>
              <w:rPr>
                <w:sz w:val="20"/>
              </w:rPr>
              <w:t>Well-child visit</w:t>
            </w:r>
          </w:p>
        </w:tc>
        <w:tc>
          <w:tcPr>
            <w:tcW w:type="dxa" w:w="1728"/>
          </w:tcPr>
          <w:p>
            <w:r/>
            <w:r>
              <w:rPr>
                <w:sz w:val="20"/>
              </w:rPr>
              <w:t>7,762</w:t>
            </w:r>
          </w:p>
        </w:tc>
      </w:tr>
      <w:tr>
        <w:tc>
          <w:tcPr>
            <w:tcW w:type="dxa" w:w="1584"/>
          </w:tcPr>
          <w:p>
            <w:r/>
            <w:r>
              <w:rPr>
                <w:sz w:val="20"/>
              </w:rPr>
              <w:t>E03.9</w:t>
            </w:r>
          </w:p>
        </w:tc>
        <w:tc>
          <w:tcPr>
            <w:tcW w:type="dxa" w:w="5184"/>
          </w:tcPr>
          <w:p>
            <w:r/>
            <w:r>
              <w:rPr>
                <w:sz w:val="20"/>
              </w:rPr>
              <w:t>Hypothyroidism</w:t>
            </w:r>
          </w:p>
        </w:tc>
        <w:tc>
          <w:tcPr>
            <w:tcW w:type="dxa" w:w="1728"/>
          </w:tcPr>
          <w:p>
            <w:r/>
            <w:r>
              <w:rPr>
                <w:sz w:val="20"/>
              </w:rPr>
              <w:t>6,144</w:t>
            </w:r>
          </w:p>
        </w:tc>
      </w:tr>
      <w:tr>
        <w:tc>
          <w:tcPr>
            <w:tcW w:type="dxa" w:w="1584"/>
          </w:tcPr>
          <w:p>
            <w:r/>
            <w:r>
              <w:rPr>
                <w:sz w:val="20"/>
              </w:rPr>
              <w:t>J44.1</w:t>
            </w:r>
          </w:p>
        </w:tc>
        <w:tc>
          <w:tcPr>
            <w:tcW w:type="dxa" w:w="5184"/>
          </w:tcPr>
          <w:p>
            <w:r/>
            <w:r>
              <w:rPr>
                <w:sz w:val="20"/>
              </w:rPr>
              <w:t>COPD with acute exacerbation</w:t>
            </w:r>
          </w:p>
        </w:tc>
        <w:tc>
          <w:tcPr>
            <w:tcW w:type="dxa" w:w="1728"/>
          </w:tcPr>
          <w:p>
            <w:r/>
            <w:r>
              <w:rPr>
                <w:sz w:val="20"/>
              </w:rPr>
              <w:t>5,955</w:t>
            </w:r>
          </w:p>
        </w:tc>
      </w:tr>
    </w:tbl>
    <w:p/>
    <w:p>
      <w:pPr>
        <w:pStyle w:val="Heading3"/>
      </w:pPr>
      <w:r>
        <w:t>Age Distribution</w:t>
      </w:r>
    </w:p>
    <w:tbl>
      <w:tblPr>
        <w:tblStyle w:val="LightGrid-Accent1"/>
        <w:tblW w:type="auto" w:w="0"/>
        <w:jc w:val="left"/>
        <w:tblLook w:firstColumn="1" w:firstRow="1" w:lastColumn="0" w:lastRow="0" w:noHBand="0" w:noVBand="1" w:val="04A0"/>
      </w:tblPr>
      <w:tblGrid>
        <w:gridCol w:w="2880"/>
        <w:gridCol w:w="2880"/>
        <w:gridCol w:w="2880"/>
      </w:tblGrid>
      <w:tr>
        <w:tc>
          <w:tcPr>
            <w:tcW w:type="dxa" w:w="2592"/>
            <w:shd w:val="clear" w:fill="1F3A5F"/>
          </w:tcPr>
          <w:p>
            <w:r/>
            <w:r>
              <w:rPr>
                <w:b/>
                <w:color w:val="FFFFFF"/>
                <w:sz w:val="21"/>
              </w:rPr>
              <w:t>Age Band</w:t>
            </w:r>
          </w:p>
        </w:tc>
        <w:tc>
          <w:tcPr>
            <w:tcW w:type="dxa" w:w="2304"/>
            <w:shd w:val="clear" w:fill="1F3A5F"/>
          </w:tcPr>
          <w:p>
            <w:r/>
            <w:r>
              <w:rPr>
                <w:b/>
                <w:color w:val="FFFFFF"/>
                <w:sz w:val="21"/>
              </w:rPr>
              <w:t>Patients</w:t>
            </w:r>
          </w:p>
        </w:tc>
        <w:tc>
          <w:tcPr>
            <w:tcW w:type="dxa" w:w="2016"/>
            <w:shd w:val="clear" w:fill="1F3A5F"/>
          </w:tcPr>
          <w:p>
            <w:r/>
            <w:r>
              <w:rPr>
                <w:b/>
                <w:color w:val="FFFFFF"/>
                <w:sz w:val="21"/>
              </w:rPr>
              <w:t>Share</w:t>
            </w:r>
          </w:p>
        </w:tc>
      </w:tr>
      <w:tr>
        <w:tc>
          <w:tcPr>
            <w:tcW w:type="dxa" w:w="2592"/>
          </w:tcPr>
          <w:p>
            <w:r/>
            <w:r>
              <w:rPr>
                <w:sz w:val="20"/>
              </w:rPr>
              <w:t>0–12</w:t>
            </w:r>
          </w:p>
        </w:tc>
        <w:tc>
          <w:tcPr>
            <w:tcW w:type="dxa" w:w="2304"/>
          </w:tcPr>
          <w:p>
            <w:r/>
            <w:r>
              <w:rPr>
                <w:sz w:val="20"/>
              </w:rPr>
              <w:t>2,059</w:t>
            </w:r>
          </w:p>
        </w:tc>
        <w:tc>
          <w:tcPr>
            <w:tcW w:type="dxa" w:w="2016"/>
          </w:tcPr>
          <w:p>
            <w:r/>
            <w:r>
              <w:rPr>
                <w:sz w:val="20"/>
              </w:rPr>
              <w:t>20.6%</w:t>
            </w:r>
          </w:p>
        </w:tc>
      </w:tr>
      <w:tr>
        <w:tc>
          <w:tcPr>
            <w:tcW w:type="dxa" w:w="2592"/>
          </w:tcPr>
          <w:p>
            <w:r/>
            <w:r>
              <w:rPr>
                <w:sz w:val="20"/>
              </w:rPr>
              <w:t>13–17</w:t>
            </w:r>
          </w:p>
        </w:tc>
        <w:tc>
          <w:tcPr>
            <w:tcW w:type="dxa" w:w="2304"/>
          </w:tcPr>
          <w:p>
            <w:r/>
            <w:r>
              <w:rPr>
                <w:sz w:val="20"/>
              </w:rPr>
              <w:t>814</w:t>
            </w:r>
          </w:p>
        </w:tc>
        <w:tc>
          <w:tcPr>
            <w:tcW w:type="dxa" w:w="2016"/>
          </w:tcPr>
          <w:p>
            <w:r/>
            <w:r>
              <w:rPr>
                <w:sz w:val="20"/>
              </w:rPr>
              <w:t>8.1%</w:t>
            </w:r>
          </w:p>
        </w:tc>
      </w:tr>
      <w:tr>
        <w:tc>
          <w:tcPr>
            <w:tcW w:type="dxa" w:w="2592"/>
          </w:tcPr>
          <w:p>
            <w:r/>
            <w:r>
              <w:rPr>
                <w:sz w:val="20"/>
              </w:rPr>
              <w:t>18–35</w:t>
            </w:r>
          </w:p>
        </w:tc>
        <w:tc>
          <w:tcPr>
            <w:tcW w:type="dxa" w:w="2304"/>
          </w:tcPr>
          <w:p>
            <w:r/>
            <w:r>
              <w:rPr>
                <w:sz w:val="20"/>
              </w:rPr>
              <w:t>1,689</w:t>
            </w:r>
          </w:p>
        </w:tc>
        <w:tc>
          <w:tcPr>
            <w:tcW w:type="dxa" w:w="2016"/>
          </w:tcPr>
          <w:p>
            <w:r/>
            <w:r>
              <w:rPr>
                <w:sz w:val="20"/>
              </w:rPr>
              <w:t>16.9%</w:t>
            </w:r>
          </w:p>
        </w:tc>
      </w:tr>
      <w:tr>
        <w:tc>
          <w:tcPr>
            <w:tcW w:type="dxa" w:w="2592"/>
          </w:tcPr>
          <w:p>
            <w:r/>
            <w:r>
              <w:rPr>
                <w:sz w:val="20"/>
              </w:rPr>
              <w:t>36–50</w:t>
            </w:r>
          </w:p>
        </w:tc>
        <w:tc>
          <w:tcPr>
            <w:tcW w:type="dxa" w:w="2304"/>
          </w:tcPr>
          <w:p>
            <w:r/>
            <w:r>
              <w:rPr>
                <w:sz w:val="20"/>
              </w:rPr>
              <w:t>1,415</w:t>
            </w:r>
          </w:p>
        </w:tc>
        <w:tc>
          <w:tcPr>
            <w:tcW w:type="dxa" w:w="2016"/>
          </w:tcPr>
          <w:p>
            <w:r/>
            <w:r>
              <w:rPr>
                <w:sz w:val="20"/>
              </w:rPr>
              <w:t>14.2%</w:t>
            </w:r>
          </w:p>
        </w:tc>
      </w:tr>
      <w:tr>
        <w:tc>
          <w:tcPr>
            <w:tcW w:type="dxa" w:w="2592"/>
          </w:tcPr>
          <w:p>
            <w:r/>
            <w:r>
              <w:rPr>
                <w:sz w:val="20"/>
              </w:rPr>
              <w:t>51–65</w:t>
            </w:r>
          </w:p>
        </w:tc>
        <w:tc>
          <w:tcPr>
            <w:tcW w:type="dxa" w:w="2304"/>
          </w:tcPr>
          <w:p>
            <w:r/>
            <w:r>
              <w:rPr>
                <w:sz w:val="20"/>
              </w:rPr>
              <w:t>1,425</w:t>
            </w:r>
          </w:p>
        </w:tc>
        <w:tc>
          <w:tcPr>
            <w:tcW w:type="dxa" w:w="2016"/>
          </w:tcPr>
          <w:p>
            <w:r/>
            <w:r>
              <w:rPr>
                <w:sz w:val="20"/>
              </w:rPr>
              <w:t>14.3%</w:t>
            </w:r>
          </w:p>
        </w:tc>
      </w:tr>
      <w:tr>
        <w:tc>
          <w:tcPr>
            <w:tcW w:type="dxa" w:w="2592"/>
          </w:tcPr>
          <w:p>
            <w:r/>
            <w:r>
              <w:rPr>
                <w:sz w:val="20"/>
              </w:rPr>
              <w:t>66+</w:t>
            </w:r>
          </w:p>
        </w:tc>
        <w:tc>
          <w:tcPr>
            <w:tcW w:type="dxa" w:w="2304"/>
          </w:tcPr>
          <w:p>
            <w:r/>
            <w:r>
              <w:rPr>
                <w:sz w:val="20"/>
              </w:rPr>
              <w:t>2,600</w:t>
            </w:r>
          </w:p>
        </w:tc>
        <w:tc>
          <w:tcPr>
            <w:tcW w:type="dxa" w:w="2016"/>
          </w:tcPr>
          <w:p>
            <w:r/>
            <w:r>
              <w:rPr>
                <w:sz w:val="20"/>
              </w:rPr>
              <w:t>26.0%</w:t>
            </w:r>
          </w:p>
        </w:tc>
      </w:tr>
    </w:tbl>
    <w:p/>
    <w:p>
      <w:pPr>
        <w:pStyle w:val="Heading1"/>
      </w:pPr>
      <w:r>
        <w:t>10.  Roadmap &amp; Possible Extensions</w:t>
      </w:r>
    </w:p>
    <w:p>
      <w:pPr>
        <w:pStyle w:val="ListBullet"/>
      </w:pPr>
      <w:r>
        <w:t>Agentic care program layer — a LangGraph agent with SQLite tools querying this dataset.</w:t>
      </w:r>
    </w:p>
    <w:p>
      <w:pPr>
        <w:pStyle w:val="ListBullet"/>
      </w:pPr>
      <w:r>
        <w:t>Narrative generation — LLM-generated SOAP-note text per visit.</w:t>
      </w:r>
    </w:p>
    <w:p>
      <w:pPr>
        <w:pStyle w:val="ListBullet"/>
      </w:pPr>
      <w:r>
        <w:t>Care-gap detection — flag patients overdue for preventive visits or with uncontrolled chronic conditions.</w:t>
      </w:r>
    </w:p>
    <w:p>
      <w:pPr>
        <w:pStyle w:val="ListBullet"/>
      </w:pPr>
      <w:r>
        <w:t>Risk stratification — an ML model predicting hospitalization risk from visit patterns.</w:t>
      </w:r>
    </w:p>
    <w:p>
      <w:pPr>
        <w:pStyle w:val="ListBullet"/>
      </w:pPr>
      <w:r>
        <w:t>FHIR server — wrap the exporters in a HAPI FHIR-compatible REST API.</w:t>
      </w:r>
    </w:p>
    <w:p>
      <w:pPr>
        <w:pStyle w:val="ListBullet"/>
      </w:pPr>
      <w:r>
        <w:t>Ontology module — add SNOMED CT codes to diagnosis records.</w:t>
      </w:r>
    </w:p>
    <w:p>
      <w:pPr>
        <w:pStyle w:val="ListBullet"/>
      </w:pPr>
      <w:r>
        <w:t>Billing module — add CPT codes, RVUs, and insurance-claim simulation.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Family Medicine Synthetic Dataset — Feature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67D7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