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 4 - EU 36.5 - UK 3.5,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 4.5 - EU 37 - UK 4,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 5 - EU 37.5 - UK 4.5,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 5.5 - EU 38 - UK 5,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 6 - EU 38.5 - UK 5.5,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 6.5 - EU 39 - UK 6,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 7 - EU 39.5 - UK 6.5,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 7.5 - EU 40 - UK 7,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 8 - EU 40.5 - UK 7.5,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US 8.5 - EU 41 - UK 8,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US 9 - EU 42 - UK 8.5,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US 9.5 - EU 43 - UK 9,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US 10 - EU 44 - UK 9.5,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US 10.5 - EU 45 - UK 10,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US 11 - EU 46 - UK 10.5,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US 12 - EU 47 - UK 11.5,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US 13 - EU 48 - UK 12.5,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US 14 - EU 49 - UK 13.5,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US 15 - EU 50 - UK 14.5,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