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F4E79"/>
          <w:sz w:val="52"/>
          <w:szCs w:val="52"/>
        </w:rPr>
        <w:t xml:space="preserve">PFIN — Phase 2</w:t>
      </w:r>
    </w:p>
    <w:p>
      <w:pPr>
        <w:spacing w:after="80"/>
        <w:jc w:val="center"/>
      </w:pPr>
      <w:r>
        <w:rPr>
          <w:rFonts w:ascii="Arial" w:cs="Arial" w:eastAsia="Arial" w:hAnsi="Arial"/>
          <w:color w:val="1F4E79"/>
          <w:sz w:val="36"/>
          <w:szCs w:val="36"/>
        </w:rPr>
        <w:t xml:space="preserve">Data Transformation (Bronze → Silver)</w:t>
      </w:r>
    </w:p>
    <w:p>
      <w:pPr>
        <w:spacing w:after="40"/>
        <w:jc w:val="center"/>
      </w:pPr>
      <w:r>
        <w:rPr>
          <w:rFonts w:ascii="Arial" w:cs="Arial" w:eastAsia="Arial" w:hAnsi="Arial"/>
          <w:i/>
          <w:iCs/>
          <w:color w:val="666666"/>
          <w:sz w:val="24"/>
          <w:szCs w:val="24"/>
        </w:rPr>
        <w:t xml:space="preserve">Canadian Political Contributions Analytics Platform</w:t>
      </w:r>
    </w:p>
    <w:p>
      <w:pPr>
        <w:pBdr>
          <w:bottom w:val="single" w:color="1F4E79" w:sz="6" w:space="1"/>
        </w:pBdr>
        <w:spacing w:after="2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Canadian Political Contributions Analytics Platform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Short Name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Political-Finance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Abbreviation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pfin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Phase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 — Data Transformation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Faraz Eslami</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2026-06-01</w:t>
            </w:r>
          </w:p>
        </w:tc>
      </w:tr>
    </w:tbl>
    <w:p>
      <w:pPr>
        <w:spacing w:after="80"/>
      </w:pPr>
    </w:p>
    <w:p>
      <w:pPr>
        <w:pStyle w:val="Heading1"/>
        <w:spacing w:after="200" w:before="360"/>
      </w:pPr>
      <w:r>
        <w:rPr>
          <w:rFonts w:ascii="Arial" w:cs="Arial" w:eastAsia="Arial" w:hAnsi="Arial"/>
          <w:b/>
          <w:bCs/>
          <w:color w:val="1F4E79"/>
          <w:sz w:val="32"/>
          <w:szCs w:val="32"/>
        </w:rPr>
        <w:t xml:space="preserve">1. Objective</w:t>
      </w:r>
    </w:p>
    <w:p>
      <w:pPr>
        <w:spacing w:after="120"/>
      </w:pPr>
      <w:r>
        <w:rPr>
          <w:rFonts w:ascii="Arial" w:cs="Arial" w:eastAsia="Arial" w:hAnsi="Arial"/>
          <w:sz w:val="22"/>
          <w:szCs w:val="22"/>
        </w:rPr>
        <w:t xml:space="preserve">Clean, type-cast, deduplicate, and normalize the flat Bronze table into four Silver domain tables in Unity Catalog. Silver is the first layer where data types are enforced, encoding is corrected, and the single source table is split into a star-schema-like structure for downstream consumption.</w:t>
      </w:r>
    </w:p>
    <w:p>
      <w:pPr>
        <w:spacing w:after="80"/>
      </w:pPr>
    </w:p>
    <w:p>
      <w:pPr>
        <w:pStyle w:val="Heading1"/>
        <w:spacing w:after="200" w:before="360"/>
      </w:pPr>
      <w:r>
        <w:rPr>
          <w:rFonts w:ascii="Arial" w:cs="Arial" w:eastAsia="Arial" w:hAnsi="Arial"/>
          <w:b/>
          <w:bCs/>
          <w:color w:val="1F4E79"/>
          <w:sz w:val="32"/>
          <w:szCs w:val="32"/>
        </w:rPr>
        <w:t xml:space="preserve">2. Source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name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pfin_dev.bronze.elections_canada_contributions_raw</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Format</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Delta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Rows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284,136</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Columns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29 (27 source + 2 metadata)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Column types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strings (no type assumptions at Bronze)</w:t>
            </w:r>
          </w:p>
        </w:tc>
      </w:tr>
    </w:tbl>
    <w:p>
      <w:pPr>
        <w:spacing w:after="80"/>
      </w:pPr>
    </w:p>
    <w:p>
      <w:pPr>
        <w:pStyle w:val="Heading1"/>
        <w:spacing w:after="200" w:before="360"/>
      </w:pPr>
      <w:r>
        <w:rPr>
          <w:rFonts w:ascii="Arial" w:cs="Arial" w:eastAsia="Arial" w:hAnsi="Arial"/>
          <w:b/>
          <w:bCs/>
          <w:color w:val="1F4E79"/>
          <w:sz w:val="32"/>
          <w:szCs w:val="32"/>
        </w:rPr>
        <w:t xml:space="preserve">3. Target Silver Tables</w:t>
      </w:r>
    </w:p>
    <w:p>
      <w:pPr>
        <w:spacing w:after="80"/>
      </w:pPr>
    </w:p>
    <w:p>
      <w:pPr>
        <w:pStyle w:val="Heading2"/>
        <w:spacing w:after="160" w:before="240"/>
      </w:pPr>
      <w:r>
        <w:rPr>
          <w:rFonts w:ascii="Arial" w:cs="Arial" w:eastAsia="Arial" w:hAnsi="Arial"/>
          <w:b/>
          <w:bCs/>
          <w:color w:val="1F4E79"/>
          <w:sz w:val="28"/>
          <w:szCs w:val="28"/>
        </w:rPr>
        <w:t xml:space="preserve">3.1 silver.recipients</w:t>
      </w:r>
    </w:p>
    <w:p>
      <w:pPr>
        <w:spacing w:after="120"/>
      </w:pPr>
      <w:r>
        <w:rPr>
          <w:rFonts w:ascii="Arial" w:cs="Arial" w:eastAsia="Arial" w:hAnsi="Arial"/>
          <w:sz w:val="22"/>
          <w:szCs w:val="22"/>
        </w:rPr>
        <w:t xml:space="preserve">Grain: one row per unique recipient_id. Represents candidates, parties, EDAs, and other political entities that receive contributions. Row count: 1,004.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recipient_id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key (cast from source)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recipient_name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Full name of the recipient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recipient_last_name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Nullable — NULL for parties/associations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recipient_first_name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Nullable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recipient_middle_initial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Nullable (99% NULL)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political_entity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BOM-cleaned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political_party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Encoding-fixed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electoral_district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Nullable — only populated for candidates</w:t>
            </w:r>
          </w:p>
        </w:tc>
      </w:tr>
    </w:tbl>
    <w:p>
      <w:pPr>
        <w:spacing w:after="80"/>
      </w:pPr>
    </w:p>
    <w:p>
      <w:pPr>
        <w:pStyle w:val="Heading2"/>
        <w:spacing w:after="160" w:before="240"/>
      </w:pPr>
      <w:r>
        <w:rPr>
          <w:rFonts w:ascii="Arial" w:cs="Arial" w:eastAsia="Arial" w:hAnsi="Arial"/>
          <w:b/>
          <w:bCs/>
          <w:color w:val="1F4E79"/>
          <w:sz w:val="28"/>
          <w:szCs w:val="28"/>
        </w:rPr>
        <w:t xml:space="preserve">3.2 silver.contributors</w:t>
      </w:r>
    </w:p>
    <w:p>
      <w:pPr>
        <w:spacing w:after="120"/>
      </w:pPr>
      <w:r>
        <w:rPr>
          <w:rFonts w:ascii="Arial" w:cs="Arial" w:eastAsia="Arial" w:hAnsi="Arial"/>
          <w:sz w:val="22"/>
          <w:szCs w:val="22"/>
        </w:rPr>
        <w:t xml:space="preserve">Grain: one row per unique contributor, keyed on SHA-256(last_name, first_name, postal_code). Row count: 123,453.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contributor_key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SHA-256 surrogate key (PK)</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contributor_type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Always 'Individuals' in current dataset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contributor_name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name (last, first middle)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contributor_last_name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contributor_first_name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Nullable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contributor_middle_initial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Nullable (82% NULL)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contributor_city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Uppercased, trimmed, encoding-fixed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contributor_province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Standardized 2-letter code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contributor_postal_code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Uppercase, no spaces</w:t>
            </w:r>
          </w:p>
        </w:tc>
      </w:tr>
    </w:tbl>
    <w:p>
      <w:pPr>
        <w:spacing w:after="80"/>
      </w:pPr>
    </w:p>
    <w:p>
      <w:pPr>
        <w:pStyle w:val="Heading2"/>
        <w:spacing w:after="160" w:before="240"/>
      </w:pPr>
      <w:r>
        <w:rPr>
          <w:rFonts w:ascii="Arial" w:cs="Arial" w:eastAsia="Arial" w:hAnsi="Arial"/>
          <w:b/>
          <w:bCs/>
          <w:color w:val="1F4E79"/>
          <w:sz w:val="28"/>
          <w:szCs w:val="28"/>
        </w:rPr>
        <w:t xml:space="preserve">3.3 silver.electoral_events</w:t>
      </w:r>
    </w:p>
    <w:p>
      <w:pPr>
        <w:spacing w:after="120"/>
      </w:pPr>
      <w:r>
        <w:rPr>
          <w:rFonts w:ascii="Arial" w:cs="Arial" w:eastAsia="Arial" w:hAnsi="Arial"/>
          <w:sz w:val="22"/>
          <w:szCs w:val="22"/>
        </w:rPr>
        <w:t xml:space="preserve">Grain: one row per unique (electoral_event, fiscal_election_date) combination. Row count: 44.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electoral_event_key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SHA-256 surrogate key (PK)</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electoral_event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Nullable — 'None' strings converted to NULL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fiscal_election_date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Cast from string (YYYY-MM-DD)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fiscal_year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Derived from fiscal_election_date</w:t>
            </w:r>
          </w:p>
        </w:tc>
      </w:tr>
    </w:tbl>
    <w:p>
      <w:pPr>
        <w:spacing w:after="80"/>
      </w:pPr>
    </w:p>
    <w:p>
      <w:pPr>
        <w:pStyle w:val="Heading2"/>
        <w:spacing w:after="160" w:before="240"/>
      </w:pPr>
      <w:r>
        <w:rPr>
          <w:rFonts w:ascii="Arial" w:cs="Arial" w:eastAsia="Arial" w:hAnsi="Arial"/>
          <w:b/>
          <w:bCs/>
          <w:color w:val="1F4E79"/>
          <w:sz w:val="28"/>
          <w:szCs w:val="28"/>
        </w:rPr>
        <w:t xml:space="preserve">3.4 silver.contributions</w:t>
      </w:r>
    </w:p>
    <w:p>
      <w:pPr>
        <w:spacing w:after="120"/>
      </w:pPr>
      <w:r>
        <w:rPr>
          <w:rFonts w:ascii="Arial" w:cs="Arial" w:eastAsia="Arial" w:hAnsi="Arial"/>
          <w:sz w:val="22"/>
          <w:szCs w:val="22"/>
        </w:rPr>
        <w:t xml:space="preserve">Grain: one row per individual contribution record (fact table). Row count: 282,098.</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contribution_id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monotonically_increasing_id()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recipient_id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FK → recipients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contributor_key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 → contributors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electoral_event_key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FK → electoral_events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financial_report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part_number_of_return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financial_report_part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contribution_received_date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'0025' typo fixed → '2025'; NULLs preserved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monetary_amount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DECIMAL(12,2)</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non_monetary_amount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DECIMAL(12,2)</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total_amount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DECIMAL(12,2)</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Derived: monetary + non_monetary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leadership_contestant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Nullable (85% NULL)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_source_file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Carried from Bronze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_ingested_at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Carried from Bronze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_transformed_at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Transformation timestamp</w:t>
            </w:r>
          </w:p>
        </w:tc>
      </w:tr>
    </w:tbl>
    <w:p>
      <w:pPr>
        <w:spacing w:after="80"/>
      </w:pPr>
    </w:p>
    <w:p>
      <w:r>
        <w:br w:type="page"/>
      </w:r>
    </w:p>
    <w:p>
      <w:pPr>
        <w:pStyle w:val="Heading1"/>
        <w:spacing w:after="200" w:before="360"/>
      </w:pPr>
      <w:r>
        <w:rPr>
          <w:rFonts w:ascii="Arial" w:cs="Arial" w:eastAsia="Arial" w:hAnsi="Arial"/>
          <w:b/>
          <w:bCs/>
          <w:color w:val="1F4E79"/>
          <w:sz w:val="32"/>
          <w:szCs w:val="32"/>
        </w:rPr>
        <w:t xml:space="preserve">4. Data Quality Rules Applied</w:t>
      </w:r>
    </w:p>
    <w:p>
      <w:pPr>
        <w:spacing w:after="80"/>
      </w:pPr>
    </w:p>
    <w:p>
      <w:pPr>
        <w:pStyle w:val="Heading2"/>
        <w:spacing w:after="160" w:before="240"/>
      </w:pPr>
      <w:r>
        <w:rPr>
          <w:rFonts w:ascii="Arial" w:cs="Arial" w:eastAsia="Arial" w:hAnsi="Arial"/>
          <w:b/>
          <w:bCs/>
          <w:color w:val="1F4E79"/>
          <w:sz w:val="28"/>
          <w:szCs w:val="28"/>
        </w:rPr>
        <w:t xml:space="preserve">4.1 Deduplication</w:t>
      </w:r>
    </w:p>
    <w:p>
      <w:pPr>
        <w:spacing w:after="120"/>
      </w:pPr>
      <w:r>
        <w:rPr>
          <w:rFonts w:ascii="Arial" w:cs="Arial" w:eastAsia="Arial" w:hAnsi="Arial"/>
          <w:sz w:val="22"/>
          <w:szCs w:val="22"/>
        </w:rPr>
        <w:t xml:space="preserve">Method: dropDuplicates() on all 27 source columns, excluding _source_file and _ingested_at. Exact duplicates found and removed: 2,038. Remaining rows: 282,098.</w:t>
      </w:r>
    </w:p>
    <w:p>
      <w:pPr>
        <w:spacing w:after="80"/>
      </w:pPr>
    </w:p>
    <w:p>
      <w:pPr>
        <w:pStyle w:val="Heading2"/>
        <w:spacing w:after="160" w:before="240"/>
      </w:pPr>
      <w:r>
        <w:rPr>
          <w:rFonts w:ascii="Arial" w:cs="Arial" w:eastAsia="Arial" w:hAnsi="Arial"/>
          <w:b/>
          <w:bCs/>
          <w:color w:val="1F4E79"/>
          <w:sz w:val="28"/>
          <w:szCs w:val="28"/>
        </w:rPr>
        <w:t xml:space="preserve">4.2 Encoding Fixes</w:t>
      </w:r>
    </w:p>
    <w:p>
      <w:pPr>
        <w:spacing w:after="120"/>
      </w:pPr>
      <w:r>
        <w:rPr>
          <w:rFonts w:ascii="Arial" w:cs="Arial" w:eastAsia="Arial" w:hAnsi="Arial"/>
          <w:sz w:val="22"/>
          <w:szCs w:val="22"/>
        </w:rPr>
        <w:t xml:space="preserve">The source CSV files contain French Canadian text that was double/triple-encoded through ISO-8859-1 to UTF-8 round-trips, producing garbled characters like Ã© instead of é.</w:t>
      </w:r>
    </w:p>
    <w:p>
      <w:pPr>
        <w:spacing w:after="120"/>
      </w:pPr>
      <w:r>
        <w:rPr>
          <w:rFonts w:ascii="Arial" w:cs="Arial" w:eastAsia="Arial" w:hAnsi="Arial"/>
          <w:sz w:val="22"/>
          <w:szCs w:val="22"/>
        </w:rPr>
        <w:t xml:space="preserve">Fix applied: decode(encode(col, 'ISO-8859-1'), 'UTF-8') — two passes per column to handle both double and triple encoding, followed by stripping orphan Â characters.</w:t>
      </w:r>
    </w:p>
    <w:p>
      <w:pPr>
        <w:spacing w:after="120"/>
      </w:pPr>
      <w:r>
        <w:rPr>
          <w:rFonts w:ascii="Arial" w:cs="Arial" w:eastAsia="Arial" w:hAnsi="Arial"/>
          <w:sz w:val="22"/>
          <w:szCs w:val="22"/>
        </w:rPr>
        <w:t xml:space="preserve">Affected columns: political_entity, recipient, recipient_last_name, recipient_first_name, political_party_of_recipient, electoral_district, electoral_event, contributor_name, contributor_last_name, contributor_first_name, contributor_city, contributor_postal_code, leadership_contestant, financial_report.</w:t>
      </w:r>
    </w:p>
    <w:p>
      <w:pPr>
        <w:spacing w:after="80"/>
      </w:pPr>
    </w:p>
    <w:p>
      <w:pPr>
        <w:pStyle w:val="Heading2"/>
        <w:spacing w:after="160" w:before="240"/>
      </w:pPr>
      <w:r>
        <w:rPr>
          <w:rFonts w:ascii="Arial" w:cs="Arial" w:eastAsia="Arial" w:hAnsi="Arial"/>
          <w:b/>
          <w:bCs/>
          <w:color w:val="1F4E79"/>
          <w:sz w:val="28"/>
          <w:szCs w:val="28"/>
        </w:rPr>
        <w:t xml:space="preserve">4.3 BOM Stripping</w:t>
      </w:r>
    </w:p>
    <w:p>
      <w:pPr>
        <w:spacing w:after="120"/>
      </w:pPr>
      <w:r>
        <w:rPr>
          <w:rFonts w:ascii="Arial" w:cs="Arial" w:eastAsia="Arial" w:hAnsi="Arial"/>
          <w:sz w:val="22"/>
          <w:szCs w:val="22"/>
        </w:rPr>
        <w:t xml:space="preserve">political_entity had a UTF-8 BOM prefix on two values originating from the first row of each CSV file. Stripped via regex, reducing 7 distinct values to 5.</w:t>
      </w:r>
    </w:p>
    <w:p>
      <w:pPr>
        <w:spacing w:after="80"/>
      </w:pPr>
    </w:p>
    <w:p>
      <w:pPr>
        <w:pStyle w:val="Heading2"/>
        <w:spacing w:after="160" w:before="240"/>
      </w:pPr>
      <w:r>
        <w:rPr>
          <w:rFonts w:ascii="Arial" w:cs="Arial" w:eastAsia="Arial" w:hAnsi="Arial"/>
          <w:b/>
          <w:bCs/>
          <w:color w:val="1F4E79"/>
          <w:sz w:val="28"/>
          <w:szCs w:val="28"/>
        </w:rPr>
        <w:t xml:space="preserve">4.4 Province Standardization</w:t>
      </w:r>
    </w:p>
    <w:p>
      <w:pPr>
        <w:spacing w:after="120"/>
      </w:pPr>
      <w:r>
        <w:rPr>
          <w:rFonts w:ascii="Arial" w:cs="Arial" w:eastAsia="Arial" w:hAnsi="Arial"/>
          <w:sz w:val="22"/>
          <w:szCs w:val="22"/>
        </w:rPr>
        <w:t xml:space="preserve">36 raw variants (trailing spaces, full names, typos, garbage) mapped to 13 standard two-letter Canadian province/territory codes. Unmappable values (e.g., 7, M4B 1N7, MI) set to NULL.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Raw Values</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Standardized</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 AB (space), Alberta, Alberta (space)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w:t>
            </w:r>
          </w:p>
        </w:tc>
      </w:tr>
      <w:tr>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BC, BC (space), British Columbia</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BC</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MB, MB (space)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MB</w:t>
            </w:r>
          </w:p>
        </w:tc>
      </w:tr>
      <w:tr>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NB</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NB</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NL</w:t>
            </w:r>
          </w:p>
        </w:tc>
      </w:tr>
      <w:tr>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NS, NS (space)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NS</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NT</w:t>
            </w:r>
          </w:p>
        </w:tc>
      </w:tr>
      <w:tr>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NU</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NU</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ON (space), ONT, ONT., On, Ontario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w:t>
            </w:r>
          </w:p>
        </w:tc>
      </w:tr>
      <w:tr>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PE, PEI (space)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PE</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QC, QC (space), aQC, Québec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QC</w:t>
            </w:r>
          </w:p>
        </w:tc>
      </w:tr>
      <w:tr>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SK, SK (space), Saskatchewan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SK</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YT</w:t>
            </w:r>
          </w:p>
        </w:tc>
      </w:tr>
      <w:tr>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7, M4B 1N7, M6G 2T1, MI, None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NULL</w:t>
            </w:r>
          </w:p>
        </w:tc>
      </w:tr>
    </w:tbl>
    <w:p>
      <w:pPr>
        <w:spacing w:after="80"/>
      </w:pPr>
    </w:p>
    <w:p>
      <w:pPr>
        <w:pStyle w:val="Heading2"/>
        <w:spacing w:after="160" w:before="240"/>
      </w:pPr>
      <w:r>
        <w:rPr>
          <w:rFonts w:ascii="Arial" w:cs="Arial" w:eastAsia="Arial" w:hAnsi="Arial"/>
          <w:b/>
          <w:bCs/>
          <w:color w:val="1F4E79"/>
          <w:sz w:val="28"/>
          <w:szCs w:val="28"/>
        </w:rPr>
        <w:t xml:space="preserve">4.5 Date Handling</w:t>
      </w:r>
    </w:p>
    <w:p>
      <w:pPr>
        <w:spacing w:after="120"/>
      </w:pPr>
      <w:r>
        <w:rPr>
          <w:rFonts w:ascii="Arial" w:cs="Arial" w:eastAsia="Arial" w:hAnsi="Arial"/>
          <w:sz w:val="22"/>
          <w:szCs w:val="22"/>
        </w:rPr>
        <w:t xml:space="preserve">fiscal_election_date: clean YYYY-MM-DD format, cast to DateType with no issues.</w:t>
      </w:r>
    </w:p>
    <w:p>
      <w:pPr>
        <w:spacing w:after="120"/>
      </w:pPr>
      <w:r>
        <w:rPr>
          <w:rFonts w:ascii="Arial" w:cs="Arial" w:eastAsia="Arial" w:hAnsi="Arial"/>
          <w:sz w:val="22"/>
          <w:szCs w:val="22"/>
        </w:rPr>
        <w:t xml:space="preserve">contribution_received_date: one typo (0025-04-07 → 2025-04-07) fixed via regex. 914 NULLs preserved. Old dates (2015–2023) are legitimate — they represent contributions from prior years reported in 2025/2026 fiscal returns.</w:t>
      </w:r>
    </w:p>
    <w:p>
      <w:pPr>
        <w:spacing w:after="80"/>
      </w:pPr>
    </w:p>
    <w:p>
      <w:pPr>
        <w:pStyle w:val="Heading2"/>
        <w:spacing w:after="160" w:before="240"/>
      </w:pPr>
      <w:r>
        <w:rPr>
          <w:rFonts w:ascii="Arial" w:cs="Arial" w:eastAsia="Arial" w:hAnsi="Arial"/>
          <w:b/>
          <w:bCs/>
          <w:color w:val="1F4E79"/>
          <w:sz w:val="28"/>
          <w:szCs w:val="28"/>
        </w:rPr>
        <w:t xml:space="preserve">4.6 Monetary Amounts</w:t>
      </w:r>
    </w:p>
    <w:p>
      <w:pPr>
        <w:spacing w:after="120"/>
      </w:pPr>
      <w:r>
        <w:rPr>
          <w:rFonts w:ascii="Arial" w:cs="Arial" w:eastAsia="Arial" w:hAnsi="Arial"/>
          <w:sz w:val="22"/>
          <w:szCs w:val="22"/>
        </w:rPr>
        <w:t xml:space="preserve">Cast to DECIMAL(12,2). Values like .23 (no leading zero) parse correctly. non_monetary_amount is .00 across all rows in the current dataset. total_amount derived as COALESCE(monetary, 0) + COALESCE(non_monetary, 0).</w:t>
      </w:r>
    </w:p>
    <w:p>
      <w:pPr>
        <w:spacing w:after="80"/>
      </w:pPr>
    </w:p>
    <w:p>
      <w:pPr>
        <w:pStyle w:val="Heading2"/>
        <w:spacing w:after="160" w:before="240"/>
      </w:pPr>
      <w:r>
        <w:rPr>
          <w:rFonts w:ascii="Arial" w:cs="Arial" w:eastAsia="Arial" w:hAnsi="Arial"/>
          <w:b/>
          <w:bCs/>
          <w:color w:val="1F4E79"/>
          <w:sz w:val="28"/>
          <w:szCs w:val="28"/>
        </w:rPr>
        <w:t xml:space="preserve">4.7 Null Handling</w:t>
      </w:r>
    </w:p>
    <w:p>
      <w:pPr>
        <w:spacing w:after="120"/>
      </w:pPr>
      <w:r>
        <w:rPr>
          <w:rFonts w:ascii="Arial" w:cs="Arial" w:eastAsia="Arial" w:hAnsi="Arial"/>
          <w:sz w:val="22"/>
          <w:szCs w:val="22"/>
        </w:rPr>
        <w:t xml:space="preserve">'None' strings in electoral_event, contribution_given_through, and leadership_contestant converted to NULL. contribution_given_through is 100% NULL across all rows and was dropped from Silver (not included in any Silver table).</w:t>
      </w:r>
    </w:p>
    <w:p>
      <w:pPr>
        <w:spacing w:after="80"/>
      </w:pPr>
    </w:p>
    <w:p>
      <w:pPr>
        <w:pStyle w:val="Heading1"/>
        <w:spacing w:after="200" w:before="360"/>
      </w:pPr>
      <w:r>
        <w:rPr>
          <w:rFonts w:ascii="Arial" w:cs="Arial" w:eastAsia="Arial" w:hAnsi="Arial"/>
          <w:b/>
          <w:bCs/>
          <w:color w:val="1F4E79"/>
          <w:sz w:val="32"/>
          <w:szCs w:val="32"/>
        </w:rPr>
        <w:t xml:space="preserve">5. Surrogate Key Design</w:t>
      </w:r>
    </w:p>
    <w:p>
      <w:pPr>
        <w:spacing w:after="80"/>
      </w:pPr>
    </w:p>
    <w:p>
      <w:pPr>
        <w:pStyle w:val="Heading2"/>
        <w:spacing w:after="160" w:before="240"/>
      </w:pPr>
      <w:r>
        <w:rPr>
          <w:rFonts w:ascii="Arial" w:cs="Arial" w:eastAsia="Arial" w:hAnsi="Arial"/>
          <w:b/>
          <w:bCs/>
          <w:color w:val="1F4E79"/>
          <w:sz w:val="28"/>
          <w:szCs w:val="28"/>
        </w:rPr>
        <w:t xml:space="preserve">5.1 Contributor Key</w:t>
      </w:r>
    </w:p>
    <w:p>
      <w:pPr>
        <w:spacing w:after="120"/>
      </w:pPr>
      <w:r>
        <w:rPr>
          <w:rFonts w:ascii="Arial" w:cs="Arial" w:eastAsia="Arial" w:hAnsi="Arial"/>
          <w:sz w:val="22"/>
          <w:szCs w:val="22"/>
        </w:rPr>
        <w:t xml:space="preserve">Natural key: (contributor_last_name, contributor_first_name, contributor_postal_code). Middle initial excluded because it is 82% NULL and would cause false key splits.</w:t>
      </w:r>
    </w:p>
    <w:p>
      <w:pPr>
        <w:spacing w:after="120"/>
      </w:pPr>
      <w:r>
        <w:rPr>
          <w:rFonts w:ascii="Arial" w:cs="Arial" w:eastAsia="Arial" w:hAnsi="Arial"/>
          <w:sz w:val="22"/>
          <w:szCs w:val="22"/>
        </w:rPr>
        <w:t xml:space="preserve">Generated via SHA2(CONCAT_WS('|', UPPER(TRIM(last)), UPPER(TRIM(first)), UPPER(TRIM(postal))), 256).</w:t>
      </w:r>
    </w:p>
    <w:p>
      <w:pPr>
        <w:spacing w:after="120"/>
      </w:pPr>
      <w:r>
        <w:rPr>
          <w:rFonts w:ascii="Arial" w:cs="Arial" w:eastAsia="Arial" w:hAnsi="Arial"/>
          <w:sz w:val="22"/>
          <w:szCs w:val="22"/>
        </w:rPr>
        <w:t xml:space="preserve">Trade-off: the same person with different postal codes will appear as two separate contributors. This is acceptable for the current dataset and analysis scope.</w:t>
      </w:r>
    </w:p>
    <w:p>
      <w:pPr>
        <w:spacing w:after="80"/>
      </w:pPr>
    </w:p>
    <w:p>
      <w:pPr>
        <w:pStyle w:val="Heading2"/>
        <w:spacing w:after="160" w:before="240"/>
      </w:pPr>
      <w:r>
        <w:rPr>
          <w:rFonts w:ascii="Arial" w:cs="Arial" w:eastAsia="Arial" w:hAnsi="Arial"/>
          <w:b/>
          <w:bCs/>
          <w:color w:val="1F4E79"/>
          <w:sz w:val="28"/>
          <w:szCs w:val="28"/>
        </w:rPr>
        <w:t xml:space="preserve">5.2 Electoral Event Key</w:t>
      </w:r>
    </w:p>
    <w:p>
      <w:pPr>
        <w:spacing w:after="120"/>
      </w:pPr>
      <w:r>
        <w:rPr>
          <w:rFonts w:ascii="Arial" w:cs="Arial" w:eastAsia="Arial" w:hAnsi="Arial"/>
          <w:sz w:val="22"/>
          <w:szCs w:val="22"/>
        </w:rPr>
        <w:t xml:space="preserve">Natural key: (electoral_event, fiscal_election_date). Generated via SHA2(CONCAT_WS('|', UPPER(TRIM(event)), date_string), 256).</w:t>
      </w:r>
    </w:p>
    <w:p>
      <w:pPr>
        <w:spacing w:after="80"/>
      </w:pPr>
    </w:p>
    <w:p>
      <w:pPr>
        <w:pStyle w:val="Heading1"/>
        <w:spacing w:after="200" w:before="360"/>
      </w:pPr>
      <w:r>
        <w:rPr>
          <w:rFonts w:ascii="Arial" w:cs="Arial" w:eastAsia="Arial" w:hAnsi="Arial"/>
          <w:b/>
          <w:bCs/>
          <w:color w:val="1F4E79"/>
          <w:sz w:val="32"/>
          <w:szCs w:val="32"/>
        </w:rPr>
        <w:t xml:space="preserve">6. Table Configuration</w:t>
      </w:r>
    </w:p>
    <w:p>
      <w:pPr>
        <w:spacing w:after="80"/>
      </w:pPr>
    </w:p>
    <w:p>
      <w:pPr>
        <w:pStyle w:val="Heading2"/>
        <w:spacing w:after="160" w:before="240"/>
      </w:pPr>
      <w:r>
        <w:rPr>
          <w:rFonts w:ascii="Arial" w:cs="Arial" w:eastAsia="Arial" w:hAnsi="Arial"/>
          <w:b/>
          <w:bCs/>
          <w:color w:val="1F4E79"/>
          <w:sz w:val="28"/>
          <w:szCs w:val="28"/>
        </w:rPr>
        <w:t xml:space="preserve">6.1 Liquid Clustering</w:t>
      </w:r>
    </w:p>
    <w:p>
      <w:pPr>
        <w:spacing w:after="120"/>
      </w:pPr>
      <w:r>
        <w:rPr>
          <w:rFonts w:ascii="Arial" w:cs="Arial" w:eastAsia="Arial" w:hAnsi="Arial"/>
          <w:sz w:val="22"/>
          <w:szCs w:val="22"/>
        </w:rPr>
        <w:t xml:space="preserve">Applied to silver.contributions on contribution_received_date. The three dimension tables are small enough (44 to 123,453 rows) that clustering provides no measurable benefit.</w:t>
      </w:r>
    </w:p>
    <w:p>
      <w:pPr>
        <w:spacing w:after="80"/>
      </w:pPr>
    </w:p>
    <w:p>
      <w:pPr>
        <w:pStyle w:val="Heading2"/>
        <w:spacing w:after="160" w:before="240"/>
      </w:pPr>
      <w:r>
        <w:rPr>
          <w:rFonts w:ascii="Arial" w:cs="Arial" w:eastAsia="Arial" w:hAnsi="Arial"/>
          <w:b/>
          <w:bCs/>
          <w:color w:val="1F4E79"/>
          <w:sz w:val="28"/>
          <w:szCs w:val="28"/>
        </w:rPr>
        <w:t xml:space="preserve">6.2 Predictive Optimization</w:t>
      </w:r>
    </w:p>
    <w:p>
      <w:pPr>
        <w:spacing w:after="120"/>
      </w:pPr>
      <w:r>
        <w:rPr>
          <w:rFonts w:ascii="Arial" w:cs="Arial" w:eastAsia="Arial" w:hAnsi="Arial"/>
          <w:sz w:val="22"/>
          <w:szCs w:val="22"/>
        </w:rPr>
        <w:t xml:space="preserve">Enabled on all four Silver tables via ALTER TABLE ... ENABLE PREDICTIVE OPTIMIZATION.</w:t>
      </w:r>
    </w:p>
    <w:p>
      <w:pPr>
        <w:spacing w:after="80"/>
      </w:pPr>
    </w:p>
    <w:p>
      <w:pPr>
        <w:pStyle w:val="Heading1"/>
        <w:spacing w:after="200" w:before="360"/>
      </w:pPr>
      <w:r>
        <w:rPr>
          <w:rFonts w:ascii="Arial" w:cs="Arial" w:eastAsia="Arial" w:hAnsi="Arial"/>
          <w:b/>
          <w:bCs/>
          <w:color w:val="1F4E79"/>
          <w:sz w:val="32"/>
          <w:szCs w:val="32"/>
        </w:rPr>
        <w:t xml:space="preserve">7.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Notebook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02_transform_silver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Repository path</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src/transformation/02_transform_silver.py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Compute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Serverless (no UDFs, no cache, no sparkContext)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Idempotent</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 — full overwrite on every run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Runtime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seconds</w:t>
            </w:r>
          </w:p>
        </w:tc>
      </w:tr>
    </w:tbl>
    <w:p>
      <w:pPr>
        <w:spacing w:after="80"/>
      </w:pPr>
    </w:p>
    <w:p>
      <w:pPr>
        <w:pStyle w:val="Heading1"/>
        <w:spacing w:after="200" w:before="360"/>
      </w:pPr>
      <w:r>
        <w:rPr>
          <w:rFonts w:ascii="Arial" w:cs="Arial" w:eastAsia="Arial" w:hAnsi="Arial"/>
          <w:b/>
          <w:bCs/>
          <w:color w:val="1F4E79"/>
          <w:sz w:val="32"/>
          <w:szCs w:val="32"/>
        </w:rPr>
        <w:t xml:space="preserve">8. Validation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c>
          <w:tcPr>
            <w:tcW w:type="dxa" w:w="4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Rows</w:t>
            </w:r>
          </w:p>
        </w:tc>
        <w:tc>
          <w:tcPr>
            <w:tcW w:type="dxa" w:w="3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pfin_dev.silver.recipients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1,004</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Validated</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pfin_dev.silver.contributors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123,453</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Validated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pfin_dev.silver.electoral_events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Validated</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pfin_dev.silver.contributions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282,098</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Validated</w:t>
            </w:r>
          </w:p>
        </w:tc>
      </w:tr>
    </w:tbl>
    <w:p>
      <w:pPr>
        <w:spacing w:after="80"/>
      </w:pPr>
    </w:p>
    <w:p>
      <w:pPr>
        <w:pStyle w:val="Heading1"/>
        <w:spacing w:after="200" w:before="360"/>
      </w:pPr>
      <w:r>
        <w:rPr>
          <w:rFonts w:ascii="Arial" w:cs="Arial" w:eastAsia="Arial" w:hAnsi="Arial"/>
          <w:b/>
          <w:bCs/>
          <w:color w:val="1F4E79"/>
          <w:sz w:val="32"/>
          <w:szCs w:val="32"/>
        </w:rPr>
        <w:t xml:space="preserve">9.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Silver tables created in pfin_dev.silver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All columns correctly typed (dates, decimals, integers)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encoding artifacts in any text column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Province codes standardized to 2-letter codes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Exact duplicates removed (2,038)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Surrogate keys generated for contributors and electoral events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Liquid Clustering enabled on contributions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Predictive Optimization enabled on all tables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nulls in primary key columns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Row count validated: 282,098 = 284,136 − 2,038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bl>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99999"/>
        <w:sz w:val="18"/>
        <w:szCs w:val="18"/>
      </w:rPr>
      <w:t xml:space="preserve">PFIN — Phase 2: Transformation (Bronze → Silver)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2026-06-01T03:00:18.512Z</dcterms:created>
  <dcterms:modified xsi:type="dcterms:W3CDTF">2026-06-01T03:00:18.512Z</dcterms:modified>
</cp:coreProperties>
</file>

<file path=docProps/custom.xml><?xml version="1.0" encoding="utf-8"?>
<Properties xmlns="http://schemas.openxmlformats.org/officeDocument/2006/custom-properties" xmlns:vt="http://schemas.openxmlformats.org/officeDocument/2006/docPropsVTypes"/>
</file>