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ITA YUVA</w:t>
        <w:br/>
      </w:r>
      <w:r>
        <w:rPr>
          <w:sz w:val="22"/>
        </w:rPr>
        <w:t>Virtual R Data Analyst Internship</w:t>
      </w:r>
    </w:p>
    <w:p>
      <w:pPr>
        <w:jc w:val="center"/>
      </w:pPr>
      <w:r>
        <w:rPr>
          <w:b/>
          <w:sz w:val="48"/>
        </w:rPr>
        <w:t>WEEK 1 REPORT</w:t>
      </w:r>
    </w:p>
    <w:p>
      <w:pPr>
        <w:jc w:val="center"/>
      </w:pPr>
      <w:r>
        <w:rPr>
          <w:b/>
        </w:rPr>
        <w:t>Data Cleaning and Preliminary Analysis with R</w:t>
      </w:r>
      <w:r>
        <w:br/>
        <w:t>Online Retail II Dataset</w:t>
      </w:r>
    </w:p>
    <w:p>
      <w:r>
        <w:br/>
        <w:t>Prepared by: Arsalan Naqshbandi</w:t>
      </w:r>
    </w:p>
    <w:p>
      <w:r>
        <w:t>Internship Period: 23-Jul-2026 to 23-Aug-2026</w:t>
      </w:r>
    </w:p>
    <w:p>
      <w:r>
        <w:t>Task: Week 1 — Data Cleaning and Preliminary Analysis with R</w:t>
      </w:r>
    </w:p>
    <w:p>
      <w:r>
        <w:br w:type="page"/>
      </w:r>
    </w:p>
    <w:p>
      <w:pPr>
        <w:pStyle w:val="Heading1"/>
      </w:pPr>
      <w:r>
        <w:t>Executive Summary</w:t>
      </w:r>
    </w:p>
    <w:p>
      <w:r>
        <w:t>This report presents a data-cleaning and preliminary exploratory analysis plan for the UCI Online Retail II dataset using R. The dataset contains 1,067,371 transaction records from a UK-based online retailer covering 1 December 2009 to 9 December 2011. It contains categorical, numeric and date/time information and has documented missing values, making it appropriate for the Week 1 requirements of the ITA Yuva Virtual R Data Analyst Internship.</w:t>
      </w:r>
    </w:p>
    <w:p>
      <w:r>
        <w:t>The analysis pipeline covers initial structural inspection, missing-value assessment, duplicate detection, data-type standardisation, cancellation identification, invalid transaction handling, IQR-based outlier detection, min-max normalization, categorical encoding, descriptive statistics, Pearson correlation analysis and exploratory visualisation. A key methodological principle is that unusual observations are not automatically deleted: legitimate bulk purchases can be genuine business activity. Therefore, outliers are flagged for review while cancellations and non-positive sales records are separated from the positive-sales analysis.</w:t>
      </w:r>
    </w:p>
    <w:p>
      <w:pPr>
        <w:pStyle w:val="Heading1"/>
      </w:pPr>
      <w:r>
        <w:t>1. Dataset Overview</w:t>
      </w:r>
    </w:p>
    <w:p>
      <w:r>
        <w:t>The selected dataset is Online Retail II from the UCI Machine Learning Repository. It is a real transaction dataset for a UK-based registered non-store online retailer. The business mainly sells unique all-occasion giftware and many customers are wholesalers. The dataset spans two years and contains 1,067,371 instances.</w:t>
      </w:r>
    </w:p>
    <w:p>
      <w:r>
        <w:t>The official UCI documentation identifies the dataset as multivariate, sequential, time-series and text data, with business as its subject area and classification, regression and clustering as associated tasks.</w:t>
      </w:r>
    </w:p>
    <w:tbl>
      <w:tblPr>
        <w:tblStyle w:val="TableGrid"/>
        <w:tblW w:type="auto" w:w="0"/>
        <w:jc w:val="center"/>
        <w:tblLook w:firstColumn="1" w:firstRow="1" w:lastColumn="0" w:lastRow="0" w:noHBand="0" w:noVBand="1" w:val="04A0"/>
      </w:tblPr>
      <w:tblGrid>
        <w:gridCol w:w="4968"/>
        <w:gridCol w:w="4968"/>
      </w:tblGrid>
      <w:tr>
        <w:tc>
          <w:tcPr>
            <w:tcW w:type="dxa" w:w="4968"/>
          </w:tcPr>
          <w:p>
            <w:r>
              <w:t>Dataset characteristic</w:t>
            </w:r>
          </w:p>
        </w:tc>
        <w:tc>
          <w:tcPr>
            <w:tcW w:type="dxa" w:w="4968"/>
          </w:tcPr>
          <w:p>
            <w:r>
              <w:t>Value</w:t>
            </w:r>
          </w:p>
        </w:tc>
      </w:tr>
      <w:tr>
        <w:tc>
          <w:tcPr>
            <w:tcW w:type="dxa" w:w="4968"/>
          </w:tcPr>
          <w:p>
            <w:r>
              <w:t>Dataset</w:t>
            </w:r>
          </w:p>
        </w:tc>
        <w:tc>
          <w:tcPr>
            <w:tcW w:type="dxa" w:w="4968"/>
          </w:tcPr>
          <w:p>
            <w:r>
              <w:t>Online Retail II</w:t>
            </w:r>
          </w:p>
        </w:tc>
      </w:tr>
      <w:tr>
        <w:tc>
          <w:tcPr>
            <w:tcW w:type="dxa" w:w="4968"/>
          </w:tcPr>
          <w:p>
            <w:r>
              <w:t>Source</w:t>
            </w:r>
          </w:p>
        </w:tc>
        <w:tc>
          <w:tcPr>
            <w:tcW w:type="dxa" w:w="4968"/>
          </w:tcPr>
          <w:p>
            <w:r>
              <w:t>UCI Machine Learning Repository</w:t>
            </w:r>
          </w:p>
        </w:tc>
      </w:tr>
      <w:tr>
        <w:tc>
          <w:tcPr>
            <w:tcW w:type="dxa" w:w="4968"/>
          </w:tcPr>
          <w:p>
            <w:r>
              <w:t>Instances</w:t>
            </w:r>
          </w:p>
        </w:tc>
        <w:tc>
          <w:tcPr>
            <w:tcW w:type="dxa" w:w="4968"/>
          </w:tcPr>
          <w:p>
            <w:r>
              <w:t>1,067,371</w:t>
            </w:r>
          </w:p>
        </w:tc>
      </w:tr>
      <w:tr>
        <w:tc>
          <w:tcPr>
            <w:tcW w:type="dxa" w:w="4968"/>
          </w:tcPr>
          <w:p>
            <w:r>
              <w:t>Period</w:t>
            </w:r>
          </w:p>
        </w:tc>
        <w:tc>
          <w:tcPr>
            <w:tcW w:type="dxa" w:w="4968"/>
          </w:tcPr>
          <w:p>
            <w:r>
              <w:t>01-Dec-2009 to 09-Dec-2011</w:t>
            </w:r>
          </w:p>
        </w:tc>
      </w:tr>
      <w:tr>
        <w:tc>
          <w:tcPr>
            <w:tcW w:type="dxa" w:w="4968"/>
          </w:tcPr>
          <w:p>
            <w:r>
              <w:t>Business context</w:t>
            </w:r>
          </w:p>
        </w:tc>
        <w:tc>
          <w:tcPr>
            <w:tcW w:type="dxa" w:w="4968"/>
          </w:tcPr>
          <w:p>
            <w:r>
              <w:t>UK-based online retailer</w:t>
            </w:r>
          </w:p>
        </w:tc>
      </w:tr>
      <w:tr>
        <w:tc>
          <w:tcPr>
            <w:tcW w:type="dxa" w:w="4968"/>
          </w:tcPr>
          <w:p>
            <w:r>
              <w:t>Missing values</w:t>
            </w:r>
          </w:p>
        </w:tc>
        <w:tc>
          <w:tcPr>
            <w:tcW w:type="dxa" w:w="4968"/>
          </w:tcPr>
          <w:p>
            <w:r>
              <w:t>Yes</w:t>
            </w:r>
          </w:p>
        </w:tc>
      </w:tr>
      <w:tr>
        <w:tc>
          <w:tcPr>
            <w:tcW w:type="dxa" w:w="4968"/>
          </w:tcPr>
          <w:p>
            <w:r>
              <w:t>License</w:t>
            </w:r>
          </w:p>
        </w:tc>
        <w:tc>
          <w:tcPr>
            <w:tcW w:type="dxa" w:w="4968"/>
          </w:tcPr>
          <w:p>
            <w:r>
              <w:t>CC BY 4.0</w:t>
            </w:r>
          </w:p>
        </w:tc>
      </w:tr>
      <w:tr>
        <w:tc>
          <w:tcPr>
            <w:tcW w:type="dxa" w:w="4968"/>
          </w:tcPr>
          <w:p>
            <w:r>
              <w:t>DOI</w:t>
            </w:r>
          </w:p>
        </w:tc>
        <w:tc>
          <w:tcPr>
            <w:tcW w:type="dxa" w:w="4968"/>
          </w:tcPr>
          <w:p>
            <w:r>
              <w:t>10.24432/C5CG6D</w:t>
            </w:r>
          </w:p>
        </w:tc>
      </w:tr>
    </w:tbl>
    <w:p>
      <w:pPr>
        <w:pStyle w:val="Heading1"/>
      </w:pPr>
      <w:r>
        <w:t>2. Variables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Variable</w:t>
            </w:r>
          </w:p>
        </w:tc>
        <w:tc>
          <w:tcPr>
            <w:tcW w:type="dxa" w:w="2484"/>
          </w:tcPr>
          <w:p>
            <w:r>
              <w:t>Type</w:t>
            </w:r>
          </w:p>
        </w:tc>
        <w:tc>
          <w:tcPr>
            <w:tcW w:type="dxa" w:w="2484"/>
          </w:tcPr>
          <w:p>
            <w:r>
              <w:t>Role</w:t>
            </w:r>
          </w:p>
        </w:tc>
        <w:tc>
          <w:tcPr>
            <w:tcW w:type="dxa" w:w="2484"/>
          </w:tcPr>
          <w:p>
            <w:r>
              <w:t>Description</w:t>
            </w:r>
          </w:p>
        </w:tc>
      </w:tr>
      <w:tr>
        <w:tc>
          <w:tcPr>
            <w:tcW w:type="dxa" w:w="2484"/>
          </w:tcPr>
          <w:p>
            <w:r>
              <w:t>InvoiceNo</w:t>
            </w:r>
          </w:p>
        </w:tc>
        <w:tc>
          <w:tcPr>
            <w:tcW w:type="dxa" w:w="2484"/>
          </w:tcPr>
          <w:p>
            <w:r>
              <w:t>Categorical / ID</w:t>
            </w:r>
          </w:p>
        </w:tc>
        <w:tc>
          <w:tcPr>
            <w:tcW w:type="dxa" w:w="2484"/>
          </w:tcPr>
          <w:p>
            <w:r>
              <w:t>Identifier</w:t>
            </w:r>
          </w:p>
        </w:tc>
        <w:tc>
          <w:tcPr>
            <w:tcW w:type="dxa" w:w="2484"/>
          </w:tcPr>
          <w:p>
            <w:r>
              <w:t>Unique transaction invoice; invoices beginning with C indicate cancellation.</w:t>
            </w:r>
          </w:p>
        </w:tc>
      </w:tr>
      <w:tr>
        <w:tc>
          <w:tcPr>
            <w:tcW w:type="dxa" w:w="2484"/>
          </w:tcPr>
          <w:p>
            <w:r>
              <w:t>StockCode</w:t>
            </w:r>
          </w:p>
        </w:tc>
        <w:tc>
          <w:tcPr>
            <w:tcW w:type="dxa" w:w="2484"/>
          </w:tcPr>
          <w:p>
            <w:r>
              <w:t>Categorical / ID</w:t>
            </w:r>
          </w:p>
        </w:tc>
        <w:tc>
          <w:tcPr>
            <w:tcW w:type="dxa" w:w="2484"/>
          </w:tcPr>
          <w:p>
            <w:r>
              <w:t>Identifier</w:t>
            </w:r>
          </w:p>
        </w:tc>
        <w:tc>
          <w:tcPr>
            <w:tcW w:type="dxa" w:w="2484"/>
          </w:tcPr>
          <w:p>
            <w:r>
              <w:t>Product/item code.</w:t>
            </w:r>
          </w:p>
        </w:tc>
      </w:tr>
      <w:tr>
        <w:tc>
          <w:tcPr>
            <w:tcW w:type="dxa" w:w="2484"/>
          </w:tcPr>
          <w:p>
            <w:r>
              <w:t>Description</w:t>
            </w:r>
          </w:p>
        </w:tc>
        <w:tc>
          <w:tcPr>
            <w:tcW w:type="dxa" w:w="2484"/>
          </w:tcPr>
          <w:p>
            <w:r>
              <w:t>Categorical / Text</w:t>
            </w:r>
          </w:p>
        </w:tc>
        <w:tc>
          <w:tcPr>
            <w:tcW w:type="dxa" w:w="2484"/>
          </w:tcPr>
          <w:p>
            <w:r>
              <w:t>Feature</w:t>
            </w:r>
          </w:p>
        </w:tc>
        <w:tc>
          <w:tcPr>
            <w:tcW w:type="dxa" w:w="2484"/>
          </w:tcPr>
          <w:p>
            <w:r>
              <w:t>Product/item name.</w:t>
            </w:r>
          </w:p>
        </w:tc>
      </w:tr>
      <w:tr>
        <w:tc>
          <w:tcPr>
            <w:tcW w:type="dxa" w:w="2484"/>
          </w:tcPr>
          <w:p>
            <w:r>
              <w:t>Quantity</w:t>
            </w:r>
          </w:p>
        </w:tc>
        <w:tc>
          <w:tcPr>
            <w:tcW w:type="dxa" w:w="2484"/>
          </w:tcPr>
          <w:p>
            <w:r>
              <w:t>Numeric / Integer</w:t>
            </w:r>
          </w:p>
        </w:tc>
        <w:tc>
          <w:tcPr>
            <w:tcW w:type="dxa" w:w="2484"/>
          </w:tcPr>
          <w:p>
            <w:r>
              <w:t>Feature</w:t>
            </w:r>
          </w:p>
        </w:tc>
        <w:tc>
          <w:tcPr>
            <w:tcW w:type="dxa" w:w="2484"/>
          </w:tcPr>
          <w:p>
            <w:r>
              <w:t>Number of units in the transaction line.</w:t>
            </w:r>
          </w:p>
        </w:tc>
      </w:tr>
      <w:tr>
        <w:tc>
          <w:tcPr>
            <w:tcW w:type="dxa" w:w="2484"/>
          </w:tcPr>
          <w:p>
            <w:r>
              <w:t>InvoiceDate</w:t>
            </w:r>
          </w:p>
        </w:tc>
        <w:tc>
          <w:tcPr>
            <w:tcW w:type="dxa" w:w="2484"/>
          </w:tcPr>
          <w:p>
            <w:r>
              <w:t>Date-time</w:t>
            </w:r>
          </w:p>
        </w:tc>
        <w:tc>
          <w:tcPr>
            <w:tcW w:type="dxa" w:w="2484"/>
          </w:tcPr>
          <w:p>
            <w:r>
              <w:t>Feature</w:t>
            </w:r>
          </w:p>
        </w:tc>
        <w:tc>
          <w:tcPr>
            <w:tcW w:type="dxa" w:w="2484"/>
          </w:tcPr>
          <w:p>
            <w:r>
              <w:t>Date and time when the transaction was generated.</w:t>
            </w:r>
          </w:p>
        </w:tc>
      </w:tr>
      <w:tr>
        <w:tc>
          <w:tcPr>
            <w:tcW w:type="dxa" w:w="2484"/>
          </w:tcPr>
          <w:p>
            <w:r>
              <w:t>UnitPrice</w:t>
            </w:r>
          </w:p>
        </w:tc>
        <w:tc>
          <w:tcPr>
            <w:tcW w:type="dxa" w:w="2484"/>
          </w:tcPr>
          <w:p>
            <w:r>
              <w:t>Numeric / Continuous</w:t>
            </w:r>
          </w:p>
        </w:tc>
        <w:tc>
          <w:tcPr>
            <w:tcW w:type="dxa" w:w="2484"/>
          </w:tcPr>
          <w:p>
            <w:r>
              <w:t>Feature</w:t>
            </w:r>
          </w:p>
        </w:tc>
        <w:tc>
          <w:tcPr>
            <w:tcW w:type="dxa" w:w="2484"/>
          </w:tcPr>
          <w:p>
            <w:r>
              <w:t>Price per unit in GBP.</w:t>
            </w:r>
          </w:p>
        </w:tc>
      </w:tr>
      <w:tr>
        <w:tc>
          <w:tcPr>
            <w:tcW w:type="dxa" w:w="2484"/>
          </w:tcPr>
          <w:p>
            <w:r>
              <w:t>CustomerID</w:t>
            </w:r>
          </w:p>
        </w:tc>
        <w:tc>
          <w:tcPr>
            <w:tcW w:type="dxa" w:w="2484"/>
          </w:tcPr>
          <w:p>
            <w:r>
              <w:t>Categorical / ID</w:t>
            </w:r>
          </w:p>
        </w:tc>
        <w:tc>
          <w:tcPr>
            <w:tcW w:type="dxa" w:w="2484"/>
          </w:tcPr>
          <w:p>
            <w:r>
              <w:t>Feature</w:t>
            </w:r>
          </w:p>
        </w:tc>
        <w:tc>
          <w:tcPr>
            <w:tcW w:type="dxa" w:w="2484"/>
          </w:tcPr>
          <w:p>
            <w:r>
              <w:t>Customer identifier; missing for some transaction lines.</w:t>
            </w:r>
          </w:p>
        </w:tc>
      </w:tr>
      <w:tr>
        <w:tc>
          <w:tcPr>
            <w:tcW w:type="dxa" w:w="2484"/>
          </w:tcPr>
          <w:p>
            <w:r>
              <w:t>Country</w:t>
            </w:r>
          </w:p>
        </w:tc>
        <w:tc>
          <w:tcPr>
            <w:tcW w:type="dxa" w:w="2484"/>
          </w:tcPr>
          <w:p>
            <w:r>
              <w:t>Categorical</w:t>
            </w:r>
          </w:p>
        </w:tc>
        <w:tc>
          <w:tcPr>
            <w:tcW w:type="dxa" w:w="2484"/>
          </w:tcPr>
          <w:p>
            <w:r>
              <w:t>Feature</w:t>
            </w:r>
          </w:p>
        </w:tc>
        <w:tc>
          <w:tcPr>
            <w:tcW w:type="dxa" w:w="2484"/>
          </w:tcPr>
          <w:p>
            <w:r>
              <w:t>Customer's country.</w:t>
            </w:r>
          </w:p>
        </w:tc>
      </w:tr>
    </w:tbl>
    <w:p>
      <w:pPr>
        <w:pStyle w:val="Heading1"/>
      </w:pPr>
      <w:r>
        <w:t>3. Initial Data Quality Assessment</w:t>
      </w:r>
    </w:p>
    <w:p>
      <w:r>
        <w:t>Publicly documented examinations of the original workbook report 1,067,371 rows, 243,007 missing Customer IDs (22.77%), 4,382 missing Description values, and 34,335 exact duplicate rows. The raw Quantity variable ranges from -80,995 to 80,995, while UnitPrice ranges from -53,594.36 to 38,970. These extreme values show why transaction validation and outlier detection are necessary before business interpretation.</w:t>
      </w:r>
    </w:p>
    <w:tbl>
      <w:tblPr>
        <w:tblStyle w:val="TableGrid"/>
        <w:tblW w:type="auto" w:w="0"/>
        <w:tblLook w:firstColumn="1" w:firstRow="1" w:lastColumn="0" w:lastRow="0" w:noHBand="0" w:noVBand="1" w:val="04A0"/>
      </w:tblPr>
      <w:tblGrid>
        <w:gridCol w:w="3312"/>
        <w:gridCol w:w="3312"/>
        <w:gridCol w:w="3312"/>
      </w:tblGrid>
      <w:tr>
        <w:tc>
          <w:tcPr>
            <w:tcW w:type="dxa" w:w="3312"/>
          </w:tcPr>
          <w:p>
            <w:r>
              <w:t>Quality check</w:t>
            </w:r>
          </w:p>
        </w:tc>
        <w:tc>
          <w:tcPr>
            <w:tcW w:type="dxa" w:w="3312"/>
          </w:tcPr>
          <w:p>
            <w:r>
              <w:t>Reported raw result</w:t>
            </w:r>
          </w:p>
        </w:tc>
        <w:tc>
          <w:tcPr>
            <w:tcW w:type="dxa" w:w="3312"/>
          </w:tcPr>
          <w:p>
            <w:r>
              <w:t>Treatment in this project</w:t>
            </w:r>
          </w:p>
        </w:tc>
      </w:tr>
      <w:tr>
        <w:tc>
          <w:tcPr>
            <w:tcW w:type="dxa" w:w="3312"/>
          </w:tcPr>
          <w:p>
            <w:r>
              <w:t>Rows</w:t>
            </w:r>
          </w:p>
        </w:tc>
        <w:tc>
          <w:tcPr>
            <w:tcW w:type="dxa" w:w="3312"/>
          </w:tcPr>
          <w:p>
            <w:r>
              <w:t>1,067,371</w:t>
            </w:r>
          </w:p>
        </w:tc>
        <w:tc>
          <w:tcPr>
            <w:tcW w:type="dxa" w:w="3312"/>
          </w:tcPr>
          <w:p>
            <w:r>
              <w:t>Retain all records initially; document changes.</w:t>
            </w:r>
          </w:p>
        </w:tc>
      </w:tr>
      <w:tr>
        <w:tc>
          <w:tcPr>
            <w:tcW w:type="dxa" w:w="3312"/>
          </w:tcPr>
          <w:p>
            <w:r>
              <w:t>Missing CustomerID</w:t>
            </w:r>
          </w:p>
        </w:tc>
        <w:tc>
          <w:tcPr>
            <w:tcW w:type="dxa" w:w="3312"/>
          </w:tcPr>
          <w:p>
            <w:r>
              <w:t>243,007 (22.77%)</w:t>
            </w:r>
          </w:p>
        </w:tc>
        <w:tc>
          <w:tcPr>
            <w:tcW w:type="dxa" w:w="3312"/>
          </w:tcPr>
          <w:p>
            <w:r>
              <w:t>Retain for transaction-level analysis; exclude from customer-level analysis.</w:t>
            </w:r>
          </w:p>
        </w:tc>
      </w:tr>
      <w:tr>
        <w:tc>
          <w:tcPr>
            <w:tcW w:type="dxa" w:w="3312"/>
          </w:tcPr>
          <w:p>
            <w:r>
              <w:t>Missing Description</w:t>
            </w:r>
          </w:p>
        </w:tc>
        <w:tc>
          <w:tcPr>
            <w:tcW w:type="dxa" w:w="3312"/>
          </w:tcPr>
          <w:p>
            <w:r>
              <w:t>4,382</w:t>
            </w:r>
          </w:p>
        </w:tc>
        <w:tc>
          <w:tcPr>
            <w:tcW w:type="dxa" w:w="3312"/>
          </w:tcPr>
          <w:p>
            <w:r>
              <w:t>Remove blank/missing product descriptions from cleaned sales table.</w:t>
            </w:r>
          </w:p>
        </w:tc>
      </w:tr>
      <w:tr>
        <w:tc>
          <w:tcPr>
            <w:tcW w:type="dxa" w:w="3312"/>
          </w:tcPr>
          <w:p>
            <w:r>
              <w:t>Exact duplicates</w:t>
            </w:r>
          </w:p>
        </w:tc>
        <w:tc>
          <w:tcPr>
            <w:tcW w:type="dxa" w:w="3312"/>
          </w:tcPr>
          <w:p>
            <w:r>
              <w:t>34,335</w:t>
            </w:r>
          </w:p>
        </w:tc>
        <w:tc>
          <w:tcPr>
            <w:tcW w:type="dxa" w:w="3312"/>
          </w:tcPr>
          <w:p>
            <w:r>
              <w:t>Remove exact duplicate rows.</w:t>
            </w:r>
          </w:p>
        </w:tc>
      </w:tr>
      <w:tr>
        <w:tc>
          <w:tcPr>
            <w:tcW w:type="dxa" w:w="3312"/>
          </w:tcPr>
          <w:p>
            <w:r>
              <w:t>Cancellation invoices</w:t>
            </w:r>
          </w:p>
        </w:tc>
        <w:tc>
          <w:tcPr>
            <w:tcW w:type="dxa" w:w="3312"/>
          </w:tcPr>
          <w:p>
            <w:r>
              <w:t>Invoice begins with C</w:t>
            </w:r>
          </w:p>
        </w:tc>
        <w:tc>
          <w:tcPr>
            <w:tcW w:type="dxa" w:w="3312"/>
          </w:tcPr>
          <w:p>
            <w:r>
              <w:t>Flag and separate from positive-sales table.</w:t>
            </w:r>
          </w:p>
        </w:tc>
      </w:tr>
      <w:tr>
        <w:tc>
          <w:tcPr>
            <w:tcW w:type="dxa" w:w="3312"/>
          </w:tcPr>
          <w:p>
            <w:r>
              <w:t>Non-positive Quantity / UnitPrice</w:t>
            </w:r>
          </w:p>
        </w:tc>
        <w:tc>
          <w:tcPr>
            <w:tcW w:type="dxa" w:w="3312"/>
          </w:tcPr>
          <w:p>
            <w:r>
              <w:t>Present</w:t>
            </w:r>
          </w:p>
        </w:tc>
        <w:tc>
          <w:tcPr>
            <w:tcW w:type="dxa" w:w="3312"/>
          </w:tcPr>
          <w:p>
            <w:r>
              <w:t>Exclude from positive-sales table; preserve separately for audit.</w:t>
            </w:r>
          </w:p>
        </w:tc>
      </w:tr>
    </w:tbl>
    <w:p>
      <w:pPr>
        <w:pStyle w:val="Heading1"/>
      </w:pPr>
      <w:r>
        <w:t>4. Data Cleaning Methodology</w:t>
      </w:r>
    </w:p>
    <w:p>
      <w:pPr>
        <w:pStyle w:val="Heading2"/>
      </w:pPr>
      <w:r>
        <w:t>4.1 Import and structural inspection</w:t>
      </w:r>
    </w:p>
    <w:p>
      <w:r>
        <w:t>Load both Excel sheets, combine them, standardise column names, then inspect dimensions, structure and summary statistics.</w:t>
      </w:r>
    </w:p>
    <w:p>
      <w:pPr>
        <w:pStyle w:val="Heading2"/>
      </w:pPr>
      <w:r>
        <w:t>4.2 Missing values</w:t>
      </w:r>
    </w:p>
    <w:p>
      <w:r>
        <w:t>Measure missingness for every variable. CustomerID is not imputed because inventing a customer identity would create false customer relationships. Such rows remain available for transaction-level analysis but are excluded from customer-level analysis.</w:t>
      </w:r>
    </w:p>
    <w:p>
      <w:pPr>
        <w:pStyle w:val="Heading2"/>
      </w:pPr>
      <w:r>
        <w:t>4.3 Duplicate records</w:t>
      </w:r>
    </w:p>
    <w:p>
      <w:r>
        <w:t>Remove exact duplicate rows using distinct(). This prevents repeated identical transaction lines from inflating descriptive statistics.</w:t>
      </w:r>
    </w:p>
    <w:p>
      <w:pPr>
        <w:pStyle w:val="Heading2"/>
      </w:pPr>
      <w:r>
        <w:t>4.4 Text and data-type consistency</w:t>
      </w:r>
    </w:p>
    <w:p>
      <w:r>
        <w:t>Convert identifiers to character fields, InvoiceDate to POSIXct, and Country to a factor. Whitespace in text fields is standardised with str_squish().</w:t>
      </w:r>
    </w:p>
    <w:p>
      <w:pPr>
        <w:pStyle w:val="Heading2"/>
      </w:pPr>
      <w:r>
        <w:t>4.5 Cancellations and invalid sales</w:t>
      </w:r>
    </w:p>
    <w:p>
      <w:r>
        <w:t>Invoice numbers beginning with C are flagged as cancellations. A positive-sales table is created using non-cancellation records with Quantity &gt; 0 and UnitPrice &gt; 0. Returns/cancellations are retained separately for audit purposes.</w:t>
      </w:r>
    </w:p>
    <w:p>
      <w:pPr>
        <w:pStyle w:val="Heading2"/>
      </w:pPr>
      <w:r>
        <w:t>4.6 Outlier detection</w:t>
      </w:r>
    </w:p>
    <w:p>
      <w:r>
        <w:t>The IQR rule is applied to Quantity and UnitPrice. Observations outside Q1 − 1.5×IQR and Q3 + 1.5×IQR are flagged. They are not automatically deleted because genuine wholesale orders can be large.</w:t>
      </w:r>
    </w:p>
    <w:p>
      <w:pPr>
        <w:pStyle w:val="Heading2"/>
      </w:pPr>
      <w:r>
        <w:t>4.7 Normalization</w:t>
      </w:r>
    </w:p>
    <w:p>
      <w:r>
        <w:t>Min-max normalization scales Quantity, UnitPrice and Revenue to the 0–1 range for comparable numerical analysis.</w:t>
      </w:r>
    </w:p>
    <w:p>
      <w:pPr>
        <w:pStyle w:val="Heading2"/>
      </w:pPr>
      <w:r>
        <w:t>4.8 Categorical encoding</w:t>
      </w:r>
    </w:p>
    <w:p>
      <w:r>
        <w:t>Country is converted to a factor and a model.matrix() example demonstrates one-hot encoding.</w:t>
      </w:r>
    </w:p>
    <w:p>
      <w:pPr>
        <w:pStyle w:val="Heading1"/>
      </w:pPr>
      <w:r>
        <w:t>5. Exploratory Analysis Plan</w:t>
      </w:r>
    </w:p>
    <w:p>
      <w:r>
        <w:t>The preliminary analysis focuses on understanding the distribution and quality of the cleaned transaction data before any predictive modelling. The main numerical variables are Quantity, UnitPrice and derived Revenue (Quantity × UnitPrice). Categorical variables include Country, StockCode and product Description.</w:t>
      </w:r>
    </w:p>
    <w:p>
      <w:pPr>
        <w:pStyle w:val="ListBullet"/>
      </w:pPr>
      <w:r>
        <w:t>Descriptive statistics: mean, median, minimum, maximum and spread.</w:t>
      </w:r>
    </w:p>
    <w:p>
      <w:pPr>
        <w:pStyle w:val="ListBullet"/>
      </w:pPr>
      <w:r>
        <w:t>Frequency analysis of countries and products.</w:t>
      </w:r>
    </w:p>
    <w:p>
      <w:pPr>
        <w:pStyle w:val="ListBullet"/>
      </w:pPr>
      <w:r>
        <w:t>Distribution plots for Quantity and UnitPrice.</w:t>
      </w:r>
    </w:p>
    <w:p>
      <w:pPr>
        <w:pStyle w:val="ListBullet"/>
      </w:pPr>
      <w:r>
        <w:t>Revenue comparison across the top countries.</w:t>
      </w:r>
    </w:p>
    <w:p>
      <w:pPr>
        <w:pStyle w:val="ListBullet"/>
      </w:pPr>
      <w:r>
        <w:t>Pearson correlation matrix for Quantity, UnitPrice and Revenue.</w:t>
      </w:r>
    </w:p>
    <w:p>
      <w:pPr>
        <w:pStyle w:val="ListBullet"/>
      </w:pPr>
      <w:r>
        <w:t>Review of skewness and extreme observations before later modelling.</w:t>
      </w:r>
    </w:p>
    <w:p>
      <w:pPr>
        <w:pStyle w:val="Heading1"/>
      </w:pPr>
      <w:r>
        <w:t>6. Initial Insights</w:t>
      </w:r>
    </w:p>
    <w:p>
      <w:pPr>
        <w:pStyle w:val="ListBullet"/>
      </w:pPr>
      <w:r>
        <w:t>The dataset is sufficiently large and heterogeneous for meaningful data-cleaning practice.</w:t>
      </w:r>
    </w:p>
    <w:p>
      <w:pPr>
        <w:pStyle w:val="ListBullet"/>
      </w:pPr>
      <w:r>
        <w:t>CustomerID missingness is substantial (22.77%), so customer-level analysis requires an explicit missing-identity policy.</w:t>
      </w:r>
    </w:p>
    <w:p>
      <w:pPr>
        <w:pStyle w:val="ListBullet"/>
      </w:pPr>
      <w:r>
        <w:t>Quantity and UnitPrice contain extreme and negative values in the raw data, demonstrating the importance of distinguishing cancellations/adjustments from genuine positive sales.</w:t>
      </w:r>
    </w:p>
    <w:p>
      <w:pPr>
        <w:pStyle w:val="ListBullet"/>
      </w:pPr>
      <w:r>
        <w:t>Exact duplicates are numerous enough to materially affect transaction counts if they are not removed.</w:t>
      </w:r>
    </w:p>
    <w:p>
      <w:pPr>
        <w:pStyle w:val="ListBullet"/>
      </w:pPr>
      <w:r>
        <w:t>The presence of country, product and customer identifiers allows both categorical analysis and later customer/business segmentation.</w:t>
      </w:r>
    </w:p>
    <w:p>
      <w:pPr>
        <w:pStyle w:val="ListBullet"/>
      </w:pPr>
      <w:r>
        <w:t>The dataset is particularly suitable for business-oriented analysis because Revenue can be derived directly from Quantity × UnitPrice.</w:t>
      </w:r>
    </w:p>
    <w:p>
      <w:pPr>
        <w:pStyle w:val="Heading1"/>
      </w:pPr>
      <w:r>
        <w:t>7. R Code and Reproducibility</w:t>
      </w:r>
    </w:p>
    <w:p>
      <w:r>
        <w:t>The accompanying R script contains the complete Week 1 pipeline. It is designed to be executed in RStudio after downloading the official UCI workbook. The script prints the structural inspection, summary statistics, missing-value table, outlier counts and correlation matrix, and generates the required visualisations.</w:t>
      </w:r>
    </w:p>
    <w:p>
      <w:r>
        <w:t>Core inspection commands:</w:t>
      </w:r>
    </w:p>
    <w:p>
      <w:pPr/>
      <w:r>
        <w:rPr>
          <w:rFonts w:ascii="Consolas" w:hAnsi="Consolas"/>
          <w:sz w:val="18"/>
        </w:rPr>
        <w:t>dim(retail)</w:t>
        <w:br/>
        <w:t>str(retail)</w:t>
        <w:br/>
        <w:t>summary(retail)</w:t>
        <w:br/>
        <w:br/>
        <w:t>sum(duplicated(retail))</w:t>
        <w:br/>
        <w:br/>
        <w:t>print(missing_summary)</w:t>
        <w:br/>
        <w:br/>
        <w:t>print(round(cor_data, 3))</w:t>
      </w:r>
    </w:p>
    <w:p>
      <w:pPr>
        <w:pStyle w:val="Heading1"/>
      </w:pPr>
      <w:r>
        <w:t>8. Evidence / Screenshots to Insert After Running R</w:t>
      </w:r>
    </w:p>
    <w:p>
      <w:pPr>
        <w:pStyle w:val="ListNumber"/>
      </w:pPr>
      <w:r>
        <w:t>Screenshot 1 — RStudio showing dim(), str() and summary().</w:t>
      </w:r>
    </w:p>
    <w:p>
      <w:pPr>
        <w:pStyle w:val="ListNumber"/>
      </w:pPr>
      <w:r>
        <w:t>Screenshot 2 — Missing-value summary table.</w:t>
      </w:r>
    </w:p>
    <w:p>
      <w:pPr>
        <w:pStyle w:val="ListNumber"/>
      </w:pPr>
      <w:r>
        <w:t>Screenshot 3 — Duplicate count and cleaning output.</w:t>
      </w:r>
    </w:p>
    <w:p>
      <w:pPr>
        <w:pStyle w:val="ListNumber"/>
      </w:pPr>
      <w:r>
        <w:t>Screenshot 4 — IQR outlier bounds and outlier counts.</w:t>
      </w:r>
    </w:p>
    <w:p>
      <w:pPr>
        <w:pStyle w:val="ListNumber"/>
      </w:pPr>
      <w:r>
        <w:t>Screenshot 5 — Correlation matrix.</w:t>
      </w:r>
    </w:p>
    <w:p>
      <w:pPr>
        <w:pStyle w:val="ListNumber"/>
      </w:pPr>
      <w:r>
        <w:t>Screenshot 6 — Quantity histogram.</w:t>
      </w:r>
    </w:p>
    <w:p>
      <w:pPr>
        <w:pStyle w:val="ListNumber"/>
      </w:pPr>
      <w:r>
        <w:t>Screenshot 7 — UnitPrice histogram.</w:t>
      </w:r>
    </w:p>
    <w:p>
      <w:pPr>
        <w:pStyle w:val="ListNumber"/>
      </w:pPr>
      <w:r>
        <w:t>Screenshot 8 — Top-10 countries by revenue chart.</w:t>
      </w:r>
    </w:p>
    <w:p>
      <w:r>
        <w:t>Execution note: this report was prepared with the official UCI dataset metadata and publicly documented raw-data quality figures. The local execution of the attached R script is required to generate the final console-output screenshots and the project-specific post-cleaning statistics. No fabricated R console output is presented as if it had been executed here.</w:t>
      </w:r>
    </w:p>
    <w:p>
      <w:pPr>
        <w:pStyle w:val="Heading1"/>
      </w:pPr>
      <w:r>
        <w:t>9. Conclusion</w:t>
      </w:r>
    </w:p>
    <w:p>
      <w:r>
        <w:t>The Online Retail II dataset is well suited to the Week 1 objective because it combines numerical, categorical and date-time information with substantial real-world data-quality issues. The proposed R workflow establishes a reproducible foundation for subsequent visualization and statistical modelling. The most important principles are to document every cleaning decision, preserve information that may represent legitimate business activity, and avoid imputing customer identities where the source data does not provide them.</w:t>
      </w:r>
    </w:p>
    <w:p>
      <w:pPr>
        <w:pStyle w:val="Heading1"/>
      </w:pPr>
      <w:r>
        <w:t>References</w:t>
      </w:r>
    </w:p>
    <w:p>
      <w:r>
        <w:t>Chen, D. (2012). Online Retail II [Dataset]. UCI Machine Learning Repository. DOI: 10.24432/C5CG6D.</w:t>
      </w:r>
    </w:p>
    <w:p>
      <w:r>
        <w:t>UCI Machine Learning Repository. Online Retail II dataset documentation and download page: https://archive.ics.uci.edu/dataset/502/online+retail+ii</w:t>
      </w:r>
    </w:p>
    <w:p>
      <w:r>
        <w:t>Public reproducibility references were consulted only to verify raw-data quality figures; the attached R script is the intended primary analysis workflow.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