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5A9C"/>
          <w:sz w:val="56"/>
          <w:szCs w:val="56"/>
        </w:rPr>
        <w:t xml:space="preserve">Customer Segmentation Analysis</w:t>
      </w:r>
    </w:p>
    <w:p>
      <w:pPr>
        <w:spacing w:before="200"/>
        <w:jc w:val="center"/>
      </w:pPr>
      <w:r>
        <w:rPr>
          <w:color w:val="444444"/>
          <w:sz w:val="28"/>
          <w:szCs w:val="28"/>
        </w:rPr>
        <w:t xml:space="preserve">Behavioral &amp; Demographic Clustering using K-Means</w:t>
      </w:r>
    </w:p>
    <w:p>
      <w:pPr>
        <w:spacing w:before="500"/>
        <w:jc w:val="center"/>
      </w:pPr>
      <w:r>
        <w:rPr>
          <w:i/>
          <w:iCs/>
          <w:sz w:val="24"/>
          <w:szCs w:val="24"/>
        </w:rPr>
        <w:t xml:space="preserve">Data Analytics Internship Project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Tools: Python · pandas · scikit-learn · matplotlib · seaborn</w:t>
      </w:r>
    </w:p>
    <w:p>
      <w:pPr>
        <w:spacing w:before="3200"/>
        <w:jc w:val="center"/>
      </w:pPr>
      <w:r>
        <w:rPr>
          <w:color w:val="888888"/>
          <w:sz w:val="20"/>
          <w:szCs w:val="20"/>
        </w:rPr>
        <w:t xml:space="preserve">Prepared as part of the Data Analytics Internship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Project Objective</w:t>
      </w:r>
    </w:p>
    <w:p>
      <w:pPr>
        <w:spacing w:after="160"/>
      </w:pPr>
      <w:r>
        <w:t xml:space="preserve">The goal of this project is to segment an e-commerce company's customer base into distinct, actionable groups using both demographic attributes (age, income, city tier, gender) and behavioral / transactional attributes (recency, frequency, monetary value, engagement). Segmentation allows the business to move from a one-size-fits-all approach to targeted marketing, personalized offers, and more efficient retention strategies.</w:t>
      </w:r>
    </w:p>
    <w:p>
      <w:pPr>
        <w:spacing w:after="160"/>
      </w:pPr>
      <w:r>
        <w:t xml:space="preserve">Expected outcome: hands-on experience with the full customer analytics workflow — data preparation, exploratory analysis, unsupervised clustering, cluster evaluation, and translating clusters into business insight.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60"/>
      </w:pPr>
      <w:r>
        <w:t xml:space="preserve">The analysis uses a customer-level dataset of 1,200 records with 17 attributes, combining demographic and behavioral (RFM-style) fields: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Demographics: Age, Gender, City Tier, Annual Income, Membership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Behavioral / RFM: Recency (days since last purchase), Frequency (orders/year), Average Order Value, Total Spend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Engagement: Online Engagement Score, Cart Abandon Rate, Discount Sensitivity, Returns Rate, Support Tickets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Preference: Preferred Product Category, Churn Risk flag</w:t>
      </w:r>
    </w:p>
    <w:p>
      <w:pPr>
        <w:spacing w:after="160"/>
      </w:pPr>
      <w:r>
        <w:t xml:space="preserve">Note: no proprietary company data was available for this internship task, so a statistically realistic synthetic dataset was generated with internally consistent relationships (e.g., income correlates with average order value; tenure correlates with purchase frequency) so that clustering surfaces genuine, explainable patterns. The same pipeline works unchanged on a real CRM/transaction export — simply point Step 1 at the real file.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20" w:before="250"/>
      </w:pPr>
      <w:r>
        <w:t xml:space="preserve">3.1 Exploratory Data Analysis (EDA)</w:t>
      </w:r>
    </w:p>
    <w:p>
      <w:pPr>
        <w:spacing w:after="160"/>
      </w:pPr>
      <w:r>
        <w:t xml:space="preserve">Distributions of key numeric fields (age, spend) were examined, along with income across city tiers and the mix of preferred product categories, to understand the customer base before modeling.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Distribution of Age, Total Spend, Income by City Tier, and Category preference</w:t>
      </w:r>
    </w:p>
    <w:p>
      <w:pPr>
        <w:spacing w:after="160"/>
      </w:pPr>
      <w:r>
        <w:t xml:space="preserve">A correlation heatmap was used to check for multicollinearity and to understand which behavioral signals move together (e.g., Frequency and Total Spend).</w:t>
      </w:r>
    </w:p>
    <w:p>
      <w:pPr>
        <w:spacing w:after="80" w:before="120"/>
        <w:jc w:val="center"/>
      </w:pPr>
      <w:r>
        <w:drawing>
          <wp:inline distT="0" distB="0" distL="0" distR="0">
            <wp:extent cx="4476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Correlation heatmap of numeric behavioral &amp; demographic features</w:t>
      </w:r>
    </w:p>
    <w:p>
      <w:pPr>
        <w:pStyle w:val="Heading2"/>
        <w:spacing w:after="120" w:before="250"/>
      </w:pPr>
      <w:r>
        <w:t xml:space="preserve">3.2 Preprocessing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fields (Gender, City Tier, Preferred Category) were label-encoded for exploratory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Clustering features were standardized with StandardScaler (zero mean, unit variance) so that high-magnitude fields like Income don't dominate distance calculations.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selection: after testing several feature subsets, the core RFM features (Recency, Frequency, Average Order Value, Total Spend) plus Annual Income, Membership Years and Online Engagement Score gave the best-separated, most business-interpretable clusters. Secondary fields (returns, cart abandonment, gender) were kept for profiling but excluded from the clustering step itself, as they added noise rather than structure.</w:t>
      </w:r>
    </w:p>
    <w:p>
      <w:pPr>
        <w:pStyle w:val="Heading2"/>
        <w:spacing w:after="120" w:before="250"/>
      </w:pPr>
      <w:r>
        <w:t xml:space="preserve">3.3 Choosing the Number of Clusters (k)</w:t>
      </w:r>
    </w:p>
    <w:p>
      <w:pPr>
        <w:spacing w:after="160"/>
      </w:pPr>
      <w:r>
        <w:t xml:space="preserve">Two standard techniques were used together to select k: the Elbow Method (looking for the point of diminishing returns in within-cluster variance) and the Silhouette Score (measuring how well-separated clusters are, from -1 to 1).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Elbow method (left) and silhouette score (right) across k = 2–10</w:t>
      </w:r>
    </w:p>
    <w:p>
      <w:pPr>
        <w:spacing w:after="160"/>
      </w:pPr>
      <w:r>
        <w:t xml:space="preserve">Silhouette score alone favored a very small k, which would have produced segments too broad to act on. Balancing statistical fit with business usability, k = 4 was selected — a standard, actionable segment count for lifecycle marketing (e.g., Champions / Regulars / At-Risk / Budget), yielding a silhouette score of 0.20, a reasonable result for noisy, real-world-style customer data.</w:t>
      </w:r>
    </w:p>
    <w:p>
      <w:pPr>
        <w:pStyle w:val="Heading2"/>
        <w:spacing w:after="120" w:before="250"/>
      </w:pPr>
      <w:r>
        <w:t xml:space="preserve">3.4 Clustering &amp; Visualization</w:t>
      </w:r>
    </w:p>
    <w:p>
      <w:pPr>
        <w:spacing w:after="160"/>
      </w:pPr>
      <w:r>
        <w:t xml:space="preserve">K-Means (scikit-learn, n_init=10, random_state=42) was fit on the standardized feature set with k = 4. Principal Component Analysis (PCA) was then used to reduce the feature space to two dimensions for visualization, capturing about two-thirds of the total variance.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Customer segments projected onto the first two principal components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Segment Profiles</w:t>
      </w:r>
    </w:p>
    <w:p>
      <w:pPr>
        <w:spacing w:after="160"/>
      </w:pPr>
      <w:r>
        <w:t xml:space="preserve">The table below summarizes each segment's average demographic and behavioral profile.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800"/>
        <w:gridCol w:w="950"/>
        <w:gridCol w:w="850"/>
        <w:gridCol w:w="900"/>
        <w:gridCol w:w="800"/>
        <w:gridCol w:w="800"/>
        <w:gridCol w:w="950"/>
        <w:gridCol w:w="950"/>
        <w:gridCol w:w="900"/>
      </w:tblGrid>
      <w:tr>
        <w:trPr>
          <w:tblHeader/>
        </w:trPr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Age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 Income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Tenure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Recency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Freq/yr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AOV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Spend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Engagement</w:t>
            </w:r>
          </w:p>
        </w:tc>
        <w:tc>
          <w:tcPr>
            <w:tcW w:type="dxa" w:w="1100"/>
            <w:shd w:fill="2E5A9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Churn Risk</w:t>
            </w:r>
          </w:p>
        </w:tc>
      </w:tr>
      <w:tr>
        <w:tc>
          <w:tcPr>
            <w:tcW w:type="dxa" w:w="16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Champions (High-Value Loyal)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 (16.8%)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36.6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$72,051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5.2 yrs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35 days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12.5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$82.1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$1,021.6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73.9</w:t>
            </w:r>
          </w:p>
        </w:tc>
        <w:tc>
          <w:tcPr>
            <w:tcW w:type="dxa" w:w="1200"/>
            <w:shd w:fill="D9F2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6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Mainstream Regulars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455 (37.9%)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35.8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$75,309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1.4 yrs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30 days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6.0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$88.3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$526.2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58.2</w:t>
            </w:r>
          </w:p>
        </w:tc>
        <w:tc>
          <w:tcPr>
            <w:tcW w:type="dxa" w:w="1200"/>
            <w:shd w:fill="DCE6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At-Risk / Dormant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148 (12.3%)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35.8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$59,062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1.6 yrs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127.6 days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5.6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$69.0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$392.4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44.2</w:t>
            </w:r>
          </w:p>
        </w:tc>
        <w:tc>
          <w:tcPr>
            <w:tcW w:type="dxa" w:w="1200"/>
            <w:shd w:fill="F8D7D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Budget-Conscious / New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395 (32.9%)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33.5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$45,619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1.7 yrs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28.8 days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5.5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$52.3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$285.8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58.6</w:t>
            </w:r>
          </w:p>
        </w:tc>
        <w:tc>
          <w:tcPr>
            <w:tcW w:type="dxa" w:w="1200"/>
            <w:shd w:fill="FB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300"/>
      </w:pPr>
    </w:p>
    <w:p>
      <w:pPr>
        <w:pStyle w:val="Heading2"/>
        <w:spacing w:after="120" w:before="250"/>
      </w:pPr>
      <w:r>
        <w:t xml:space="preserve">4.1 Segment Size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5: Share of customers in each segment</w:t>
      </w:r>
    </w:p>
    <w:p>
      <w:pPr>
        <w:pStyle w:val="Heading2"/>
        <w:spacing w:after="120" w:before="250"/>
      </w:pPr>
      <w:r>
        <w:t xml:space="preserve">4.2 Key Metrics Compared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6: Total Spend, Frequency, AOV, Engagement and Recency compared across segments</w:t>
      </w:r>
    </w:p>
    <w:p>
      <w:pPr>
        <w:pStyle w:val="Heading2"/>
        <w:spacing w:after="120" w:before="250"/>
      </w:pPr>
      <w:r>
        <w:t xml:space="preserve">4.3 Category Preference by Segment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7: Preferred product category mix within each segment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Segment Insights &amp; Recommendations</w:t>
      </w:r>
    </w:p>
    <w:p>
      <w:pPr>
        <w:pStyle w:val="Heading2"/>
        <w:spacing w:after="120" w:before="250"/>
      </w:pPr>
      <w:r>
        <w:t xml:space="preserve">Segment 1 — Champions (High-Value Loyal) — 16.8%</w:t>
      </w:r>
    </w:p>
    <w:p>
      <w:pPr>
        <w:spacing w:after="160"/>
      </w:pPr>
      <w:r>
        <w:t xml:space="preserve">Longest average tenure (5.2 yrs), highest frequency (12.5 orders/yr), highest total spend ($1,022) and highest engagement score (73.9). Lowest churn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Reward with a VIP/loyalty tier, early access to new arrivals, and exclusive perks — protect this segment's satisfaction above all else.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as advocates: referral programs and reviews carry more weight from this group.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Avoid heavy discounting here — they are not price-driven; margin can be protected.</w:t>
      </w:r>
    </w:p>
    <w:p>
      <w:pPr>
        <w:pStyle w:val="Heading2"/>
        <w:spacing w:after="120" w:before="250"/>
      </w:pPr>
      <w:r>
        <w:t xml:space="preserve">Segment 2 — Mainstream Regulars — 37.9%</w:t>
      </w:r>
    </w:p>
    <w:p>
      <w:pPr>
        <w:spacing w:after="160"/>
      </w:pPr>
      <w:r>
        <w:t xml:space="preserve">The largest segment. Recently active (30 days), moderate frequency (6/yr), highest average order value ($88.3), solid income ($75k).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Primary revenue engine — focus retention campaigns and cross-sell/upsell here.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Personalized product recommendations and bundle offers can lift order value further.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for early drift toward the At-Risk segment via recency tracking.</w:t>
      </w:r>
    </w:p>
    <w:p>
      <w:pPr>
        <w:pStyle w:val="Heading2"/>
        <w:spacing w:after="120" w:before="250"/>
      </w:pPr>
      <w:r>
        <w:t xml:space="preserve">Segment 3 — At-Risk / Dormant — 12.3%</w:t>
      </w:r>
    </w:p>
    <w:p>
      <w:pPr>
        <w:spacing w:after="160"/>
      </w:pPr>
      <w:r>
        <w:t xml:space="preserve">By far the longest time since last purchase (127.6 days) and the lowest engagement score (44.2), despite historically moderate income.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 a win-back campaign: reactivation email/SMS with a time-limited incentive.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 a sample to understand the drop-off reason (price, competitor, product fit).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reactivation fails after 2–3 attempts, deprioritize spend on this group to protect marketing ROI.</w:t>
      </w:r>
    </w:p>
    <w:p>
      <w:pPr>
        <w:pStyle w:val="Heading2"/>
        <w:spacing w:after="120" w:before="250"/>
      </w:pPr>
      <w:r>
        <w:t xml:space="preserve">Segment 4 — Budget-Conscious / New — 32.9%</w:t>
      </w:r>
    </w:p>
    <w:p>
      <w:pPr>
        <w:spacing w:after="160"/>
      </w:pPr>
      <w:r>
        <w:t xml:space="preserve">Second-largest segment, lowest income ($45.6k) and lowest average order value ($52.3), but recently active (28.8 days) with decent engagement (58.6).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Highly responsive to discounts, bundle deals, and free-shipping thresholds — use value-driven promotions rather than premium positioning.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Nurture toward Mainstream Regulars with onboarding journeys and small loyalty incentives for repeat purchase.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60"/>
      </w:pPr>
      <w:r>
        <w:t xml:space="preserve">K-Means clustering on RFM and demographic features successfully split the customer base into four statistically distinct and business-actionable segments. Each segment has a clear behavioral signature and a corresponding marketing action — from VIP retention for Champions to win-back campaigns for the At-Risk group. This mirrors the standard customer-analytics workflow used in industry (EDA → preprocessing → cluster tuning → profiling → business recommendations), and the same script can be re-run on a real transactional export by replacing the data-generation step with an actual data load.</w:t>
      </w:r>
    </w:p>
    <w:p>
      <w:pPr>
        <w:spacing w:after="160"/>
      </w:pPr>
      <w:r>
        <w:t xml:space="preserve">Deliverables: cleaned &amp; labeled dataset (CSV), full Python pipeline (3 scripts), 8 visualizations, and this summary report.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Customer Segmentation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367ab4666cf6da7ba153403f6250995694cf8f.png"/><Relationship Id="rId10" Type="http://schemas.openxmlformats.org/officeDocument/2006/relationships/image" Target="media/00b401ba42995fdd0af2f99b7a624d82aa058a8e.png"/><Relationship Id="rId11" Type="http://schemas.openxmlformats.org/officeDocument/2006/relationships/image" Target="media/f476dcc678d125708a8490c85c0c5b076526ac06.png"/><Relationship Id="rId12" Type="http://schemas.openxmlformats.org/officeDocument/2006/relationships/image" Target="media/f2a58c21dd75adc2bbadd0a6bcb612a238231194.png"/><Relationship Id="rId13" Type="http://schemas.openxmlformats.org/officeDocument/2006/relationships/image" Target="media/4067ad0478f90db1c4b9975f3abcd891b2b1a65e.png"/><Relationship Id="rId14" Type="http://schemas.openxmlformats.org/officeDocument/2006/relationships/image" Target="media/a674974af025b3f1be16a53fed9a667661522345.png"/><Relationship Id="rId15" Type="http://schemas.openxmlformats.org/officeDocument/2006/relationships/image" Target="media/08074bb93f4d79cbe733e8cc1751988052d92d4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2026-08-12T19:25:57.462Z</dcterms:created>
  <dcterms:modified xsi:type="dcterms:W3CDTF">2026-08-12T19:25:57.471Z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