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00" w:before="0" w:line="360" w:lineRule="auto"/>
        <w:rPr>
          <w:rFonts w:ascii="Roboto" w:cs="Roboto" w:eastAsia="Roboto" w:hAnsi="Roboto"/>
          <w:b w:val="1"/>
          <w:color w:val="404040"/>
          <w:sz w:val="26"/>
          <w:szCs w:val="26"/>
        </w:rPr>
      </w:pPr>
      <w:bookmarkStart w:colFirst="0" w:colLast="0" w:name="_ont04hp4rcnk" w:id="0"/>
      <w:bookmarkEnd w:id="0"/>
      <w:r w:rsidDel="00000000" w:rsidR="00000000" w:rsidRPr="00000000">
        <w:rPr>
          <w:rFonts w:ascii="Roboto" w:cs="Roboto" w:eastAsia="Roboto" w:hAnsi="Roboto"/>
          <w:b w:val="1"/>
          <w:color w:val="404040"/>
          <w:sz w:val="26"/>
          <w:szCs w:val="26"/>
          <w:rtl w:val="0"/>
        </w:rPr>
        <w:t xml:space="preserve">Literature Review: </w:t>
      </w:r>
    </w:p>
    <w:p w:rsidR="00000000" w:rsidDel="00000000" w:rsidP="00000000" w:rsidRDefault="00000000" w:rsidRPr="00000000" w14:paraId="00000002">
      <w:pPr>
        <w:pStyle w:val="Heading3"/>
        <w:keepNext w:val="0"/>
        <w:keepLines w:val="0"/>
        <w:spacing w:after="200" w:before="0" w:line="360" w:lineRule="auto"/>
        <w:rPr>
          <w:rFonts w:ascii="Roboto" w:cs="Roboto" w:eastAsia="Roboto" w:hAnsi="Roboto"/>
          <w:color w:val="404040"/>
          <w:sz w:val="24"/>
          <w:szCs w:val="24"/>
        </w:rPr>
      </w:pPr>
      <w:bookmarkStart w:colFirst="0" w:colLast="0" w:name="_ync4u8jn9173" w:id="1"/>
      <w:bookmarkEnd w:id="1"/>
      <w:r w:rsidDel="00000000" w:rsidR="00000000" w:rsidRPr="00000000">
        <w:rPr>
          <w:rFonts w:ascii="Roboto" w:cs="Roboto" w:eastAsia="Roboto" w:hAnsi="Roboto"/>
          <w:b w:val="1"/>
          <w:color w:val="404040"/>
          <w:sz w:val="26"/>
          <w:szCs w:val="26"/>
          <w:rtl w:val="0"/>
        </w:rPr>
        <w:t xml:space="preserve">Bidirectional Encoder Representations from Transformers (BERT)</w:t>
      </w:r>
      <w:r w:rsidDel="00000000" w:rsidR="00000000" w:rsidRPr="00000000">
        <w:rPr>
          <w:rtl w:val="0"/>
        </w:rPr>
      </w:r>
    </w:p>
    <w:p w:rsidR="00000000" w:rsidDel="00000000" w:rsidP="00000000" w:rsidRDefault="00000000" w:rsidRPr="00000000" w14:paraId="00000003">
      <w:pPr>
        <w:spacing w:after="200" w:before="60" w:line="259"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BERT language representation model achieves deep bidirectional representation pre training through simultaneous contextual conditioning of left and right text during all its layer operations as developed by the study by Devlin et al. (2019). BERT differentiates itself from other models like OpenAI GPT (Radford et al., 2018) and ELMo (Peters et al., 2018a) by using a masked language model (MLM) objective to perform deep bidirectional pre training. BERT uses this innovative approach to deliver high standard performance across various NLP problems with small adjustments to each individual task.</w:t>
      </w:r>
    </w:p>
    <w:p w:rsidR="00000000" w:rsidDel="00000000" w:rsidP="00000000" w:rsidRDefault="00000000" w:rsidRPr="00000000" w14:paraId="00000004">
      <w:pPr>
        <w:spacing w:after="200" w:before="60" w:line="259" w:lineRule="auto"/>
        <w:ind w:left="0" w:firstLine="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key contributions of BERT</w:t>
      </w:r>
    </w:p>
    <w:p w:rsidR="00000000" w:rsidDel="00000000" w:rsidP="00000000" w:rsidRDefault="00000000" w:rsidRPr="00000000" w14:paraId="00000005">
      <w:pPr>
        <w:numPr>
          <w:ilvl w:val="0"/>
          <w:numId w:val="2"/>
        </w:numPr>
        <w:spacing w:after="200" w:before="60" w:line="259"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The BERT model improves upon OpenAi GPT because of its directional pre training ability as it enables token context from either left or right directions in self attention layers. BERT employs the MLM objective to mask random tokens while having the model predict their original IDs based on the contextual information thus enabling combined left and right contextual knowledge acquisition. The model architecture of BERT proves beneficial specifically for question answering because it understands textual relationships between sentences in any direction (Devlin et al., 2019).</w:t>
      </w:r>
    </w:p>
    <w:p w:rsidR="00000000" w:rsidDel="00000000" w:rsidP="00000000" w:rsidRDefault="00000000" w:rsidRPr="00000000" w14:paraId="00000006">
      <w:pPr>
        <w:numPr>
          <w:ilvl w:val="0"/>
          <w:numId w:val="2"/>
        </w:numPr>
        <w:spacing w:after="200" w:before="0" w:line="259"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BERT implements two pre training tasks that include the Masked Language Modeling MLM but also adds the Next Sentence Prediction for building text pair representations. The models ability to detect sentence relations becomes possible through this particular task since such relations play an important role in question answering and the natural language inference. According to the author the NSP task reaches almost 97 to 98 % precision during the pre training in determining sentence order within a corpus. </w:t>
      </w:r>
    </w:p>
    <w:p w:rsidR="00000000" w:rsidDel="00000000" w:rsidP="00000000" w:rsidRDefault="00000000" w:rsidRPr="00000000" w14:paraId="00000007">
      <w:pPr>
        <w:numPr>
          <w:ilvl w:val="0"/>
          <w:numId w:val="2"/>
        </w:numPr>
        <w:spacing w:after="200" w:before="0" w:line="259"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BERT uses the study of the transformer encoder described in 2017 with its multi layered self attention bidirectional mechanisms as its base architecture(Vaswani et al.,2017). The unified structure of BERT enables it to perform diverse downstream operations which include sentiment analysis among other sentence based operations as well as token level tasks like the named entity recognition with minimal modifications. This also contrasts with feature based approaches like ELMo that require task specific architectures(Devlin et al., 2019).</w:t>
      </w:r>
    </w:p>
    <w:p w:rsidR="00000000" w:rsidDel="00000000" w:rsidP="00000000" w:rsidRDefault="00000000" w:rsidRPr="00000000" w14:paraId="00000008">
      <w:pPr>
        <w:numPr>
          <w:ilvl w:val="0"/>
          <w:numId w:val="2"/>
        </w:numPr>
        <w:spacing w:after="200" w:before="60" w:line="259"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BERT achieves new state of the art results on the 11 NLP tasks that includes the GLUE benchmark of 80.5 % of score, the MultiNLI at 87.6% accuracy score and SQuAD v1.1 at the F1 score of 93.2. These results clearly shows how effective is the BERTs pre training and the fine tuning approach which clearly reduces the need for the heavily engineered task specific architectures. (Devlin et al., 2019)</w:t>
      </w:r>
      <w:r w:rsidDel="00000000" w:rsidR="00000000" w:rsidRPr="00000000">
        <w:rPr>
          <w:rtl w:val="0"/>
        </w:rPr>
      </w:r>
    </w:p>
    <w:p w:rsidR="00000000" w:rsidDel="00000000" w:rsidP="00000000" w:rsidRDefault="00000000" w:rsidRPr="00000000" w14:paraId="00000009">
      <w:pPr>
        <w:pStyle w:val="Heading4"/>
        <w:keepNext w:val="0"/>
        <w:keepLines w:val="0"/>
        <w:spacing w:after="200" w:before="240" w:line="259" w:lineRule="auto"/>
        <w:rPr>
          <w:rFonts w:ascii="Roboto" w:cs="Roboto" w:eastAsia="Roboto" w:hAnsi="Roboto"/>
          <w:b w:val="1"/>
          <w:color w:val="404040"/>
        </w:rPr>
      </w:pPr>
      <w:bookmarkStart w:colFirst="0" w:colLast="0" w:name="_kd4xdf5b7yim" w:id="2"/>
      <w:bookmarkEnd w:id="2"/>
      <w:r w:rsidDel="00000000" w:rsidR="00000000" w:rsidRPr="00000000">
        <w:rPr>
          <w:rFonts w:ascii="Roboto" w:cs="Roboto" w:eastAsia="Roboto" w:hAnsi="Roboto"/>
          <w:b w:val="1"/>
          <w:color w:val="404040"/>
          <w:rtl w:val="0"/>
        </w:rPr>
        <w:t xml:space="preserve">Comparison with Existing Approaches</w:t>
      </w:r>
    </w:p>
    <w:p w:rsidR="00000000" w:rsidDel="00000000" w:rsidP="00000000" w:rsidRDefault="00000000" w:rsidRPr="00000000" w14:paraId="0000000A">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BERT methodology combines past methods in pre training including the ELMo (Peters et al., 2018a) and OpenAI GPT (Radford et al., 2018) to rectify the existing problems. The BERT maintains the different ways compared to the ELMo through its use of the deep bidirectional representation during fine tuning together with shallow concatenations of the right to left and the left to right representations of the model. OpenAI GPT uses the single directional left to right architecture that limits the contextual use from both directions. The bidirectional modeling combined with masked language modeling of BERT makes it excel at various linguistic tasks (Devlin et al., 2019).</w:t>
      </w:r>
      <w:r w:rsidDel="00000000" w:rsidR="00000000" w:rsidRPr="00000000">
        <w:rPr>
          <w:rtl w:val="0"/>
        </w:rPr>
      </w:r>
    </w:p>
    <w:p w:rsidR="00000000" w:rsidDel="00000000" w:rsidP="00000000" w:rsidRDefault="00000000" w:rsidRPr="00000000" w14:paraId="0000000B">
      <w:pPr>
        <w:pStyle w:val="Heading4"/>
        <w:keepNext w:val="0"/>
        <w:keepLines w:val="0"/>
        <w:spacing w:after="200" w:before="240" w:line="259" w:lineRule="auto"/>
        <w:rPr>
          <w:rFonts w:ascii="Roboto" w:cs="Roboto" w:eastAsia="Roboto" w:hAnsi="Roboto"/>
          <w:b w:val="1"/>
          <w:color w:val="404040"/>
        </w:rPr>
      </w:pPr>
      <w:bookmarkStart w:colFirst="0" w:colLast="0" w:name="_t8o7wi22qw73" w:id="3"/>
      <w:bookmarkEnd w:id="3"/>
      <w:r w:rsidDel="00000000" w:rsidR="00000000" w:rsidRPr="00000000">
        <w:rPr>
          <w:rFonts w:ascii="Roboto" w:cs="Roboto" w:eastAsia="Roboto" w:hAnsi="Roboto"/>
          <w:b w:val="1"/>
          <w:color w:val="404040"/>
          <w:rtl w:val="0"/>
        </w:rPr>
        <w:t xml:space="preserve">Pre-training and Fine-tuning</w:t>
      </w:r>
    </w:p>
    <w:p w:rsidR="00000000" w:rsidDel="00000000" w:rsidP="00000000" w:rsidRDefault="00000000" w:rsidRPr="00000000" w14:paraId="0000000C">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BERT uses two fundamental procedures to operate which involve pre-training followed by fine-tuning. The pre-training stage of model development occurs on BooksCorpus (800M words) and English Wikipedia (2,500M words) by using the MLM and NSP tasks. During fine-tuning BERT receives pre-trained parameters from the initial stage which generate subsequent optimization through trainable data labeled for a particular task. Due to its computational efficiency the fine-tuning process takes just a few hours to complete on either GPU or Cloud TPU systems (Devlin et al., 2019).</w:t>
      </w:r>
      <w:r w:rsidDel="00000000" w:rsidR="00000000" w:rsidRPr="00000000">
        <w:rPr>
          <w:rtl w:val="0"/>
        </w:rPr>
      </w:r>
    </w:p>
    <w:p w:rsidR="00000000" w:rsidDel="00000000" w:rsidP="00000000" w:rsidRDefault="00000000" w:rsidRPr="00000000" w14:paraId="0000000D">
      <w:pPr>
        <w:pStyle w:val="Heading4"/>
        <w:keepNext w:val="0"/>
        <w:keepLines w:val="0"/>
        <w:spacing w:after="200" w:before="240" w:line="259" w:lineRule="auto"/>
        <w:rPr>
          <w:rFonts w:ascii="Roboto" w:cs="Roboto" w:eastAsia="Roboto" w:hAnsi="Roboto"/>
          <w:b w:val="1"/>
          <w:color w:val="404040"/>
        </w:rPr>
      </w:pPr>
      <w:bookmarkStart w:colFirst="0" w:colLast="0" w:name="_mskbocs8swyv" w:id="4"/>
      <w:bookmarkEnd w:id="4"/>
      <w:r w:rsidDel="00000000" w:rsidR="00000000" w:rsidRPr="00000000">
        <w:rPr>
          <w:rFonts w:ascii="Roboto" w:cs="Roboto" w:eastAsia="Roboto" w:hAnsi="Roboto"/>
          <w:b w:val="1"/>
          <w:color w:val="404040"/>
          <w:rtl w:val="0"/>
        </w:rPr>
        <w:t xml:space="preserve">Input and Output Representations</w:t>
      </w:r>
    </w:p>
    <w:p w:rsidR="00000000" w:rsidDel="00000000" w:rsidP="00000000" w:rsidRDefault="00000000" w:rsidRPr="00000000" w14:paraId="0000000E">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BERT accepts either single sentences or pairs of sentences like question-answer sequences in its input representation format. The model applies WordPiece embeddings through a vocabulary containing 30,000 tokens while adding special tokens [CLS] for classification tasks and [SEP] to separate sentences. The final hidden state of the [CLS] token serves as the collective sequence representation for classification tasks and different tasks use individual token hidden states for analysis (Devlin et al., 2019).</w:t>
      </w:r>
      <w:r w:rsidDel="00000000" w:rsidR="00000000" w:rsidRPr="00000000">
        <w:rPr>
          <w:rtl w:val="0"/>
        </w:rPr>
      </w:r>
    </w:p>
    <w:p w:rsidR="00000000" w:rsidDel="00000000" w:rsidP="00000000" w:rsidRDefault="00000000" w:rsidRPr="00000000" w14:paraId="0000000F">
      <w:pPr>
        <w:pStyle w:val="Heading4"/>
        <w:keepNext w:val="0"/>
        <w:keepLines w:val="0"/>
        <w:spacing w:after="200" w:before="240" w:line="259" w:lineRule="auto"/>
        <w:rPr>
          <w:rFonts w:ascii="Roboto" w:cs="Roboto" w:eastAsia="Roboto" w:hAnsi="Roboto"/>
          <w:b w:val="1"/>
          <w:color w:val="404040"/>
        </w:rPr>
      </w:pPr>
      <w:bookmarkStart w:colFirst="0" w:colLast="0" w:name="_1qr287fpawxd" w:id="5"/>
      <w:bookmarkEnd w:id="5"/>
      <w:r w:rsidDel="00000000" w:rsidR="00000000" w:rsidRPr="00000000">
        <w:rPr>
          <w:rFonts w:ascii="Roboto" w:cs="Roboto" w:eastAsia="Roboto" w:hAnsi="Roboto"/>
          <w:b w:val="1"/>
          <w:color w:val="404040"/>
          <w:rtl w:val="0"/>
        </w:rPr>
        <w:t xml:space="preserve">Empirical Results</w:t>
      </w:r>
    </w:p>
    <w:p w:rsidR="00000000" w:rsidDel="00000000" w:rsidP="00000000" w:rsidRDefault="00000000" w:rsidRPr="00000000" w14:paraId="00000010">
      <w:pPr>
        <w:spacing w:after="200" w:lineRule="auto"/>
        <w:rPr/>
      </w:pPr>
      <w:r w:rsidDel="00000000" w:rsidR="00000000" w:rsidRPr="00000000">
        <w:rPr>
          <w:rtl w:val="0"/>
        </w:rPr>
        <w:t xml:space="preserve">BERTs empirical results shows its superiority over the existing models. For eg it achieves a 7.7% absolute improvement on the GLUE benchmark and a 5.1 % improvement on the SQuAD v2. These results shows the effectiveness of the models BERTs bidirectional pre training and fine tuning approach that allows it to generalize across a wide range of NLP tasks(Devlin et al., 2019)</w:t>
      </w:r>
      <w:r w:rsidDel="00000000" w:rsidR="00000000" w:rsidRPr="00000000">
        <w:rPr>
          <w:rtl w:val="0"/>
        </w:rPr>
      </w:r>
    </w:p>
    <w:p w:rsidR="00000000" w:rsidDel="00000000" w:rsidP="00000000" w:rsidRDefault="00000000" w:rsidRPr="00000000" w14:paraId="00000011">
      <w:pPr>
        <w:pStyle w:val="Heading3"/>
        <w:keepNext w:val="0"/>
        <w:keepLines w:val="0"/>
        <w:spacing w:after="200" w:before="0" w:line="360" w:lineRule="auto"/>
        <w:rPr>
          <w:rFonts w:ascii="Roboto" w:cs="Roboto" w:eastAsia="Roboto" w:hAnsi="Roboto"/>
          <w:b w:val="1"/>
          <w:color w:val="404040"/>
          <w:sz w:val="26"/>
          <w:szCs w:val="26"/>
        </w:rPr>
      </w:pPr>
      <w:bookmarkStart w:colFirst="0" w:colLast="0" w:name="_2ramp3gubkfi" w:id="6"/>
      <w:bookmarkEnd w:id="6"/>
      <w:r w:rsidDel="00000000" w:rsidR="00000000" w:rsidRPr="00000000">
        <w:rPr>
          <w:rFonts w:ascii="Roboto" w:cs="Roboto" w:eastAsia="Roboto" w:hAnsi="Roboto"/>
          <w:b w:val="1"/>
          <w:color w:val="404040"/>
          <w:sz w:val="26"/>
          <w:szCs w:val="26"/>
          <w:rtl w:val="0"/>
        </w:rPr>
        <w:t xml:space="preserve">Insights from (Mohammad and Turney, 2013)</w:t>
      </w:r>
    </w:p>
    <w:p w:rsidR="00000000" w:rsidDel="00000000" w:rsidP="00000000" w:rsidRDefault="00000000" w:rsidRPr="00000000" w14:paraId="00000012">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linked paper of Author et al. (2013) conveys important historical perspectives on language representation models and this knowledge helps understand BERT's developments described by Devlin et al. (2019)</w:t>
      </w:r>
      <w:r w:rsidDel="00000000" w:rsidR="00000000" w:rsidRPr="00000000">
        <w:rPr>
          <w:rFonts w:ascii="Roboto" w:cs="Roboto" w:eastAsia="Roboto" w:hAnsi="Roboto"/>
          <w:color w:val="404040"/>
          <w:sz w:val="24"/>
          <w:szCs w:val="24"/>
          <w:rtl w:val="0"/>
        </w:rPr>
        <w:t xml:space="preserve">. In their research the authors emphasize the power of unsupervised feature learning for natural language processing together with pre-trained word embeddings to boost NLP model results. The authors detail the limitations faced when applying traditional techniques to large corpus and complex projects whereas BERT solves these constraints through its new architectural design along with its training approach.</w:t>
      </w:r>
    </w:p>
    <w:p w:rsidR="00000000" w:rsidDel="00000000" w:rsidP="00000000" w:rsidRDefault="00000000" w:rsidRPr="00000000" w14:paraId="00000013">
      <w:pPr>
        <w:pStyle w:val="Heading4"/>
        <w:keepNext w:val="0"/>
        <w:keepLines w:val="0"/>
        <w:spacing w:after="200" w:before="240" w:line="259" w:lineRule="auto"/>
        <w:rPr>
          <w:rFonts w:ascii="Roboto" w:cs="Roboto" w:eastAsia="Roboto" w:hAnsi="Roboto"/>
          <w:b w:val="1"/>
          <w:color w:val="404040"/>
        </w:rPr>
      </w:pPr>
      <w:bookmarkStart w:colFirst="0" w:colLast="0" w:name="_ammekibtcq6b" w:id="7"/>
      <w:bookmarkEnd w:id="7"/>
      <w:r w:rsidDel="00000000" w:rsidR="00000000" w:rsidRPr="00000000">
        <w:rPr>
          <w:rFonts w:ascii="Roboto" w:cs="Roboto" w:eastAsia="Roboto" w:hAnsi="Roboto"/>
          <w:b w:val="1"/>
          <w:color w:val="404040"/>
          <w:rtl w:val="0"/>
        </w:rPr>
        <w:t xml:space="preserve">Unsupervised Feature Learning in NLP</w:t>
      </w:r>
    </w:p>
    <w:p w:rsidR="00000000" w:rsidDel="00000000" w:rsidP="00000000" w:rsidRDefault="00000000" w:rsidRPr="00000000" w14:paraId="00000014">
      <w:pPr>
        <w:spacing w:after="200" w:lineRule="auto"/>
        <w:rPr/>
      </w:pPr>
      <w:r w:rsidDel="00000000" w:rsidR="00000000" w:rsidRPr="00000000">
        <w:rPr>
          <w:rtl w:val="0"/>
        </w:rPr>
        <w:t xml:space="preserve">According to Mohammad and Turney (2013), unsupervised learning holds great importance for NLP tasks because of its importance for feature extraction. Brown clustering and neural network language models from traditional approaches demonstrated to the field how the unsupervised learning methods could identify meaningful linguistic patterns leading to the modern approaches. The hierarchical clustering approach of Brown provides a method to visualize words through reduced dimension space by sorting them into clustered groups according to their co occurrence patterns. (Mikolov et al.,2013) demonstrated with their early neural network language models that word embeddings effectively detected a semantic associations between words that resulted in improved task generalization.</w:t>
      </w:r>
    </w:p>
    <w:p w:rsidR="00000000" w:rsidDel="00000000" w:rsidP="00000000" w:rsidRDefault="00000000" w:rsidRPr="00000000" w14:paraId="00000015">
      <w:pPr>
        <w:spacing w:after="200" w:lineRule="auto"/>
        <w:rPr/>
      </w:pPr>
      <w:r w:rsidDel="00000000" w:rsidR="00000000" w:rsidRPr="00000000">
        <w:rPr>
          <w:rtl w:val="0"/>
        </w:rPr>
        <w:t xml:space="preserve">The authors declare that unsupervised feature learning suits NLP because it helps avoid expensive labeled data requirements which take too long to prepare. A large amount of unlabeled text allows models to acquire generalizable representation which serves as a basis for specific downstream operations. The central feature of success for BERT relies on its unsupervised pre-training across BooksCorpus and English Wikipedia databases for developing deep bidirectional representations (Devlin et al., 2019).</w:t>
      </w:r>
      <w:r w:rsidDel="00000000" w:rsidR="00000000" w:rsidRPr="00000000">
        <w:rPr>
          <w:rtl w:val="0"/>
        </w:rPr>
      </w:r>
    </w:p>
    <w:p w:rsidR="00000000" w:rsidDel="00000000" w:rsidP="00000000" w:rsidRDefault="00000000" w:rsidRPr="00000000" w14:paraId="00000016">
      <w:pPr>
        <w:pStyle w:val="Heading4"/>
        <w:keepNext w:val="0"/>
        <w:keepLines w:val="0"/>
        <w:spacing w:after="200" w:before="240" w:line="259" w:lineRule="auto"/>
        <w:rPr>
          <w:rFonts w:ascii="Roboto" w:cs="Roboto" w:eastAsia="Roboto" w:hAnsi="Roboto"/>
          <w:b w:val="1"/>
          <w:color w:val="404040"/>
        </w:rPr>
      </w:pPr>
      <w:bookmarkStart w:colFirst="0" w:colLast="0" w:name="_kjviehsv0p2x" w:id="8"/>
      <w:bookmarkEnd w:id="8"/>
      <w:r w:rsidDel="00000000" w:rsidR="00000000" w:rsidRPr="00000000">
        <w:rPr>
          <w:rFonts w:ascii="Roboto" w:cs="Roboto" w:eastAsia="Roboto" w:hAnsi="Roboto"/>
          <w:b w:val="1"/>
          <w:color w:val="404040"/>
          <w:rtl w:val="0"/>
        </w:rPr>
        <w:t xml:space="preserve">Challenges in Scaling Traditional Methods</w:t>
      </w:r>
    </w:p>
    <w:p w:rsidR="00000000" w:rsidDel="00000000" w:rsidP="00000000" w:rsidRDefault="00000000" w:rsidRPr="00000000" w14:paraId="00000017">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Several obstacles in expanding these methods for larger datasets and complex tasks were pointed out by Mohammad and Turney (2013). Training models on big corpora involves significant computational expenses as the main difficulty in this process. The initial techniques including Brown clustering and neural language models created operational complexities because they needed complex hardware systems alongside large computing power</w:t>
      </w:r>
      <w:r w:rsidDel="00000000" w:rsidR="00000000" w:rsidRPr="00000000">
        <w:rPr>
          <w:rFonts w:ascii="Roboto" w:cs="Roboto" w:eastAsia="Roboto" w:hAnsi="Roboto"/>
          <w:color w:val="404040"/>
          <w:sz w:val="24"/>
          <w:szCs w:val="24"/>
          <w:rtl w:val="0"/>
        </w:rPr>
        <w:t xml:space="preserve"> to achieve reasonable training times. This limitation hindered their widespread adoption and scalability.</w:t>
      </w:r>
    </w:p>
    <w:p w:rsidR="00000000" w:rsidDel="00000000" w:rsidP="00000000" w:rsidRDefault="00000000" w:rsidRPr="00000000" w14:paraId="00000018">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main difficulty with unsupervised methods lies in the inferior quality of their learned representations. In traditional text processing approaches long-range dependencies along with contextual nuances proved difficult to identify while performing question answering and natural language inference. Brown clustering uses local co-occurrence patterns in its methodology without effectively grasping the entire global sentence or document context. Early neural language models faced limitations due to their one-way processing structure because they were unable to review text information from both directions (Devlin et al., 2019).</w:t>
      </w:r>
    </w:p>
    <w:p w:rsidR="00000000" w:rsidDel="00000000" w:rsidP="00000000" w:rsidRDefault="00000000" w:rsidRPr="00000000" w14:paraId="00000019">
      <w:pPr>
        <w:spacing w:after="200" w:line="259"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Modern architectural systems to contemporary structures.</w:t>
      </w:r>
    </w:p>
    <w:p w:rsidR="00000000" w:rsidDel="00000000" w:rsidP="00000000" w:rsidRDefault="00000000" w:rsidRPr="00000000" w14:paraId="0000001A">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research by Mohammad and Turney (2013) shows advanced architectural designs combined with modern training targets are essential for solving the problems of conventional approaches. BERT introduces an innovative deep bidirectional Transformer architectural model which better understands and detects extended contextual relations throughout the text. BERT implements an MLM objective during pre-training to support deep bidirectional training even though previous versions depended on simple Unidirectional representation concatenations from left to right and right to left. The pre-training method gives models superior capabilities for comprehensive text understanding because it effectively blends context from left and right directions (Devlin et al., 2019).</w:t>
      </w:r>
    </w:p>
    <w:p w:rsidR="00000000" w:rsidDel="00000000" w:rsidP="00000000" w:rsidRDefault="00000000" w:rsidRPr="00000000" w14:paraId="0000001B">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Through its NSP task BERT resolves the challenge noted in Mohammad and Turney (2013) that concerned sentence relationship modeling. The standard practice of traditional approaches delivers word- and sentence-level features while failing to establish explicit relationships between sentences. The NSP training of BERT enables the model to detect inter-sentence relationships that are vital for questions answering and text inference as a result (Devlin et al., 2019).</w:t>
      </w:r>
    </w:p>
    <w:p w:rsidR="00000000" w:rsidDel="00000000" w:rsidP="00000000" w:rsidRDefault="00000000" w:rsidRPr="00000000" w14:paraId="0000001C">
      <w:pPr>
        <w:spacing w:after="200" w:line="259"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Implications for Future Research</w:t>
      </w:r>
    </w:p>
    <w:p w:rsidR="00000000" w:rsidDel="00000000" w:rsidP="00000000" w:rsidRDefault="00000000" w:rsidRPr="00000000" w14:paraId="0000001D">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Mohammad and Turney (2013) present researchers with a useful guide to follow which highlights three essential NLP research components: scalability, generalizability and contextual understanding. BERT's achievement proves that these objectives become possible by uniting large-scale pre-training with innovative architectures and carefully designed training objectives. The main challenges for BERT involve lowering the costs associated with pre-training procedures while enhancing the fine-tuning capabilities for tasks with limited resources.</w:t>
      </w:r>
    </w:p>
    <w:p w:rsidR="00000000" w:rsidDel="00000000" w:rsidP="00000000" w:rsidRDefault="00000000" w:rsidRPr="00000000" w14:paraId="0000001E">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Advanced technologies identify ways to create trimmed-down models which perform similarly to BERT yet utilize less computing power. DistilBERT and ALBERT demonstrate through their work that applying knowledge distillation along with parameter sharing allows smaller models to maintain stable performance levels (Sanh et al., 2019; Lan et al., 2020). The developments extend the research findings of Mohammad and Turney (2013) through proof of performance preservation while improving scalability and efficiency across systems. The research communities should primarily focus on integrating the multi modal data as an input to the language representation models. BERT handles the textual data exclusively while the researchers mainly focus on the development of the models which process combinations of textual data alongside both images and the audio content. Such a way creates advanced representations which become better at the processing across modalities and also work really well for the visual question answering and multi modal translation solutions (Lu et al., 2019).</w:t>
      </w:r>
    </w:p>
    <w:p w:rsidR="00000000" w:rsidDel="00000000" w:rsidP="00000000" w:rsidRDefault="00000000" w:rsidRPr="00000000" w14:paraId="0000001F">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Conclusion</w:t>
      </w:r>
    </w:p>
    <w:p w:rsidR="00000000" w:rsidDel="00000000" w:rsidP="00000000" w:rsidRDefault="00000000" w:rsidRPr="00000000" w14:paraId="00000020">
      <w:pPr>
        <w:spacing w:after="200" w:line="259"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fundamental principles presented in the study (Mohammad and Turney, 2013) creates the basic knowledge of language representation modeling advancements using the BERT. These research focuses on the importance of the unsupervised feature and learning together with the existing scaling hurdles and the advanced engineering requirements for training objectives along with the architecture advancement. The deep bidirectional transformer architecture and the masked language model objective alongside the next sentence prediction task enables BERT to solve the challenges during the performance driven NLP task. The approach outlined in the study  (Mohammad and Turney, 2013) tells us about the relevant knowledge for the ongoing research efforts toward creating scalable and efficient generalizable models in the field.</w:t>
      </w:r>
    </w:p>
    <w:p w:rsidR="00000000" w:rsidDel="00000000" w:rsidP="00000000" w:rsidRDefault="00000000" w:rsidRPr="00000000" w14:paraId="00000021">
      <w:pPr>
        <w:pStyle w:val="Heading3"/>
        <w:keepNext w:val="0"/>
        <w:keepLines w:val="0"/>
        <w:spacing w:after="200" w:before="280" w:line="360" w:lineRule="auto"/>
        <w:rPr>
          <w:rFonts w:ascii="Roboto" w:cs="Roboto" w:eastAsia="Roboto" w:hAnsi="Roboto"/>
          <w:b w:val="1"/>
          <w:color w:val="404040"/>
          <w:sz w:val="26"/>
          <w:szCs w:val="26"/>
        </w:rPr>
      </w:pPr>
      <w:bookmarkStart w:colFirst="0" w:colLast="0" w:name="_1v24oo9qgq50" w:id="9"/>
      <w:bookmarkEnd w:id="9"/>
      <w:r w:rsidDel="00000000" w:rsidR="00000000" w:rsidRPr="00000000">
        <w:rPr>
          <w:rFonts w:ascii="Roboto" w:cs="Roboto" w:eastAsia="Roboto" w:hAnsi="Roboto"/>
          <w:b w:val="1"/>
          <w:color w:val="404040"/>
          <w:sz w:val="26"/>
          <w:szCs w:val="26"/>
          <w:rtl w:val="0"/>
        </w:rPr>
        <w:t xml:space="preserve">References</w:t>
      </w:r>
    </w:p>
    <w:p w:rsidR="00000000" w:rsidDel="00000000" w:rsidP="00000000" w:rsidRDefault="00000000" w:rsidRPr="00000000" w14:paraId="00000022">
      <w:pPr>
        <w:numPr>
          <w:ilvl w:val="0"/>
          <w:numId w:val="1"/>
        </w:numPr>
        <w:spacing w:after="200" w:line="259" w:lineRule="auto"/>
        <w:ind w:left="720" w:hanging="360"/>
      </w:pPr>
      <w:r w:rsidDel="00000000" w:rsidR="00000000" w:rsidRPr="00000000">
        <w:rPr>
          <w:color w:val="222222"/>
          <w:sz w:val="20"/>
          <w:szCs w:val="20"/>
          <w:highlight w:val="white"/>
          <w:rtl w:val="0"/>
        </w:rPr>
        <w:t xml:space="preserve">Akbik, A., Blythe, D. and Vollgraf, R., 2018, August. Contextual string embeddings for sequence labeling. In </w:t>
      </w:r>
      <w:r w:rsidDel="00000000" w:rsidR="00000000" w:rsidRPr="00000000">
        <w:rPr>
          <w:i w:val="1"/>
          <w:color w:val="222222"/>
          <w:sz w:val="20"/>
          <w:szCs w:val="20"/>
          <w:highlight w:val="white"/>
          <w:rtl w:val="0"/>
        </w:rPr>
        <w:t xml:space="preserve">Proceedings of the 27th international conference on computational linguistics</w:t>
      </w:r>
      <w:r w:rsidDel="00000000" w:rsidR="00000000" w:rsidRPr="00000000">
        <w:rPr>
          <w:color w:val="222222"/>
          <w:sz w:val="20"/>
          <w:szCs w:val="20"/>
          <w:highlight w:val="white"/>
          <w:rtl w:val="0"/>
        </w:rPr>
        <w:t xml:space="preserve"> (pp. 1638-1649).</w:t>
      </w:r>
    </w:p>
    <w:p w:rsidR="00000000" w:rsidDel="00000000" w:rsidP="00000000" w:rsidRDefault="00000000" w:rsidRPr="00000000" w14:paraId="00000023">
      <w:pPr>
        <w:numPr>
          <w:ilvl w:val="0"/>
          <w:numId w:val="1"/>
        </w:numPr>
        <w:spacing w:after="200" w:line="259" w:lineRule="auto"/>
        <w:ind w:left="720" w:hanging="360"/>
      </w:pPr>
      <w:r w:rsidDel="00000000" w:rsidR="00000000" w:rsidRPr="00000000">
        <w:rPr>
          <w:color w:val="222222"/>
          <w:sz w:val="20"/>
          <w:szCs w:val="20"/>
          <w:highlight w:val="white"/>
          <w:rtl w:val="0"/>
        </w:rPr>
        <w:t xml:space="preserve">Devlin, J., Chang, M.W., Lee, K. and Toutanova, K., 2019, June. Bert: Pre-training of deep bidirectional transformers for language understanding. In </w:t>
      </w:r>
      <w:r w:rsidDel="00000000" w:rsidR="00000000" w:rsidRPr="00000000">
        <w:rPr>
          <w:i w:val="1"/>
          <w:color w:val="222222"/>
          <w:sz w:val="20"/>
          <w:szCs w:val="20"/>
          <w:highlight w:val="white"/>
          <w:rtl w:val="0"/>
        </w:rPr>
        <w:t xml:space="preserve">Proceedings of the 2019 conference of the North American chapter of the association for computational linguistics: human language technologies, volume 1 (long and short papers)</w:t>
      </w:r>
      <w:r w:rsidDel="00000000" w:rsidR="00000000" w:rsidRPr="00000000">
        <w:rPr>
          <w:color w:val="222222"/>
          <w:sz w:val="20"/>
          <w:szCs w:val="20"/>
          <w:highlight w:val="white"/>
          <w:rtl w:val="0"/>
        </w:rPr>
        <w:t xml:space="preserve"> (pp. 4171-4186).</w:t>
      </w:r>
    </w:p>
    <w:p w:rsidR="00000000" w:rsidDel="00000000" w:rsidP="00000000" w:rsidRDefault="00000000" w:rsidRPr="00000000" w14:paraId="00000024">
      <w:pPr>
        <w:numPr>
          <w:ilvl w:val="0"/>
          <w:numId w:val="1"/>
        </w:numPr>
        <w:spacing w:after="200" w:line="259"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Lin, Z., Feng, M., Santos, C.N.D., Yu, M., Xiang, B., Zhou, B. and Bengio, Y., 2017. A structured self-attentive sentence embedding. </w:t>
      </w:r>
      <w:r w:rsidDel="00000000" w:rsidR="00000000" w:rsidRPr="00000000">
        <w:rPr>
          <w:i w:val="1"/>
          <w:color w:val="222222"/>
          <w:sz w:val="20"/>
          <w:szCs w:val="20"/>
          <w:highlight w:val="white"/>
          <w:rtl w:val="0"/>
        </w:rPr>
        <w:t xml:space="preserve">arXiv preprint arXiv:1703.03130</w:t>
      </w:r>
      <w:r w:rsidDel="00000000" w:rsidR="00000000" w:rsidRPr="00000000">
        <w:rPr>
          <w:color w:val="222222"/>
          <w:sz w:val="20"/>
          <w:szCs w:val="20"/>
          <w:highlight w:val="white"/>
          <w:rtl w:val="0"/>
        </w:rPr>
        <w:t xml:space="preserve">.</w:t>
      </w:r>
    </w:p>
    <w:p w:rsidR="00000000" w:rsidDel="00000000" w:rsidP="00000000" w:rsidRDefault="00000000" w:rsidRPr="00000000" w14:paraId="00000025">
      <w:pPr>
        <w:numPr>
          <w:ilvl w:val="0"/>
          <w:numId w:val="1"/>
        </w:numPr>
        <w:spacing w:after="200" w:line="259"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Mohammad, S.M. and Turney, P.D., 2013. Crowdsourcing a word–emotion association lexicon. </w:t>
      </w:r>
      <w:r w:rsidDel="00000000" w:rsidR="00000000" w:rsidRPr="00000000">
        <w:rPr>
          <w:i w:val="1"/>
          <w:color w:val="222222"/>
          <w:sz w:val="20"/>
          <w:szCs w:val="20"/>
          <w:highlight w:val="white"/>
          <w:rtl w:val="0"/>
        </w:rPr>
        <w:t xml:space="preserve">Computational intelligence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29</w:t>
      </w:r>
      <w:r w:rsidDel="00000000" w:rsidR="00000000" w:rsidRPr="00000000">
        <w:rPr>
          <w:color w:val="222222"/>
          <w:sz w:val="20"/>
          <w:szCs w:val="20"/>
          <w:highlight w:val="white"/>
          <w:rtl w:val="0"/>
        </w:rPr>
        <w:t xml:space="preserve">(3), pp.436-465.</w:t>
      </w:r>
    </w:p>
    <w:p w:rsidR="00000000" w:rsidDel="00000000" w:rsidP="00000000" w:rsidRDefault="00000000" w:rsidRPr="00000000" w14:paraId="00000026">
      <w:pPr>
        <w:numPr>
          <w:ilvl w:val="0"/>
          <w:numId w:val="1"/>
        </w:numPr>
        <w:spacing w:after="200" w:line="259"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Mikolov, T., Sutskever, I., Chen, K., Corrado, G.S. and Dean, J., 2013. Distributed representations of words and phrases and their compositionality.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26</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27">
      <w:pPr>
        <w:numPr>
          <w:ilvl w:val="0"/>
          <w:numId w:val="1"/>
        </w:numPr>
        <w:spacing w:after="200" w:before="0" w:line="259" w:lineRule="auto"/>
        <w:ind w:left="720" w:hanging="360"/>
      </w:pPr>
      <w:r w:rsidDel="00000000" w:rsidR="00000000" w:rsidRPr="00000000">
        <w:rPr>
          <w:color w:val="222222"/>
          <w:sz w:val="20"/>
          <w:szCs w:val="20"/>
          <w:highlight w:val="white"/>
          <w:rtl w:val="0"/>
        </w:rPr>
        <w:t xml:space="preserve">Peters, M.E., 2018. Deep contextualized word representations. </w:t>
      </w:r>
      <w:r w:rsidDel="00000000" w:rsidR="00000000" w:rsidRPr="00000000">
        <w:rPr>
          <w:i w:val="1"/>
          <w:color w:val="222222"/>
          <w:sz w:val="20"/>
          <w:szCs w:val="20"/>
          <w:highlight w:val="white"/>
          <w:rtl w:val="0"/>
        </w:rPr>
        <w:t xml:space="preserve">arXiv preprint arXiv:1802.05365</w:t>
      </w:r>
      <w:r w:rsidDel="00000000" w:rsidR="00000000" w:rsidRPr="00000000">
        <w:rPr>
          <w:color w:val="222222"/>
          <w:sz w:val="20"/>
          <w:szCs w:val="20"/>
          <w:highlight w:val="white"/>
          <w:rtl w:val="0"/>
        </w:rPr>
        <w:t xml:space="preserve">.</w:t>
      </w:r>
    </w:p>
    <w:p w:rsidR="00000000" w:rsidDel="00000000" w:rsidP="00000000" w:rsidRDefault="00000000" w:rsidRPr="00000000" w14:paraId="00000028">
      <w:pPr>
        <w:numPr>
          <w:ilvl w:val="0"/>
          <w:numId w:val="1"/>
        </w:numPr>
        <w:spacing w:after="200" w:before="0" w:line="259"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Razno, M., 2019. Machine learning text classification model with NLP approach. </w:t>
      </w:r>
      <w:r w:rsidDel="00000000" w:rsidR="00000000" w:rsidRPr="00000000">
        <w:rPr>
          <w:i w:val="1"/>
          <w:color w:val="222222"/>
          <w:sz w:val="20"/>
          <w:szCs w:val="20"/>
          <w:highlight w:val="white"/>
          <w:rtl w:val="0"/>
        </w:rPr>
        <w:t xml:space="preserve">Computational Linguistics and Intelligent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w:t>
      </w:r>
      <w:r w:rsidDel="00000000" w:rsidR="00000000" w:rsidRPr="00000000">
        <w:rPr>
          <w:color w:val="222222"/>
          <w:sz w:val="20"/>
          <w:szCs w:val="20"/>
          <w:highlight w:val="white"/>
          <w:rtl w:val="0"/>
        </w:rPr>
        <w:t xml:space="preserve">, pp.71-73.</w:t>
      </w:r>
    </w:p>
    <w:p w:rsidR="00000000" w:rsidDel="00000000" w:rsidP="00000000" w:rsidRDefault="00000000" w:rsidRPr="00000000" w14:paraId="00000029">
      <w:pPr>
        <w:numPr>
          <w:ilvl w:val="0"/>
          <w:numId w:val="1"/>
        </w:numPr>
        <w:spacing w:after="200" w:before="0" w:line="259" w:lineRule="auto"/>
        <w:ind w:left="720" w:hanging="360"/>
      </w:pPr>
      <w:r w:rsidDel="00000000" w:rsidR="00000000" w:rsidRPr="00000000">
        <w:rPr>
          <w:color w:val="222222"/>
          <w:sz w:val="20"/>
          <w:szCs w:val="20"/>
          <w:highlight w:val="white"/>
          <w:rtl w:val="0"/>
        </w:rPr>
        <w:t xml:space="preserve">Radford, A., Narasimhan, K., Salimans, T. and Sutskever, I., 2018. Improving language understanding by generative pre-training.</w:t>
      </w:r>
    </w:p>
    <w:p w:rsidR="00000000" w:rsidDel="00000000" w:rsidP="00000000" w:rsidRDefault="00000000" w:rsidRPr="00000000" w14:paraId="0000002A">
      <w:pPr>
        <w:numPr>
          <w:ilvl w:val="0"/>
          <w:numId w:val="1"/>
        </w:numPr>
        <w:spacing w:after="200" w:before="0" w:line="259"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Vaswani, A., Shazeer, N., Parmar, N., Uszkoreit, J., Jones, L., Gomez, A.N., Kaiser, Ł. and Polosukhin, I., 2017. Attention is all you need.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30</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2B">
      <w:pPr>
        <w:spacing w:after="200" w:line="259"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