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 Data Acquisition and Cleaning Process</w:t>
      </w:r>
    </w:p>
    <w:p>
      <w:pPr>
        <w:jc w:val="center"/>
      </w:pPr>
      <w:r>
        <w:rPr>
          <w:i/>
          <w:sz w:val="24"/>
        </w:rPr>
        <w:t>Student Social Media, Academic Performance Dataset</w:t>
      </w:r>
    </w:p>
    <w:p>
      <w:r>
        <w:t>Project focus: Investigating how students’ social-media/online habits relate to academic performance, while considering study behaviour and attendance as important supporting factors.</w:t>
      </w:r>
    </w:p>
    <w:p>
      <w:pPr>
        <w:pStyle w:val="Heading1"/>
      </w:pPr>
      <w:r>
        <w:t>1. Task Objective and Scope</w:t>
      </w:r>
    </w:p>
    <w:p>
      <w:r>
        <w:t>The objective of this week is to acquire a public dataset, profile its quality, design a reproducible cleaning workflow, and prepare an analysis-ready version without inventing or silently changing observations. The primary outcome is academic performance measured through the reported GPA/CGPA field. Key explanatory variables include social-media time, platform, peak-use period, social-media distraction during academic activities, study time, and attendance.</w:t>
      </w:r>
    </w:p>
    <w:p>
      <w:pPr>
        <w:pStyle w:val="Heading1"/>
      </w:pPr>
      <w:r>
        <w:t>2. Data Sourcing</w:t>
      </w:r>
    </w:p>
    <w:p>
      <w:r>
        <w:t>Primary dataset: Student Social Media, Academic Performance Dataset, hosted on Kaggle.</w:t>
      </w:r>
    </w:p>
    <w:p>
      <w:r>
        <w:t>Source: https://www.kaggle.com/datasets/mr101rror/student-social-media-academic-performance-dataset</w:t>
      </w:r>
    </w:p>
    <w:p>
      <w:r>
        <w:t>The Kaggle data card describes the dataset as survey responses covering demographics, digital habits, academic measures and well-being indicators, and lists an MIT license. The downloaded CSV used for this task contains 405 data rows and 21 columns. The current Kaggle data card reports 404 records, so the local downloaded file was treated as the authoritative version for profiling; this discrepancy is documented rather than hidden.</w:t>
      </w:r>
    </w:p>
    <w:p>
      <w:r>
        <w:t>Acquisition method: Download the CSV from the public Kaggle dataset page and load it with pandas.read_csv().</w:t>
      </w:r>
    </w:p>
    <w:p>
      <w:pPr>
        <w:pStyle w:val="Heading1"/>
      </w:pPr>
      <w:r>
        <w:t>3. Legal and Ethical Considerations</w:t>
      </w:r>
    </w:p>
    <w:p>
      <w:pPr>
        <w:pStyle w:val="ListBullet"/>
      </w:pPr>
      <w:r>
        <w:t>The dataset is publicly available and the Kaggle data card lists an MIT license. The source and license should be credited in the final submission.</w:t>
      </w:r>
    </w:p>
    <w:p>
      <w:pPr>
        <w:pStyle w:val="ListBullet"/>
      </w:pPr>
      <w:r>
        <w:t>Public availability does not remove ethical responsibilities. The dataset contains sensitive well-being indicators such as anxiety, depression and self-esteem scores.</w:t>
      </w:r>
    </w:p>
    <w:p>
      <w:pPr>
        <w:pStyle w:val="ListBullet"/>
      </w:pPr>
      <w:r>
        <w:t>Analysis should remain at aggregate level. Individual records should not be published, re-identified, or used to make claims about a particular student.</w:t>
      </w:r>
    </w:p>
    <w:p>
      <w:pPr>
        <w:pStyle w:val="ListBullet"/>
      </w:pPr>
      <w:r>
        <w:t>Only variables necessary for the project should be analysed. The Timestamp should be converted to a date-time field for quality checks and should not be treated as a personal identifier or exposed unnecessarily.</w:t>
      </w:r>
    </w:p>
    <w:p>
      <w:pPr>
        <w:pStyle w:val="ListBullet"/>
      </w:pPr>
      <w:r>
        <w:t>Results must be described as associations in this dataset. Correlation or regression should not be presented as proof that social-media use causes lower academic performance.</w:t>
      </w:r>
    </w:p>
    <w:p>
      <w:pPr>
        <w:pStyle w:val="Heading1"/>
      </w:pPr>
      <w:r>
        <w:t>4. Data Profiling: Initial Quality Checks</w:t>
      </w:r>
    </w:p>
    <w:p>
      <w:r>
        <w:t>The first profiling pass was performed on the downloaded CSV before making any transformations.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Quality check</w:t>
            </w:r>
          </w:p>
        </w:tc>
        <w:tc>
          <w:tcPr>
            <w:tcW w:type="dxa" w:w="3408"/>
            <w:vAlign w:val="center"/>
            <w:shd w:fill="D9EAF7"/>
          </w:tcPr>
          <w:p>
            <w:r/>
            <w:r>
              <w:rPr>
                <w:b/>
                <w:sz w:val="18"/>
              </w:rPr>
              <w:t>Observed result</w:t>
            </w:r>
          </w:p>
        </w:tc>
        <w:tc>
          <w:tcPr>
            <w:tcW w:type="dxa" w:w="3408"/>
            <w:vAlign w:val="center"/>
            <w:shd w:fill="D9EAF7"/>
          </w:tcPr>
          <w:p>
            <w:r/>
            <w:r>
              <w:rPr>
                <w:b/>
                <w:sz w:val="18"/>
              </w:rPr>
              <w:t>Interpretation</w:t>
            </w:r>
          </w:p>
        </w:tc>
      </w:tr>
      <w:tr>
        <w:tc>
          <w:tcPr>
            <w:tcW w:type="dxa" w:w="3408"/>
            <w:vAlign w:val="center"/>
          </w:tcPr>
          <w:p>
            <w:r/>
            <w:r>
              <w:rPr>
                <w:b w:val="0"/>
                <w:sz w:val="18"/>
              </w:rPr>
              <w:t>Rows</w:t>
            </w:r>
          </w:p>
        </w:tc>
        <w:tc>
          <w:tcPr>
            <w:tcW w:type="dxa" w:w="3408"/>
            <w:vAlign w:val="center"/>
          </w:tcPr>
          <w:p>
            <w:r/>
            <w:r>
              <w:rPr>
                <w:b w:val="0"/>
                <w:sz w:val="18"/>
              </w:rPr>
              <w:t>405</w:t>
            </w:r>
          </w:p>
        </w:tc>
        <w:tc>
          <w:tcPr>
            <w:tcW w:type="dxa" w:w="3408"/>
            <w:vAlign w:val="center"/>
          </w:tcPr>
          <w:p>
            <w:r/>
            <w:r>
              <w:rPr>
                <w:b w:val="0"/>
                <w:sz w:val="18"/>
              </w:rPr>
              <w:t>405 student-response records in the downloaded file</w:t>
            </w:r>
          </w:p>
        </w:tc>
      </w:tr>
      <w:tr>
        <w:tc>
          <w:tcPr>
            <w:tcW w:type="dxa" w:w="3408"/>
            <w:vAlign w:val="center"/>
          </w:tcPr>
          <w:p>
            <w:r/>
            <w:r>
              <w:rPr>
                <w:b w:val="0"/>
                <w:sz w:val="18"/>
              </w:rPr>
              <w:t>Columns</w:t>
            </w:r>
          </w:p>
        </w:tc>
        <w:tc>
          <w:tcPr>
            <w:tcW w:type="dxa" w:w="3408"/>
            <w:vAlign w:val="center"/>
          </w:tcPr>
          <w:p>
            <w:r/>
            <w:r>
              <w:rPr>
                <w:b w:val="0"/>
                <w:sz w:val="18"/>
              </w:rPr>
              <w:t>21</w:t>
            </w:r>
          </w:p>
        </w:tc>
        <w:tc>
          <w:tcPr>
            <w:tcW w:type="dxa" w:w="3408"/>
            <w:vAlign w:val="center"/>
          </w:tcPr>
          <w:p>
            <w:r/>
            <w:r>
              <w:rPr>
                <w:b w:val="0"/>
                <w:sz w:val="18"/>
              </w:rPr>
              <w:t>21 original fields, including one completely empty field</w:t>
            </w:r>
          </w:p>
        </w:tc>
      </w:tr>
      <w:tr>
        <w:tc>
          <w:tcPr>
            <w:tcW w:type="dxa" w:w="3408"/>
            <w:vAlign w:val="center"/>
          </w:tcPr>
          <w:p>
            <w:r/>
            <w:r>
              <w:rPr>
                <w:b w:val="0"/>
                <w:sz w:val="18"/>
              </w:rPr>
              <w:t>Completely missing column</w:t>
            </w:r>
          </w:p>
        </w:tc>
        <w:tc>
          <w:tcPr>
            <w:tcW w:type="dxa" w:w="3408"/>
            <w:vAlign w:val="center"/>
          </w:tcPr>
          <w:p>
            <w:r/>
            <w:r>
              <w:rPr>
                <w:b w:val="0"/>
                <w:sz w:val="18"/>
              </w:rPr>
              <w:t>Column 19: 405/405 missing</w:t>
            </w:r>
          </w:p>
        </w:tc>
        <w:tc>
          <w:tcPr>
            <w:tcW w:type="dxa" w:w="3408"/>
            <w:vAlign w:val="center"/>
          </w:tcPr>
          <w:p>
            <w:r/>
            <w:r>
              <w:rPr>
                <w:b w:val="0"/>
                <w:sz w:val="18"/>
              </w:rPr>
              <w:t>No analytical information; candidate for removal</w:t>
            </w:r>
          </w:p>
        </w:tc>
      </w:tr>
      <w:tr>
        <w:tc>
          <w:tcPr>
            <w:tcW w:type="dxa" w:w="3408"/>
            <w:vAlign w:val="center"/>
          </w:tcPr>
          <w:p>
            <w:r/>
            <w:r>
              <w:rPr>
                <w:b w:val="0"/>
                <w:sz w:val="18"/>
              </w:rPr>
              <w:t>Duplicate complete rows</w:t>
            </w:r>
          </w:p>
        </w:tc>
        <w:tc>
          <w:tcPr>
            <w:tcW w:type="dxa" w:w="3408"/>
            <w:vAlign w:val="center"/>
          </w:tcPr>
          <w:p>
            <w:r/>
            <w:r>
              <w:rPr>
                <w:b w:val="0"/>
                <w:sz w:val="18"/>
              </w:rPr>
              <w:t>0</w:t>
            </w:r>
          </w:p>
        </w:tc>
        <w:tc>
          <w:tcPr>
            <w:tcW w:type="dxa" w:w="3408"/>
            <w:vAlign w:val="center"/>
          </w:tcPr>
          <w:p>
            <w:r/>
            <w:r>
              <w:rPr>
                <w:b w:val="0"/>
                <w:sz w:val="18"/>
              </w:rPr>
              <w:t>No exact duplicate records detected</w:t>
            </w:r>
          </w:p>
        </w:tc>
      </w:tr>
      <w:tr>
        <w:tc>
          <w:tcPr>
            <w:tcW w:type="dxa" w:w="3408"/>
            <w:vAlign w:val="center"/>
          </w:tcPr>
          <w:p>
            <w:r/>
            <w:r>
              <w:rPr>
                <w:b w:val="0"/>
                <w:sz w:val="18"/>
              </w:rPr>
              <w:t>Missing values in other columns</w:t>
            </w:r>
          </w:p>
        </w:tc>
        <w:tc>
          <w:tcPr>
            <w:tcW w:type="dxa" w:w="3408"/>
            <w:vAlign w:val="center"/>
          </w:tcPr>
          <w:p>
            <w:r/>
            <w:r>
              <w:rPr>
                <w:b w:val="0"/>
                <w:sz w:val="18"/>
              </w:rPr>
              <w:t>0 parsed blank/NaN cells</w:t>
            </w:r>
          </w:p>
        </w:tc>
        <w:tc>
          <w:tcPr>
            <w:tcW w:type="dxa" w:w="3408"/>
            <w:vAlign w:val="center"/>
          </w:tcPr>
          <w:p>
            <w:r/>
            <w:r>
              <w:rPr>
                <w:b w:val="0"/>
                <w:sz w:val="18"/>
              </w:rPr>
              <w:t>Most quality issues are inconsistent text formats rather than blanks</w:t>
            </w:r>
          </w:p>
        </w:tc>
      </w:tr>
      <w:tr>
        <w:tc>
          <w:tcPr>
            <w:tcW w:type="dxa" w:w="3408"/>
            <w:vAlign w:val="center"/>
          </w:tcPr>
          <w:p>
            <w:r/>
            <w:r>
              <w:rPr>
                <w:b w:val="0"/>
                <w:sz w:val="18"/>
              </w:rPr>
              <w:t>Main format issues</w:t>
            </w:r>
          </w:p>
        </w:tc>
        <w:tc>
          <w:tcPr>
            <w:tcW w:type="dxa" w:w="3408"/>
            <w:vAlign w:val="center"/>
          </w:tcPr>
          <w:p>
            <w:r/>
            <w:r>
              <w:rPr>
                <w:b w:val="0"/>
                <w:sz w:val="18"/>
              </w:rPr>
              <w:t>Age, study time, attendance, social-media time, GPA</w:t>
            </w:r>
          </w:p>
        </w:tc>
        <w:tc>
          <w:tcPr>
            <w:tcW w:type="dxa" w:w="3408"/>
            <w:vAlign w:val="center"/>
          </w:tcPr>
          <w:p>
            <w:r/>
            <w:r>
              <w:rPr>
                <w:b w:val="0"/>
                <w:sz w:val="18"/>
              </w:rPr>
              <w:t>Require standardization and validation</w:t>
            </w:r>
          </w:p>
        </w:tc>
      </w:tr>
    </w:tbl>
    <w:p>
      <w:pPr>
        <w:pStyle w:val="Heading1"/>
      </w:pPr>
      <w:r>
        <w:t>5. Column-Level Profiling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Data area</w:t>
            </w:r>
          </w:p>
        </w:tc>
        <w:tc>
          <w:tcPr>
            <w:tcW w:type="dxa" w:w="3408"/>
            <w:vAlign w:val="center"/>
            <w:shd w:fill="D9EAF7"/>
          </w:tcPr>
          <w:p>
            <w:r/>
            <w:r>
              <w:rPr>
                <w:b/>
                <w:sz w:val="18"/>
              </w:rPr>
              <w:t>Examples of fields</w:t>
            </w:r>
          </w:p>
        </w:tc>
        <w:tc>
          <w:tcPr>
            <w:tcW w:type="dxa" w:w="3408"/>
            <w:vAlign w:val="center"/>
            <w:shd w:fill="D9EAF7"/>
          </w:tcPr>
          <w:p>
            <w:r/>
            <w:r>
              <w:rPr>
                <w:b/>
                <w:sz w:val="18"/>
              </w:rPr>
              <w:t>Type / treatment</w:t>
            </w:r>
          </w:p>
        </w:tc>
      </w:tr>
      <w:tr>
        <w:tc>
          <w:tcPr>
            <w:tcW w:type="dxa" w:w="3408"/>
            <w:vAlign w:val="center"/>
          </w:tcPr>
          <w:p>
            <w:r/>
            <w:r>
              <w:rPr>
                <w:b w:val="0"/>
                <w:sz w:val="18"/>
              </w:rPr>
              <w:t>Demographic</w:t>
            </w:r>
          </w:p>
        </w:tc>
        <w:tc>
          <w:tcPr>
            <w:tcW w:type="dxa" w:w="3408"/>
            <w:vAlign w:val="center"/>
          </w:tcPr>
          <w:p>
            <w:r/>
            <w:r>
              <w:rPr>
                <w:b w:val="0"/>
                <w:sz w:val="18"/>
              </w:rPr>
              <w:t>Age, Gender, Residence Area, Education Level</w:t>
            </w:r>
          </w:p>
        </w:tc>
        <w:tc>
          <w:tcPr>
            <w:tcW w:type="dxa" w:w="3408"/>
            <w:vAlign w:val="center"/>
          </w:tcPr>
          <w:p>
            <w:r/>
            <w:r>
              <w:rPr>
                <w:b w:val="0"/>
                <w:sz w:val="18"/>
              </w:rPr>
              <w:t>Numeric + categorical; validate ranges and categories</w:t>
            </w:r>
          </w:p>
        </w:tc>
      </w:tr>
      <w:tr>
        <w:tc>
          <w:tcPr>
            <w:tcW w:type="dxa" w:w="3408"/>
            <w:vAlign w:val="center"/>
          </w:tcPr>
          <w:p>
            <w:r/>
            <w:r>
              <w:rPr>
                <w:b w:val="0"/>
                <w:sz w:val="18"/>
              </w:rPr>
              <w:t>Study / academic</w:t>
            </w:r>
          </w:p>
        </w:tc>
        <w:tc>
          <w:tcPr>
            <w:tcW w:type="dxa" w:w="3408"/>
            <w:vAlign w:val="center"/>
          </w:tcPr>
          <w:p>
            <w:r/>
            <w:r>
              <w:rPr>
                <w:b w:val="0"/>
                <w:sz w:val="18"/>
              </w:rPr>
              <w:t>Study time, Attendance rate, GPA/CGPA</w:t>
            </w:r>
          </w:p>
        </w:tc>
        <w:tc>
          <w:tcPr>
            <w:tcW w:type="dxa" w:w="3408"/>
            <w:vAlign w:val="center"/>
          </w:tcPr>
          <w:p>
            <w:r/>
            <w:r>
              <w:rPr>
                <w:b w:val="0"/>
                <w:sz w:val="18"/>
              </w:rPr>
              <w:t>Numeric after standardization; preserve raw fields</w:t>
            </w:r>
          </w:p>
        </w:tc>
      </w:tr>
      <w:tr>
        <w:tc>
          <w:tcPr>
            <w:tcW w:type="dxa" w:w="3408"/>
            <w:vAlign w:val="center"/>
          </w:tcPr>
          <w:p>
            <w:r/>
            <w:r>
              <w:rPr>
                <w:b w:val="0"/>
                <w:sz w:val="18"/>
              </w:rPr>
              <w:t>Social media</w:t>
            </w:r>
          </w:p>
        </w:tc>
        <w:tc>
          <w:tcPr>
            <w:tcW w:type="dxa" w:w="3408"/>
            <w:vAlign w:val="center"/>
          </w:tcPr>
          <w:p>
            <w:r/>
            <w:r>
              <w:rPr>
                <w:b w:val="0"/>
                <w:sz w:val="18"/>
              </w:rPr>
              <w:t>Platform, Time spent, Peak-use period, Distraction</w:t>
            </w:r>
          </w:p>
        </w:tc>
        <w:tc>
          <w:tcPr>
            <w:tcW w:type="dxa" w:w="3408"/>
            <w:vAlign w:val="center"/>
          </w:tcPr>
          <w:p>
            <w:r/>
            <w:r>
              <w:rPr>
                <w:b w:val="0"/>
                <w:sz w:val="18"/>
              </w:rPr>
              <w:t>Categorical + numeric; standardize text and units</w:t>
            </w:r>
          </w:p>
        </w:tc>
      </w:tr>
      <w:tr>
        <w:tc>
          <w:tcPr>
            <w:tcW w:type="dxa" w:w="3408"/>
            <w:vAlign w:val="center"/>
          </w:tcPr>
          <w:p>
            <w:r/>
            <w:r>
              <w:rPr>
                <w:b w:val="0"/>
                <w:sz w:val="18"/>
              </w:rPr>
              <w:t>Well-being</w:t>
            </w:r>
          </w:p>
        </w:tc>
        <w:tc>
          <w:tcPr>
            <w:tcW w:type="dxa" w:w="3408"/>
            <w:vAlign w:val="center"/>
          </w:tcPr>
          <w:p>
            <w:r/>
            <w:r>
              <w:rPr>
                <w:b w:val="0"/>
                <w:sz w:val="18"/>
              </w:rPr>
              <w:t>Sleep disturbance, Mood, Anxiety, Depression, Self-esteem</w:t>
            </w:r>
          </w:p>
        </w:tc>
        <w:tc>
          <w:tcPr>
            <w:tcW w:type="dxa" w:w="3408"/>
            <w:vAlign w:val="center"/>
          </w:tcPr>
          <w:p>
            <w:r/>
            <w:r>
              <w:rPr>
                <w:b w:val="0"/>
                <w:sz w:val="18"/>
              </w:rPr>
              <w:t>Mostly ordinal/numeric scales; validate permitted ranges</w:t>
            </w:r>
          </w:p>
        </w:tc>
      </w:tr>
      <w:tr>
        <w:tc>
          <w:tcPr>
            <w:tcW w:type="dxa" w:w="3408"/>
            <w:vAlign w:val="center"/>
          </w:tcPr>
          <w:p>
            <w:r/>
            <w:r>
              <w:rPr>
                <w:b w:val="0"/>
                <w:sz w:val="18"/>
              </w:rPr>
              <w:t>Physical activity</w:t>
            </w:r>
          </w:p>
        </w:tc>
        <w:tc>
          <w:tcPr>
            <w:tcW w:type="dxa" w:w="3408"/>
            <w:vAlign w:val="center"/>
          </w:tcPr>
          <w:p>
            <w:r/>
            <w:r>
              <w:rPr>
                <w:b w:val="0"/>
                <w:sz w:val="18"/>
              </w:rPr>
              <w:t>Physical activity (30 min+)</w:t>
            </w:r>
          </w:p>
        </w:tc>
        <w:tc>
          <w:tcPr>
            <w:tcW w:type="dxa" w:w="3408"/>
            <w:vAlign w:val="center"/>
          </w:tcPr>
          <w:p>
            <w:r/>
            <w:r>
              <w:rPr>
                <w:b w:val="0"/>
                <w:sz w:val="18"/>
              </w:rPr>
              <w:t>Binary categorical; normalize Yes/No spelling</w:t>
            </w:r>
          </w:p>
        </w:tc>
      </w:tr>
      <w:tr>
        <w:tc>
          <w:tcPr>
            <w:tcW w:type="dxa" w:w="3408"/>
            <w:vAlign w:val="center"/>
          </w:tcPr>
          <w:p>
            <w:r/>
            <w:r>
              <w:rPr>
                <w:b w:val="0"/>
                <w:sz w:val="18"/>
              </w:rPr>
              <w:t>Timestamp</w:t>
            </w:r>
          </w:p>
        </w:tc>
        <w:tc>
          <w:tcPr>
            <w:tcW w:type="dxa" w:w="3408"/>
            <w:vAlign w:val="center"/>
          </w:tcPr>
          <w:p>
            <w:r/>
            <w:r>
              <w:rPr>
                <w:b w:val="0"/>
                <w:sz w:val="18"/>
              </w:rPr>
              <w:t>26-04-2025 01:14</w:t>
            </w:r>
          </w:p>
        </w:tc>
        <w:tc>
          <w:tcPr>
            <w:tcW w:type="dxa" w:w="3408"/>
            <w:vAlign w:val="center"/>
          </w:tcPr>
          <w:p>
            <w:r/>
            <w:r>
              <w:rPr>
                <w:b w:val="0"/>
                <w:sz w:val="18"/>
              </w:rPr>
              <w:t>Convert to datetime for validation; use cautiously in analysis</w:t>
            </w:r>
          </w:p>
        </w:tc>
      </w:tr>
      <w:tr>
        <w:tc>
          <w:tcPr>
            <w:tcW w:type="dxa" w:w="3408"/>
            <w:vAlign w:val="center"/>
          </w:tcPr>
          <w:p>
            <w:r/>
            <w:r>
              <w:rPr>
                <w:b w:val="0"/>
                <w:sz w:val="18"/>
              </w:rPr>
              <w:t>Empty field</w:t>
            </w:r>
          </w:p>
        </w:tc>
        <w:tc>
          <w:tcPr>
            <w:tcW w:type="dxa" w:w="3408"/>
            <w:vAlign w:val="center"/>
          </w:tcPr>
          <w:p>
            <w:r/>
            <w:r>
              <w:rPr>
                <w:b w:val="0"/>
                <w:sz w:val="18"/>
              </w:rPr>
              <w:t>Column 19</w:t>
            </w:r>
          </w:p>
        </w:tc>
        <w:tc>
          <w:tcPr>
            <w:tcW w:type="dxa" w:w="3408"/>
            <w:vAlign w:val="center"/>
          </w:tcPr>
          <w:p>
            <w:r/>
            <w:r>
              <w:rPr>
                <w:b w:val="0"/>
                <w:sz w:val="18"/>
              </w:rPr>
              <w:t>Remove after documenting that it is 100% empty</w:t>
            </w:r>
          </w:p>
        </w:tc>
      </w:tr>
    </w:tbl>
    <w:p>
      <w:pPr>
        <w:pStyle w:val="Heading1"/>
      </w:pPr>
      <w:r>
        <w:t>6. Cleaning Process</w:t>
      </w:r>
    </w:p>
    <w:p>
      <w:pPr>
        <w:pStyle w:val="Heading2"/>
      </w:pPr>
      <w:r>
        <w:t>6.1 Preserve the raw data</w:t>
      </w:r>
    </w:p>
    <w:p>
      <w:r>
        <w:t>The original CSV is retained unchanged. Cleaning is performed on a copy and standardized columns are added with clear names such as Age_clean, Study_time_hours_clean, Attendance_pct_clean, Social_media_hours_clean and GPA_clean. This makes the process auditable and allows every transformation to be traced back to the original response.</w:t>
      </w:r>
    </w:p>
    <w:p>
      <w:pPr>
        <w:pStyle w:val="Heading2"/>
      </w:pPr>
      <w:r>
        <w:t>6.2 Missing-data handling</w:t>
      </w:r>
    </w:p>
    <w:p>
      <w:pPr>
        <w:pStyle w:val="ListBullet"/>
      </w:pPr>
      <w:r>
        <w:t>Remove Column 19 after documenting its 405/405 missing status.</w:t>
      </w:r>
    </w:p>
    <w:p>
      <w:pPr>
        <w:pStyle w:val="ListBullet"/>
      </w:pPr>
      <w:r>
        <w:t>For numeric predictors with a small number of unresolved values, use median imputation only when the missingness is small and the variable is appropriate for imputation; otherwise retain missing values and use complete-case analysis.</w:t>
      </w:r>
    </w:p>
    <w:p>
      <w:pPr>
        <w:pStyle w:val="ListBullet"/>
      </w:pPr>
      <w:r>
        <w:t>Do not automatically impute the primary GPA outcome. An invented GPA can distort the research question, so unresolved GPA responses should remain missing unless a defensible conversion rule is available.</w:t>
      </w:r>
    </w:p>
    <w:p>
      <w:pPr>
        <w:pStyle w:val="ListBullet"/>
      </w:pPr>
      <w:r>
        <w:t>For categorical fields, use an explicit 'Unknown' category or mode imputation only when justified and when the missingness is small.</w:t>
      </w:r>
    </w:p>
    <w:p>
      <w:pPr>
        <w:pStyle w:val="Heading2"/>
      </w:pPr>
      <w:r>
        <w:t>6.3 Standardizing numeric formats</w:t>
      </w:r>
    </w:p>
    <w:p>
      <w:r>
        <w:t>Study time and social-media time contain numbers, text labels, ranges, and minute-based responses. The proposed transformation converts values to hours. For a range such as 3–4 hours, the midpoint 3.5 is used and documented. For 30 minutes, the value becomes 0.5 hours. Percent signs are removed only from attendance, not from an hours variable.</w:t>
      </w:r>
    </w:p>
    <w:p>
      <w:r>
        <w:t>Attendance is converted to a 0–100 numeric percentage. Values such as 70–80% are represented as the midpoint 75 for exploratory analysis, with the original text preserved.</w:t>
      </w:r>
    </w:p>
    <w:p>
      <w:r>
        <w:t>GPA/CGPA is handled more conservatively. Clearly numeric GPA values and labelled values such as 'GPA 5.00' are standardized. Grade-only responses such as A/A- and unresolved statements such as Pending are not converted without a verified grading-scale rule. For mixed text such as 'Hsc 2021 4.58 science', the plausible GPA value 4.58 is extracted while the year is ignored.</w:t>
      </w:r>
    </w:p>
    <w:p>
      <w:pPr>
        <w:pStyle w:val="Heading2"/>
      </w:pPr>
      <w:r>
        <w:t>6.4 Outlier detection</w:t>
      </w:r>
    </w:p>
    <w:p>
      <w:r>
        <w:t>Outliers will be detected in two stages: (1) domain rules and (2) IQR-based statistical screening. Domain rules are preferred for obvious errors—for example, an age of 210 is invalid, while an age of 37 is unusual but plausible. IQR flags are treated as review signals, not automatic deletion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Field</w:t>
            </w:r>
          </w:p>
        </w:tc>
        <w:tc>
          <w:tcPr>
            <w:tcW w:type="dxa" w:w="3408"/>
            <w:vAlign w:val="center"/>
            <w:shd w:fill="D9EAF7"/>
          </w:tcPr>
          <w:p>
            <w:r/>
            <w:r>
              <w:rPr>
                <w:b/>
                <w:sz w:val="18"/>
              </w:rPr>
              <w:t>Domain rule</w:t>
            </w:r>
          </w:p>
        </w:tc>
        <w:tc>
          <w:tcPr>
            <w:tcW w:type="dxa" w:w="3408"/>
            <w:vAlign w:val="center"/>
            <w:shd w:fill="D9EAF7"/>
          </w:tcPr>
          <w:p>
            <w:r/>
            <w:r>
              <w:rPr>
                <w:b/>
                <w:sz w:val="18"/>
              </w:rPr>
              <w:t>Action for violations</w:t>
            </w:r>
          </w:p>
        </w:tc>
      </w:tr>
      <w:tr>
        <w:tc>
          <w:tcPr>
            <w:tcW w:type="dxa" w:w="3408"/>
            <w:vAlign w:val="center"/>
          </w:tcPr>
          <w:p>
            <w:r/>
            <w:r>
              <w:rPr>
                <w:b w:val="0"/>
                <w:sz w:val="18"/>
              </w:rPr>
              <w:t>Age</w:t>
            </w:r>
          </w:p>
        </w:tc>
        <w:tc>
          <w:tcPr>
            <w:tcW w:type="dxa" w:w="3408"/>
            <w:vAlign w:val="center"/>
          </w:tcPr>
          <w:p>
            <w:r/>
            <w:r>
              <w:rPr>
                <w:b w:val="0"/>
                <w:sz w:val="18"/>
              </w:rPr>
              <w:t>13–60 considered plausible for this student dataset</w:t>
            </w:r>
          </w:p>
        </w:tc>
        <w:tc>
          <w:tcPr>
            <w:tcW w:type="dxa" w:w="3408"/>
            <w:vAlign w:val="center"/>
          </w:tcPr>
          <w:p>
            <w:r/>
            <w:r>
              <w:rPr>
                <w:b w:val="0"/>
                <w:sz w:val="18"/>
              </w:rPr>
              <w:t>Review; invalid extreme values become missing unless corrected from source</w:t>
            </w:r>
          </w:p>
        </w:tc>
      </w:tr>
      <w:tr>
        <w:tc>
          <w:tcPr>
            <w:tcW w:type="dxa" w:w="3408"/>
            <w:vAlign w:val="center"/>
          </w:tcPr>
          <w:p>
            <w:r/>
            <w:r>
              <w:rPr>
                <w:b w:val="0"/>
                <w:sz w:val="18"/>
              </w:rPr>
              <w:t>Study time</w:t>
            </w:r>
          </w:p>
        </w:tc>
        <w:tc>
          <w:tcPr>
            <w:tcW w:type="dxa" w:w="3408"/>
            <w:vAlign w:val="center"/>
          </w:tcPr>
          <w:p>
            <w:r/>
            <w:r>
              <w:rPr>
                <w:b w:val="0"/>
                <w:sz w:val="18"/>
              </w:rPr>
              <w:t>0–24 hours/day</w:t>
            </w:r>
          </w:p>
        </w:tc>
        <w:tc>
          <w:tcPr>
            <w:tcW w:type="dxa" w:w="3408"/>
            <w:vAlign w:val="center"/>
          </w:tcPr>
          <w:p>
            <w:r/>
            <w:r>
              <w:rPr>
                <w:b w:val="0"/>
                <w:sz w:val="18"/>
              </w:rPr>
              <w:t>Review extreme values and unit errors</w:t>
            </w:r>
          </w:p>
        </w:tc>
      </w:tr>
      <w:tr>
        <w:tc>
          <w:tcPr>
            <w:tcW w:type="dxa" w:w="3408"/>
            <w:vAlign w:val="center"/>
          </w:tcPr>
          <w:p>
            <w:r/>
            <w:r>
              <w:rPr>
                <w:b w:val="0"/>
                <w:sz w:val="18"/>
              </w:rPr>
              <w:t>Attendance</w:t>
            </w:r>
          </w:p>
        </w:tc>
        <w:tc>
          <w:tcPr>
            <w:tcW w:type="dxa" w:w="3408"/>
            <w:vAlign w:val="center"/>
          </w:tcPr>
          <w:p>
            <w:r/>
            <w:r>
              <w:rPr>
                <w:b w:val="0"/>
                <w:sz w:val="18"/>
              </w:rPr>
              <w:t>0–100%</w:t>
            </w:r>
          </w:p>
        </w:tc>
        <w:tc>
          <w:tcPr>
            <w:tcW w:type="dxa" w:w="3408"/>
            <w:vAlign w:val="center"/>
          </w:tcPr>
          <w:p>
            <w:r/>
            <w:r>
              <w:rPr>
                <w:b w:val="0"/>
                <w:sz w:val="18"/>
              </w:rPr>
              <w:t>Reject impossible values; review suspiciously low/high entries</w:t>
            </w:r>
          </w:p>
        </w:tc>
      </w:tr>
      <w:tr>
        <w:tc>
          <w:tcPr>
            <w:tcW w:type="dxa" w:w="3408"/>
            <w:vAlign w:val="center"/>
          </w:tcPr>
          <w:p>
            <w:r/>
            <w:r>
              <w:rPr>
                <w:b w:val="0"/>
                <w:sz w:val="18"/>
              </w:rPr>
              <w:t>Social-media time</w:t>
            </w:r>
          </w:p>
        </w:tc>
        <w:tc>
          <w:tcPr>
            <w:tcW w:type="dxa" w:w="3408"/>
            <w:vAlign w:val="center"/>
          </w:tcPr>
          <w:p>
            <w:r/>
            <w:r>
              <w:rPr>
                <w:b w:val="0"/>
                <w:sz w:val="18"/>
              </w:rPr>
              <w:t>0–24 hours/day</w:t>
            </w:r>
          </w:p>
        </w:tc>
        <w:tc>
          <w:tcPr>
            <w:tcW w:type="dxa" w:w="3408"/>
            <w:vAlign w:val="center"/>
          </w:tcPr>
          <w:p>
            <w:r/>
            <w:r>
              <w:rPr>
                <w:b w:val="0"/>
                <w:sz w:val="18"/>
              </w:rPr>
              <w:t>Review extreme values; retain plausible high usage if supported by the response</w:t>
            </w:r>
          </w:p>
        </w:tc>
      </w:tr>
      <w:tr>
        <w:tc>
          <w:tcPr>
            <w:tcW w:type="dxa" w:w="3408"/>
            <w:vAlign w:val="center"/>
          </w:tcPr>
          <w:p>
            <w:r/>
            <w:r>
              <w:rPr>
                <w:b w:val="0"/>
                <w:sz w:val="18"/>
              </w:rPr>
              <w:t>GPA</w:t>
            </w:r>
          </w:p>
        </w:tc>
        <w:tc>
          <w:tcPr>
            <w:tcW w:type="dxa" w:w="3408"/>
            <w:vAlign w:val="center"/>
          </w:tcPr>
          <w:p>
            <w:r/>
            <w:r>
              <w:rPr>
                <w:b w:val="0"/>
                <w:sz w:val="18"/>
              </w:rPr>
              <w:t>0–5 for this dataset's mixed GPA/CGPA responses</w:t>
            </w:r>
          </w:p>
        </w:tc>
        <w:tc>
          <w:tcPr>
            <w:tcW w:type="dxa" w:w="3408"/>
            <w:vAlign w:val="center"/>
          </w:tcPr>
          <w:p>
            <w:r/>
            <w:r>
              <w:rPr>
                <w:b w:val="0"/>
                <w:sz w:val="18"/>
              </w:rPr>
              <w:t>Review scale and invalid values; do not invent conversions</w:t>
            </w:r>
          </w:p>
        </w:tc>
      </w:tr>
    </w:tbl>
    <w:p>
      <w:pPr>
        <w:pStyle w:val="Heading2"/>
      </w:pPr>
      <w:r>
        <w:t>6.5 Categorical encoding</w:t>
      </w:r>
    </w:p>
    <w:p>
      <w:r>
        <w:t>Categorical variables will be standardized before encoding. Nominal variables such as Gender, Residence Area, Social Media Platform and peak-use period can be one-hot encoded using pandas.get_dummies() for modelling. Binary Yes/No variables can be mapped to 1/0 after spelling inconsistencies are corrected. Ordinal education levels should only be numerically ranked if the analysis explicitly requires an ordered scale; otherwise one-hot encoding avoids imposing an unsupported order.</w:t>
      </w:r>
    </w:p>
    <w:p>
      <w:pPr>
        <w:pStyle w:val="Heading2"/>
      </w:pPr>
      <w:r>
        <w:t>6.6 Normalization / scaling</w:t>
      </w:r>
    </w:p>
    <w:p>
      <w:r>
        <w:t>For descriptive analysis, interpretable original units (hours, percentage, GPA) will be retained. If a later predictive model combines variables with different scales, standardization can be applied to numerical predictors using z-scores, or Min-Max scaling can be used when a 0–1 range is required. The target GPA should not be normalized merely to make the dataset look cleaner.</w:t>
      </w:r>
    </w:p>
    <w:p>
      <w:pPr>
        <w:pStyle w:val="Heading1"/>
      </w:pPr>
      <w:r>
        <w:t>7. Before-and-After Transformation Snapshots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Field</w:t>
            </w:r>
          </w:p>
        </w:tc>
        <w:tc>
          <w:tcPr>
            <w:tcW w:type="dxa" w:w="2556"/>
            <w:vAlign w:val="center"/>
            <w:shd w:fill="D9EAF7"/>
          </w:tcPr>
          <w:p>
            <w:r/>
            <w:r>
              <w:rPr>
                <w:b/>
                <w:sz w:val="18"/>
              </w:rPr>
              <w:t>Before</w:t>
            </w:r>
          </w:p>
        </w:tc>
        <w:tc>
          <w:tcPr>
            <w:tcW w:type="dxa" w:w="2556"/>
            <w:vAlign w:val="center"/>
            <w:shd w:fill="D9EAF7"/>
          </w:tcPr>
          <w:p>
            <w:r/>
            <w:r>
              <w:rPr>
                <w:b/>
                <w:sz w:val="18"/>
              </w:rPr>
              <w:t>After</w:t>
            </w:r>
          </w:p>
        </w:tc>
        <w:tc>
          <w:tcPr>
            <w:tcW w:type="dxa" w:w="2556"/>
            <w:vAlign w:val="center"/>
            <w:shd w:fill="D9EAF7"/>
          </w:tcPr>
          <w:p>
            <w:r/>
            <w:r>
              <w:rPr>
                <w:b/>
                <w:sz w:val="18"/>
              </w:rPr>
              <w:t>Rule</w:t>
            </w:r>
          </w:p>
        </w:tc>
      </w:tr>
      <w:tr>
        <w:tc>
          <w:tcPr>
            <w:tcW w:type="dxa" w:w="2556"/>
            <w:vAlign w:val="center"/>
          </w:tcPr>
          <w:p>
            <w:r/>
            <w:r>
              <w:rPr>
                <w:b w:val="0"/>
                <w:sz w:val="18"/>
              </w:rPr>
              <w:t>Age</w:t>
            </w:r>
          </w:p>
        </w:tc>
        <w:tc>
          <w:tcPr>
            <w:tcW w:type="dxa" w:w="2556"/>
            <w:vAlign w:val="center"/>
          </w:tcPr>
          <w:p>
            <w:r/>
            <w:r>
              <w:rPr>
                <w:b w:val="0"/>
                <w:sz w:val="18"/>
              </w:rPr>
              <w:t>19 years</w:t>
            </w:r>
          </w:p>
        </w:tc>
        <w:tc>
          <w:tcPr>
            <w:tcW w:type="dxa" w:w="2556"/>
            <w:vAlign w:val="center"/>
          </w:tcPr>
          <w:p>
            <w:r/>
            <w:r>
              <w:rPr>
                <w:b w:val="0"/>
                <w:sz w:val="18"/>
              </w:rPr>
              <w:t>19</w:t>
            </w:r>
          </w:p>
        </w:tc>
        <w:tc>
          <w:tcPr>
            <w:tcW w:type="dxa" w:w="2556"/>
            <w:vAlign w:val="center"/>
          </w:tcPr>
          <w:p>
            <w:r/>
            <w:r>
              <w:rPr>
                <w:b w:val="0"/>
                <w:sz w:val="18"/>
              </w:rPr>
              <w:t>Extract numeric age</w:t>
            </w:r>
          </w:p>
        </w:tc>
      </w:tr>
      <w:tr>
        <w:tc>
          <w:tcPr>
            <w:tcW w:type="dxa" w:w="2556"/>
            <w:vAlign w:val="center"/>
          </w:tcPr>
          <w:p>
            <w:r/>
            <w:r>
              <w:rPr>
                <w:b w:val="0"/>
                <w:sz w:val="18"/>
              </w:rPr>
              <w:t>Study time</w:t>
            </w:r>
          </w:p>
        </w:tc>
        <w:tc>
          <w:tcPr>
            <w:tcW w:type="dxa" w:w="2556"/>
            <w:vAlign w:val="center"/>
          </w:tcPr>
          <w:p>
            <w:r/>
            <w:r>
              <w:rPr>
                <w:b w:val="0"/>
                <w:sz w:val="18"/>
              </w:rPr>
              <w:t>6-7 hour</w:t>
            </w:r>
          </w:p>
        </w:tc>
        <w:tc>
          <w:tcPr>
            <w:tcW w:type="dxa" w:w="2556"/>
            <w:vAlign w:val="center"/>
          </w:tcPr>
          <w:p>
            <w:r/>
            <w:r>
              <w:rPr>
                <w:b w:val="0"/>
                <w:sz w:val="18"/>
              </w:rPr>
              <w:t>6.5</w:t>
            </w:r>
          </w:p>
        </w:tc>
        <w:tc>
          <w:tcPr>
            <w:tcW w:type="dxa" w:w="2556"/>
            <w:vAlign w:val="center"/>
          </w:tcPr>
          <w:p>
            <w:r/>
            <w:r>
              <w:rPr>
                <w:b w:val="0"/>
                <w:sz w:val="18"/>
              </w:rPr>
              <w:t>Range converted to midpoint</w:t>
            </w:r>
          </w:p>
        </w:tc>
      </w:tr>
      <w:tr>
        <w:tc>
          <w:tcPr>
            <w:tcW w:type="dxa" w:w="2556"/>
            <w:vAlign w:val="center"/>
          </w:tcPr>
          <w:p>
            <w:r/>
            <w:r>
              <w:rPr>
                <w:b w:val="0"/>
                <w:sz w:val="18"/>
              </w:rPr>
              <w:t>Study time</w:t>
            </w:r>
          </w:p>
        </w:tc>
        <w:tc>
          <w:tcPr>
            <w:tcW w:type="dxa" w:w="2556"/>
            <w:vAlign w:val="center"/>
          </w:tcPr>
          <w:p>
            <w:r/>
            <w:r>
              <w:rPr>
                <w:b w:val="0"/>
                <w:sz w:val="18"/>
              </w:rPr>
              <w:t>40-50 mins</w:t>
            </w:r>
          </w:p>
        </w:tc>
        <w:tc>
          <w:tcPr>
            <w:tcW w:type="dxa" w:w="2556"/>
            <w:vAlign w:val="center"/>
          </w:tcPr>
          <w:p>
            <w:r/>
            <w:r>
              <w:rPr>
                <w:b w:val="0"/>
                <w:sz w:val="18"/>
              </w:rPr>
              <w:t>0.75</w:t>
            </w:r>
          </w:p>
        </w:tc>
        <w:tc>
          <w:tcPr>
            <w:tcW w:type="dxa" w:w="2556"/>
            <w:vAlign w:val="center"/>
          </w:tcPr>
          <w:p>
            <w:r/>
            <w:r>
              <w:rPr>
                <w:b w:val="0"/>
                <w:sz w:val="18"/>
              </w:rPr>
              <w:t>Minutes converted to hours</w:t>
            </w:r>
          </w:p>
        </w:tc>
      </w:tr>
      <w:tr>
        <w:tc>
          <w:tcPr>
            <w:tcW w:type="dxa" w:w="2556"/>
            <w:vAlign w:val="center"/>
          </w:tcPr>
          <w:p>
            <w:r/>
            <w:r>
              <w:rPr>
                <w:b w:val="0"/>
                <w:sz w:val="18"/>
              </w:rPr>
              <w:t>Attendance</w:t>
            </w:r>
          </w:p>
        </w:tc>
        <w:tc>
          <w:tcPr>
            <w:tcW w:type="dxa" w:w="2556"/>
            <w:vAlign w:val="center"/>
          </w:tcPr>
          <w:p>
            <w:r/>
            <w:r>
              <w:rPr>
                <w:b w:val="0"/>
                <w:sz w:val="18"/>
              </w:rPr>
              <w:t>70-80%</w:t>
            </w:r>
          </w:p>
        </w:tc>
        <w:tc>
          <w:tcPr>
            <w:tcW w:type="dxa" w:w="2556"/>
            <w:vAlign w:val="center"/>
          </w:tcPr>
          <w:p>
            <w:r/>
            <w:r>
              <w:rPr>
                <w:b w:val="0"/>
                <w:sz w:val="18"/>
              </w:rPr>
              <w:t>75</w:t>
            </w:r>
          </w:p>
        </w:tc>
        <w:tc>
          <w:tcPr>
            <w:tcW w:type="dxa" w:w="2556"/>
            <w:vAlign w:val="center"/>
          </w:tcPr>
          <w:p>
            <w:r/>
            <w:r>
              <w:rPr>
                <w:b w:val="0"/>
                <w:sz w:val="18"/>
              </w:rPr>
              <w:t>Range converted to midpoint; percent sign removed</w:t>
            </w:r>
          </w:p>
        </w:tc>
      </w:tr>
      <w:tr>
        <w:tc>
          <w:tcPr>
            <w:tcW w:type="dxa" w:w="2556"/>
            <w:vAlign w:val="center"/>
          </w:tcPr>
          <w:p>
            <w:r/>
            <w:r>
              <w:rPr>
                <w:b w:val="0"/>
                <w:sz w:val="18"/>
              </w:rPr>
              <w:t>Social-media time</w:t>
            </w:r>
          </w:p>
        </w:tc>
        <w:tc>
          <w:tcPr>
            <w:tcW w:type="dxa" w:w="2556"/>
            <w:vAlign w:val="center"/>
          </w:tcPr>
          <w:p>
            <w:r/>
            <w:r>
              <w:rPr>
                <w:b w:val="0"/>
                <w:sz w:val="18"/>
              </w:rPr>
              <w:t>3-4 hours</w:t>
            </w:r>
          </w:p>
        </w:tc>
        <w:tc>
          <w:tcPr>
            <w:tcW w:type="dxa" w:w="2556"/>
            <w:vAlign w:val="center"/>
          </w:tcPr>
          <w:p>
            <w:r/>
            <w:r>
              <w:rPr>
                <w:b w:val="0"/>
                <w:sz w:val="18"/>
              </w:rPr>
              <w:t>3.5</w:t>
            </w:r>
          </w:p>
        </w:tc>
        <w:tc>
          <w:tcPr>
            <w:tcW w:type="dxa" w:w="2556"/>
            <w:vAlign w:val="center"/>
          </w:tcPr>
          <w:p>
            <w:r/>
            <w:r>
              <w:rPr>
                <w:b w:val="0"/>
                <w:sz w:val="18"/>
              </w:rPr>
              <w:t>Range converted to midpoint</w:t>
            </w:r>
          </w:p>
        </w:tc>
      </w:tr>
      <w:tr>
        <w:tc>
          <w:tcPr>
            <w:tcW w:type="dxa" w:w="2556"/>
            <w:vAlign w:val="center"/>
          </w:tcPr>
          <w:p>
            <w:r/>
            <w:r>
              <w:rPr>
                <w:b w:val="0"/>
                <w:sz w:val="18"/>
              </w:rPr>
              <w:t>Social-media time</w:t>
            </w:r>
          </w:p>
        </w:tc>
        <w:tc>
          <w:tcPr>
            <w:tcW w:type="dxa" w:w="2556"/>
            <w:vAlign w:val="center"/>
          </w:tcPr>
          <w:p>
            <w:r/>
            <w:r>
              <w:rPr>
                <w:b w:val="0"/>
                <w:sz w:val="18"/>
              </w:rPr>
              <w:t>30 mins</w:t>
            </w:r>
          </w:p>
        </w:tc>
        <w:tc>
          <w:tcPr>
            <w:tcW w:type="dxa" w:w="2556"/>
            <w:vAlign w:val="center"/>
          </w:tcPr>
          <w:p>
            <w:r/>
            <w:r>
              <w:rPr>
                <w:b w:val="0"/>
                <w:sz w:val="18"/>
              </w:rPr>
              <w:t>0.50</w:t>
            </w:r>
          </w:p>
        </w:tc>
        <w:tc>
          <w:tcPr>
            <w:tcW w:type="dxa" w:w="2556"/>
            <w:vAlign w:val="center"/>
          </w:tcPr>
          <w:p>
            <w:r/>
            <w:r>
              <w:rPr>
                <w:b w:val="0"/>
                <w:sz w:val="18"/>
              </w:rPr>
              <w:t>Minutes converted to hours</w:t>
            </w:r>
          </w:p>
        </w:tc>
      </w:tr>
      <w:tr>
        <w:tc>
          <w:tcPr>
            <w:tcW w:type="dxa" w:w="2556"/>
            <w:vAlign w:val="center"/>
          </w:tcPr>
          <w:p>
            <w:r/>
            <w:r>
              <w:rPr>
                <w:b w:val="0"/>
                <w:sz w:val="18"/>
              </w:rPr>
              <w:t>GPA</w:t>
            </w:r>
          </w:p>
        </w:tc>
        <w:tc>
          <w:tcPr>
            <w:tcW w:type="dxa" w:w="2556"/>
            <w:vAlign w:val="center"/>
          </w:tcPr>
          <w:p>
            <w:r/>
            <w:r>
              <w:rPr>
                <w:b w:val="0"/>
                <w:sz w:val="18"/>
              </w:rPr>
              <w:t>GPA 5.00</w:t>
            </w:r>
          </w:p>
        </w:tc>
        <w:tc>
          <w:tcPr>
            <w:tcW w:type="dxa" w:w="2556"/>
            <w:vAlign w:val="center"/>
          </w:tcPr>
          <w:p>
            <w:r/>
            <w:r>
              <w:rPr>
                <w:b w:val="0"/>
                <w:sz w:val="18"/>
              </w:rPr>
              <w:t>5.00</w:t>
            </w:r>
          </w:p>
        </w:tc>
        <w:tc>
          <w:tcPr>
            <w:tcW w:type="dxa" w:w="2556"/>
            <w:vAlign w:val="center"/>
          </w:tcPr>
          <w:p>
            <w:r/>
            <w:r>
              <w:rPr>
                <w:b w:val="0"/>
                <w:sz w:val="18"/>
              </w:rPr>
              <w:t>Text label removed</w:t>
            </w:r>
          </w:p>
        </w:tc>
      </w:tr>
      <w:tr>
        <w:tc>
          <w:tcPr>
            <w:tcW w:type="dxa" w:w="2556"/>
            <w:vAlign w:val="center"/>
          </w:tcPr>
          <w:p>
            <w:r/>
            <w:r>
              <w:rPr>
                <w:b w:val="0"/>
                <w:sz w:val="18"/>
              </w:rPr>
              <w:t>GPA</w:t>
            </w:r>
          </w:p>
        </w:tc>
        <w:tc>
          <w:tcPr>
            <w:tcW w:type="dxa" w:w="2556"/>
            <w:vAlign w:val="center"/>
          </w:tcPr>
          <w:p>
            <w:r/>
            <w:r>
              <w:rPr>
                <w:b w:val="0"/>
                <w:sz w:val="18"/>
              </w:rPr>
              <w:t>Hsc 2021 4.58 science</w:t>
            </w:r>
          </w:p>
        </w:tc>
        <w:tc>
          <w:tcPr>
            <w:tcW w:type="dxa" w:w="2556"/>
            <w:vAlign w:val="center"/>
          </w:tcPr>
          <w:p>
            <w:r/>
            <w:r>
              <w:rPr>
                <w:b w:val="0"/>
                <w:sz w:val="18"/>
              </w:rPr>
              <w:t>4.58</w:t>
            </w:r>
          </w:p>
        </w:tc>
        <w:tc>
          <w:tcPr>
            <w:tcW w:type="dxa" w:w="2556"/>
            <w:vAlign w:val="center"/>
          </w:tcPr>
          <w:p>
            <w:r/>
            <w:r>
              <w:rPr>
                <w:b w:val="0"/>
                <w:sz w:val="18"/>
              </w:rPr>
              <w:t>Plausible GPA extracted; year ignored</w:t>
            </w:r>
          </w:p>
        </w:tc>
      </w:tr>
      <w:tr>
        <w:tc>
          <w:tcPr>
            <w:tcW w:type="dxa" w:w="2556"/>
            <w:vAlign w:val="center"/>
          </w:tcPr>
          <w:p>
            <w:r/>
            <w:r>
              <w:rPr>
                <w:b w:val="0"/>
                <w:sz w:val="18"/>
              </w:rPr>
              <w:t>GPA</w:t>
            </w:r>
          </w:p>
        </w:tc>
        <w:tc>
          <w:tcPr>
            <w:tcW w:type="dxa" w:w="2556"/>
            <w:vAlign w:val="center"/>
          </w:tcPr>
          <w:p>
            <w:r/>
            <w:r>
              <w:rPr>
                <w:b w:val="0"/>
                <w:sz w:val="18"/>
              </w:rPr>
              <w:t>A-</w:t>
            </w:r>
          </w:p>
        </w:tc>
        <w:tc>
          <w:tcPr>
            <w:tcW w:type="dxa" w:w="2556"/>
            <w:vAlign w:val="center"/>
          </w:tcPr>
          <w:p>
            <w:r/>
            <w:r>
              <w:rPr>
                <w:b w:val="0"/>
                <w:sz w:val="18"/>
              </w:rPr>
              <w:t>Missing</w:t>
            </w:r>
          </w:p>
        </w:tc>
        <w:tc>
          <w:tcPr>
            <w:tcW w:type="dxa" w:w="2556"/>
            <w:vAlign w:val="center"/>
          </w:tcPr>
          <w:p>
            <w:r/>
            <w:r>
              <w:rPr>
                <w:b w:val="0"/>
                <w:sz w:val="18"/>
              </w:rPr>
              <w:t>No verified GPA conversion rule; not guessed</w:t>
            </w:r>
          </w:p>
        </w:tc>
      </w:tr>
    </w:tbl>
    <w:p>
      <w:pPr>
        <w:pStyle w:val="Heading1"/>
      </w:pPr>
      <w:r>
        <w:t>8. Reproducible Python / Pandas Workflow</w:t>
      </w:r>
    </w:p>
    <w:p>
      <w:r>
        <w:rPr>
          <w:rFonts w:ascii="Consolas" w:hAnsi="Consolas"/>
          <w:sz w:val="17"/>
        </w:rPr>
        <w:t>import pandas as pd</w:t>
        <w:br/>
        <w:t>import numpy as np</w:t>
        <w:br/>
        <w:t>import re</w:t>
        <w:br/>
        <w:br/>
        <w:t>df = pd.read_csv("Student Social Media, Academic Performance.csv")</w:t>
        <w:br/>
        <w:br/>
        <w:t># 1. Profile</w:t>
        <w:br/>
        <w:t>print(df.shape)</w:t>
        <w:br/>
        <w:t>print(df.isna().sum())</w:t>
        <w:br/>
        <w:t>print("Duplicates:", df.duplicated().sum())</w:t>
        <w:br/>
        <w:br/>
        <w:t># 2. Remove completely empty columns after documenting them</w:t>
        <w:br/>
        <w:t>df = df.dropna(axis=1, how="all")</w:t>
        <w:br/>
        <w:br/>
        <w:t># 3. Convert timestamp</w:t>
        <w:br/>
        <w:t>df["Timestamp"] = pd.to_datetime(</w:t>
        <w:br/>
        <w:t xml:space="preserve">    df["Timestamp"], dayfirst=True, errors="coerce"</w:t>
        <w:br/>
        <w:t>)</w:t>
        <w:br/>
        <w:br/>
        <w:t># 4. Create standardized numeric columns</w:t>
        <w:br/>
        <w:t># Apply project-specific parsing functions for age, hours,</w:t>
        <w:br/>
        <w:t># attendance and GPA; keep raw columns for traceability.</w:t>
        <w:br/>
        <w:br/>
        <w:t># 5. Categorical standardization</w:t>
        <w:br/>
        <w:t>df["Gender"] = df["Gender"].astype("string").str.strip().str.title()</w:t>
        <w:br/>
        <w:br/>
        <w:t># 6. Encoding when modelling</w:t>
        <w:br/>
        <w:t>encoded = pd.get_dummies(</w:t>
        <w:br/>
        <w:t xml:space="preserve">    df, columns=["Gender", "Residence Area  ", "Social Media Platform"],</w:t>
        <w:br/>
        <w:t xml:space="preserve">    drop_first=False</w:t>
        <w:br/>
        <w:t>)</w:t>
        <w:br/>
        <w:br/>
        <w:t># 7. Final validation</w:t>
        <w:br/>
        <w:t>print(df.info())</w:t>
        <w:br/>
        <w:t>print(df.isna().sum())</w:t>
        <w:br/>
        <w:t>print(df.duplicated().sum())</w:t>
        <w:br/>
      </w:r>
    </w:p>
    <w:p>
      <w:pPr>
        <w:pStyle w:val="Heading1"/>
      </w:pPr>
      <w:r>
        <w:t>9. Data Quality Challenges and Solutions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Challenge</w:t>
            </w:r>
          </w:p>
        </w:tc>
        <w:tc>
          <w:tcPr>
            <w:tcW w:type="dxa" w:w="3408"/>
            <w:vAlign w:val="center"/>
            <w:shd w:fill="D9EAF7"/>
          </w:tcPr>
          <w:p>
            <w:r/>
            <w:r>
              <w:rPr>
                <w:b/>
                <w:sz w:val="18"/>
              </w:rPr>
              <w:t>Evidence in this dataset</w:t>
            </w:r>
          </w:p>
        </w:tc>
        <w:tc>
          <w:tcPr>
            <w:tcW w:type="dxa" w:w="3408"/>
            <w:vAlign w:val="center"/>
            <w:shd w:fill="D9EAF7"/>
          </w:tcPr>
          <w:p>
            <w:r/>
            <w:r>
              <w:rPr>
                <w:b/>
                <w:sz w:val="18"/>
              </w:rPr>
              <w:t>Proposed solution</w:t>
            </w:r>
          </w:p>
        </w:tc>
      </w:tr>
      <w:tr>
        <w:tc>
          <w:tcPr>
            <w:tcW w:type="dxa" w:w="3408"/>
            <w:vAlign w:val="center"/>
          </w:tcPr>
          <w:p>
            <w:r/>
            <w:r>
              <w:rPr>
                <w:b w:val="0"/>
                <w:sz w:val="18"/>
              </w:rPr>
              <w:t>Empty field</w:t>
            </w:r>
          </w:p>
        </w:tc>
        <w:tc>
          <w:tcPr>
            <w:tcW w:type="dxa" w:w="3408"/>
            <w:vAlign w:val="center"/>
          </w:tcPr>
          <w:p>
            <w:r/>
            <w:r>
              <w:rPr>
                <w:b w:val="0"/>
                <w:sz w:val="18"/>
              </w:rPr>
              <w:t>Column 19 is 100% missing</w:t>
            </w:r>
          </w:p>
        </w:tc>
        <w:tc>
          <w:tcPr>
            <w:tcW w:type="dxa" w:w="3408"/>
            <w:vAlign w:val="center"/>
          </w:tcPr>
          <w:p>
            <w:r/>
            <w:r>
              <w:rPr>
                <w:b w:val="0"/>
                <w:sz w:val="18"/>
              </w:rPr>
              <w:t>Drop after documenting the finding</w:t>
            </w:r>
          </w:p>
        </w:tc>
      </w:tr>
      <w:tr>
        <w:tc>
          <w:tcPr>
            <w:tcW w:type="dxa" w:w="3408"/>
            <w:vAlign w:val="center"/>
          </w:tcPr>
          <w:p>
            <w:r/>
            <w:r>
              <w:rPr>
                <w:b w:val="0"/>
                <w:sz w:val="18"/>
              </w:rPr>
              <w:t>Mixed units</w:t>
            </w:r>
          </w:p>
        </w:tc>
        <w:tc>
          <w:tcPr>
            <w:tcW w:type="dxa" w:w="3408"/>
            <w:vAlign w:val="center"/>
          </w:tcPr>
          <w:p>
            <w:r/>
            <w:r>
              <w:rPr>
                <w:b w:val="0"/>
                <w:sz w:val="18"/>
              </w:rPr>
              <w:t>Hours, 'hours', hrs, minutes</w:t>
            </w:r>
          </w:p>
        </w:tc>
        <w:tc>
          <w:tcPr>
            <w:tcW w:type="dxa" w:w="3408"/>
            <w:vAlign w:val="center"/>
          </w:tcPr>
          <w:p>
            <w:r/>
            <w:r>
              <w:rPr>
                <w:b w:val="0"/>
                <w:sz w:val="18"/>
              </w:rPr>
              <w:t>Convert to a single unit: hours</w:t>
            </w:r>
          </w:p>
        </w:tc>
      </w:tr>
      <w:tr>
        <w:tc>
          <w:tcPr>
            <w:tcW w:type="dxa" w:w="3408"/>
            <w:vAlign w:val="center"/>
          </w:tcPr>
          <w:p>
            <w:r/>
            <w:r>
              <w:rPr>
                <w:b w:val="0"/>
                <w:sz w:val="18"/>
              </w:rPr>
              <w:t>Ranges</w:t>
            </w:r>
          </w:p>
        </w:tc>
        <w:tc>
          <w:tcPr>
            <w:tcW w:type="dxa" w:w="3408"/>
            <w:vAlign w:val="center"/>
          </w:tcPr>
          <w:p>
            <w:r/>
            <w:r>
              <w:rPr>
                <w:b w:val="0"/>
                <w:sz w:val="18"/>
              </w:rPr>
              <w:t>2–3 hours, 70–80%</w:t>
            </w:r>
          </w:p>
        </w:tc>
        <w:tc>
          <w:tcPr>
            <w:tcW w:type="dxa" w:w="3408"/>
            <w:vAlign w:val="center"/>
          </w:tcPr>
          <w:p>
            <w:r/>
            <w:r>
              <w:rPr>
                <w:b w:val="0"/>
                <w:sz w:val="18"/>
              </w:rPr>
              <w:t>Use midpoint only for analysis where justified; retain raw response</w:t>
            </w:r>
          </w:p>
        </w:tc>
      </w:tr>
      <w:tr>
        <w:tc>
          <w:tcPr>
            <w:tcW w:type="dxa" w:w="3408"/>
            <w:vAlign w:val="center"/>
          </w:tcPr>
          <w:p>
            <w:r/>
            <w:r>
              <w:rPr>
                <w:b w:val="0"/>
                <w:sz w:val="18"/>
              </w:rPr>
              <w:t>Excel/date-like strings</w:t>
            </w:r>
          </w:p>
        </w:tc>
        <w:tc>
          <w:tcPr>
            <w:tcW w:type="dxa" w:w="3408"/>
            <w:vAlign w:val="center"/>
          </w:tcPr>
          <w:p>
            <w:r/>
            <w:r>
              <w:rPr>
                <w:b w:val="0"/>
                <w:sz w:val="18"/>
              </w:rPr>
              <w:t>03-Apr, 04-May</w:t>
            </w:r>
          </w:p>
        </w:tc>
        <w:tc>
          <w:tcPr>
            <w:tcW w:type="dxa" w:w="3408"/>
            <w:vAlign w:val="center"/>
          </w:tcPr>
          <w:p>
            <w:r/>
            <w:r>
              <w:rPr>
                <w:b w:val="0"/>
                <w:sz w:val="18"/>
              </w:rPr>
              <w:t>Interpret only when context clearly indicates a range; otherwise flag</w:t>
            </w:r>
          </w:p>
        </w:tc>
      </w:tr>
      <w:tr>
        <w:tc>
          <w:tcPr>
            <w:tcW w:type="dxa" w:w="3408"/>
            <w:vAlign w:val="center"/>
          </w:tcPr>
          <w:p>
            <w:r/>
            <w:r>
              <w:rPr>
                <w:b w:val="0"/>
                <w:sz w:val="18"/>
              </w:rPr>
              <w:t>Invalid age entries</w:t>
            </w:r>
          </w:p>
        </w:tc>
        <w:tc>
          <w:tcPr>
            <w:tcW w:type="dxa" w:w="3408"/>
            <w:vAlign w:val="center"/>
          </w:tcPr>
          <w:p>
            <w:r/>
            <w:r>
              <w:rPr>
                <w:b w:val="0"/>
                <w:sz w:val="18"/>
              </w:rPr>
              <w:t>Examples include 2002 and 210</w:t>
            </w:r>
          </w:p>
        </w:tc>
        <w:tc>
          <w:tcPr>
            <w:tcW w:type="dxa" w:w="3408"/>
            <w:vAlign w:val="center"/>
          </w:tcPr>
          <w:p>
            <w:r/>
            <w:r>
              <w:rPr>
                <w:b w:val="0"/>
                <w:sz w:val="18"/>
              </w:rPr>
              <w:t>Domain validation; do not blindly convert</w:t>
            </w:r>
          </w:p>
        </w:tc>
      </w:tr>
      <w:tr>
        <w:tc>
          <w:tcPr>
            <w:tcW w:type="dxa" w:w="3408"/>
            <w:vAlign w:val="center"/>
          </w:tcPr>
          <w:p>
            <w:r/>
            <w:r>
              <w:rPr>
                <w:b w:val="0"/>
                <w:sz w:val="18"/>
              </w:rPr>
              <w:t>Mixed GPA formats</w:t>
            </w:r>
          </w:p>
        </w:tc>
        <w:tc>
          <w:tcPr>
            <w:tcW w:type="dxa" w:w="3408"/>
            <w:vAlign w:val="center"/>
          </w:tcPr>
          <w:p>
            <w:r/>
            <w:r>
              <w:rPr>
                <w:b w:val="0"/>
                <w:sz w:val="18"/>
              </w:rPr>
              <w:t>Numeric GPA, GPA labels, grades, pending text</w:t>
            </w:r>
          </w:p>
        </w:tc>
        <w:tc>
          <w:tcPr>
            <w:tcW w:type="dxa" w:w="3408"/>
            <w:vAlign w:val="center"/>
          </w:tcPr>
          <w:p>
            <w:r/>
            <w:r>
              <w:rPr>
                <w:b w:val="0"/>
                <w:sz w:val="18"/>
              </w:rPr>
              <w:t>Extract defensible numeric GPA; leave unresolved grades missing</w:t>
            </w:r>
          </w:p>
        </w:tc>
      </w:tr>
      <w:tr>
        <w:tc>
          <w:tcPr>
            <w:tcW w:type="dxa" w:w="3408"/>
            <w:vAlign w:val="center"/>
          </w:tcPr>
          <w:p>
            <w:r/>
            <w:r>
              <w:rPr>
                <w:b w:val="0"/>
                <w:sz w:val="18"/>
              </w:rPr>
              <w:t>Outliers</w:t>
            </w:r>
          </w:p>
        </w:tc>
        <w:tc>
          <w:tcPr>
            <w:tcW w:type="dxa" w:w="3408"/>
            <w:vAlign w:val="center"/>
          </w:tcPr>
          <w:p>
            <w:r/>
            <w:r>
              <w:rPr>
                <w:b w:val="0"/>
                <w:sz w:val="18"/>
              </w:rPr>
              <w:t>Very high study/social-media times</w:t>
            </w:r>
          </w:p>
        </w:tc>
        <w:tc>
          <w:tcPr>
            <w:tcW w:type="dxa" w:w="3408"/>
            <w:vAlign w:val="center"/>
          </w:tcPr>
          <w:p>
            <w:r/>
            <w:r>
              <w:rPr>
                <w:b w:val="0"/>
                <w:sz w:val="18"/>
              </w:rPr>
              <w:t>Use domain rules + IQR; review before removal</w:t>
            </w:r>
          </w:p>
        </w:tc>
      </w:tr>
      <w:tr>
        <w:tc>
          <w:tcPr>
            <w:tcW w:type="dxa" w:w="3408"/>
            <w:vAlign w:val="center"/>
          </w:tcPr>
          <w:p>
            <w:r/>
            <w:r>
              <w:rPr>
                <w:b w:val="0"/>
                <w:sz w:val="18"/>
              </w:rPr>
              <w:t>Categorical inconsistencies</w:t>
            </w:r>
          </w:p>
        </w:tc>
        <w:tc>
          <w:tcPr>
            <w:tcW w:type="dxa" w:w="3408"/>
            <w:vAlign w:val="center"/>
          </w:tcPr>
          <w:p>
            <w:r/>
            <w:r>
              <w:rPr>
                <w:b w:val="0"/>
                <w:sz w:val="18"/>
              </w:rPr>
              <w:t>Spacing/capitalization/typos can occur</w:t>
            </w:r>
          </w:p>
        </w:tc>
        <w:tc>
          <w:tcPr>
            <w:tcW w:type="dxa" w:w="3408"/>
            <w:vAlign w:val="center"/>
          </w:tcPr>
          <w:p>
            <w:r/>
            <w:r>
              <w:rPr>
                <w:b w:val="0"/>
                <w:sz w:val="18"/>
              </w:rPr>
              <w:t>Strip whitespace, standardize case, inspect unique values</w:t>
            </w:r>
          </w:p>
        </w:tc>
      </w:tr>
      <w:tr>
        <w:tc>
          <w:tcPr>
            <w:tcW w:type="dxa" w:w="3408"/>
            <w:vAlign w:val="center"/>
          </w:tcPr>
          <w:p>
            <w:r/>
            <w:r>
              <w:rPr>
                <w:b w:val="0"/>
                <w:sz w:val="18"/>
              </w:rPr>
              <w:t>Scale ambiguity</w:t>
            </w:r>
          </w:p>
        </w:tc>
        <w:tc>
          <w:tcPr>
            <w:tcW w:type="dxa" w:w="3408"/>
            <w:vAlign w:val="center"/>
          </w:tcPr>
          <w:p>
            <w:r/>
            <w:r>
              <w:rPr>
                <w:b w:val="0"/>
                <w:sz w:val="18"/>
              </w:rPr>
              <w:t>GPA/CGPA can use different institutional scales</w:t>
            </w:r>
          </w:p>
        </w:tc>
        <w:tc>
          <w:tcPr>
            <w:tcW w:type="dxa" w:w="3408"/>
            <w:vAlign w:val="center"/>
          </w:tcPr>
          <w:p>
            <w:r/>
            <w:r>
              <w:rPr>
                <w:b w:val="0"/>
                <w:sz w:val="18"/>
              </w:rPr>
              <w:t>Document scale assumptions and avoid unsupported grade conversion</w:t>
            </w:r>
          </w:p>
        </w:tc>
      </w:tr>
      <w:tr>
        <w:tc>
          <w:tcPr>
            <w:tcW w:type="dxa" w:w="3408"/>
            <w:vAlign w:val="center"/>
          </w:tcPr>
          <w:p>
            <w:r/>
            <w:r>
              <w:rPr>
                <w:b w:val="0"/>
                <w:sz w:val="18"/>
              </w:rPr>
              <w:t>Sensitive variables</w:t>
            </w:r>
          </w:p>
        </w:tc>
        <w:tc>
          <w:tcPr>
            <w:tcW w:type="dxa" w:w="3408"/>
            <w:vAlign w:val="center"/>
          </w:tcPr>
          <w:p>
            <w:r/>
            <w:r>
              <w:rPr>
                <w:b w:val="0"/>
                <w:sz w:val="18"/>
              </w:rPr>
              <w:t>Anxiety, depression, self-esteem</w:t>
            </w:r>
          </w:p>
        </w:tc>
        <w:tc>
          <w:tcPr>
            <w:tcW w:type="dxa" w:w="3408"/>
            <w:vAlign w:val="center"/>
          </w:tcPr>
          <w:p>
            <w:r/>
            <w:r>
              <w:rPr>
                <w:b w:val="0"/>
                <w:sz w:val="18"/>
              </w:rPr>
              <w:t>Aggregate reporting; avoid identifying or profiling individuals</w:t>
            </w:r>
          </w:p>
        </w:tc>
      </w:tr>
    </w:tbl>
    <w:p>
      <w:pPr>
        <w:pStyle w:val="Heading1"/>
      </w:pPr>
      <w:r>
        <w:t>10. Validation After Cleaning</w:t>
      </w:r>
    </w:p>
    <w:p>
      <w:pPr>
        <w:pStyle w:val="ListNumber"/>
      </w:pPr>
      <w:r>
        <w:t>Recalculate row and column counts and confirm no unexpected record loss.</w:t>
      </w:r>
    </w:p>
    <w:p>
      <w:pPr>
        <w:pStyle w:val="ListNumber"/>
      </w:pPr>
      <w:r>
        <w:t>Check missing-value counts for every cleaned field.</w:t>
      </w:r>
    </w:p>
    <w:p>
      <w:pPr>
        <w:pStyle w:val="ListNumber"/>
      </w:pPr>
      <w:r>
        <w:t>Check duplicate rows again.</w:t>
      </w:r>
    </w:p>
    <w:p>
      <w:pPr>
        <w:pStyle w:val="ListNumber"/>
      </w:pPr>
      <w:r>
        <w:t>Check numeric ranges against domain rules.</w:t>
      </w:r>
    </w:p>
    <w:p>
      <w:pPr>
        <w:pStyle w:val="ListNumber"/>
      </w:pPr>
      <w:r>
        <w:t>Review unique categories after standardization.</w:t>
      </w:r>
    </w:p>
    <w:p>
      <w:pPr>
        <w:pStyle w:val="ListNumber"/>
      </w:pPr>
      <w:r>
        <w:t>Compare summary statistics before and after cleaning to identify unintended changes.</w:t>
      </w:r>
    </w:p>
    <w:p>
      <w:pPr>
        <w:pStyle w:val="ListNumber"/>
      </w:pPr>
      <w:r>
        <w:t>Keep a transformation log describing each rule, number of affected records, and reason.</w:t>
      </w:r>
    </w:p>
    <w:p>
      <w:pPr>
        <w:pStyle w:val="Heading1"/>
      </w:pPr>
      <w:r>
        <w:t>11. Planned Work Timeline (32 hours)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Date</w:t>
            </w:r>
          </w:p>
        </w:tc>
        <w:tc>
          <w:tcPr>
            <w:tcW w:type="dxa" w:w="3408"/>
            <w:vAlign w:val="center"/>
            <w:shd w:fill="D9EAF7"/>
          </w:tcPr>
          <w:p>
            <w:r/>
            <w:r>
              <w:rPr>
                <w:b/>
                <w:sz w:val="18"/>
              </w:rPr>
              <w:t>Planned work</w:t>
            </w:r>
          </w:p>
        </w:tc>
        <w:tc>
          <w:tcPr>
            <w:tcW w:type="dxa" w:w="3408"/>
            <w:vAlign w:val="center"/>
            <w:shd w:fill="D9EAF7"/>
          </w:tcPr>
          <w:p>
            <w:r/>
            <w:r>
              <w:rPr>
                <w:b/>
                <w:sz w:val="18"/>
              </w:rPr>
              <w:t>Hours</w:t>
            </w:r>
          </w:p>
        </w:tc>
      </w:tr>
      <w:tr>
        <w:tc>
          <w:tcPr>
            <w:tcW w:type="dxa" w:w="3408"/>
            <w:vAlign w:val="center"/>
          </w:tcPr>
          <w:p>
            <w:r/>
            <w:r>
              <w:rPr>
                <w:b w:val="0"/>
                <w:sz w:val="18"/>
              </w:rPr>
              <w:t>26 Aug 2026</w:t>
            </w:r>
          </w:p>
        </w:tc>
        <w:tc>
          <w:tcPr>
            <w:tcW w:type="dxa" w:w="3408"/>
            <w:vAlign w:val="center"/>
          </w:tcPr>
          <w:p>
            <w:r/>
            <w:r>
              <w:rPr>
                <w:b w:val="0"/>
                <w:sz w:val="18"/>
              </w:rPr>
              <w:t>Dataset acquisition, source verification, licensing/ethical review</w:t>
            </w:r>
          </w:p>
        </w:tc>
        <w:tc>
          <w:tcPr>
            <w:tcW w:type="dxa" w:w="3408"/>
            <w:vAlign w:val="center"/>
          </w:tcPr>
          <w:p>
            <w:r/>
            <w:r>
              <w:rPr>
                <w:b w:val="0"/>
                <w:sz w:val="18"/>
              </w:rPr>
              <w:t>5</w:t>
            </w:r>
          </w:p>
        </w:tc>
      </w:tr>
      <w:tr>
        <w:tc>
          <w:tcPr>
            <w:tcW w:type="dxa" w:w="3408"/>
            <w:vAlign w:val="center"/>
          </w:tcPr>
          <w:p>
            <w:r/>
            <w:r>
              <w:rPr>
                <w:b w:val="0"/>
                <w:sz w:val="18"/>
              </w:rPr>
              <w:t>27 Aug 2026</w:t>
            </w:r>
          </w:p>
        </w:tc>
        <w:tc>
          <w:tcPr>
            <w:tcW w:type="dxa" w:w="3408"/>
            <w:vAlign w:val="center"/>
          </w:tcPr>
          <w:p>
            <w:r/>
            <w:r>
              <w:rPr>
                <w:b w:val="0"/>
                <w:sz w:val="18"/>
              </w:rPr>
              <w:t>Profiling, schema review, missingness and duplicate checks</w:t>
            </w:r>
          </w:p>
        </w:tc>
        <w:tc>
          <w:tcPr>
            <w:tcW w:type="dxa" w:w="3408"/>
            <w:vAlign w:val="center"/>
          </w:tcPr>
          <w:p>
            <w:r/>
            <w:r>
              <w:rPr>
                <w:b w:val="0"/>
                <w:sz w:val="18"/>
              </w:rPr>
              <w:t>7</w:t>
            </w:r>
          </w:p>
        </w:tc>
      </w:tr>
      <w:tr>
        <w:tc>
          <w:tcPr>
            <w:tcW w:type="dxa" w:w="3408"/>
            <w:vAlign w:val="center"/>
          </w:tcPr>
          <w:p>
            <w:r/>
            <w:r>
              <w:rPr>
                <w:b w:val="0"/>
                <w:sz w:val="18"/>
              </w:rPr>
              <w:t>28 Aug 2026</w:t>
            </w:r>
          </w:p>
        </w:tc>
        <w:tc>
          <w:tcPr>
            <w:tcW w:type="dxa" w:w="3408"/>
            <w:vAlign w:val="center"/>
          </w:tcPr>
          <w:p>
            <w:r/>
            <w:r>
              <w:rPr>
                <w:b w:val="0"/>
                <w:sz w:val="18"/>
              </w:rPr>
              <w:t>Cleaning rules, parsing, outlier review and categorical standardization</w:t>
            </w:r>
          </w:p>
        </w:tc>
        <w:tc>
          <w:tcPr>
            <w:tcW w:type="dxa" w:w="3408"/>
            <w:vAlign w:val="center"/>
          </w:tcPr>
          <w:p>
            <w:r/>
            <w:r>
              <w:rPr>
                <w:b w:val="0"/>
                <w:sz w:val="18"/>
              </w:rPr>
              <w:t>9</w:t>
            </w:r>
          </w:p>
        </w:tc>
      </w:tr>
      <w:tr>
        <w:tc>
          <w:tcPr>
            <w:tcW w:type="dxa" w:w="3408"/>
            <w:vAlign w:val="center"/>
          </w:tcPr>
          <w:p>
            <w:r/>
            <w:r>
              <w:rPr>
                <w:b w:val="0"/>
                <w:sz w:val="18"/>
              </w:rPr>
              <w:t>29 Aug 2026</w:t>
            </w:r>
          </w:p>
        </w:tc>
        <w:tc>
          <w:tcPr>
            <w:tcW w:type="dxa" w:w="3408"/>
            <w:vAlign w:val="center"/>
          </w:tcPr>
          <w:p>
            <w:r/>
            <w:r>
              <w:rPr>
                <w:b w:val="0"/>
                <w:sz w:val="18"/>
              </w:rPr>
              <w:t>Validation, before/after evidence, reproducibility checks</w:t>
            </w:r>
          </w:p>
        </w:tc>
        <w:tc>
          <w:tcPr>
            <w:tcW w:type="dxa" w:w="3408"/>
            <w:vAlign w:val="center"/>
          </w:tcPr>
          <w:p>
            <w:r/>
            <w:r>
              <w:rPr>
                <w:b w:val="0"/>
                <w:sz w:val="18"/>
              </w:rPr>
              <w:t>6</w:t>
            </w:r>
          </w:p>
        </w:tc>
      </w:tr>
      <w:tr>
        <w:tc>
          <w:tcPr>
            <w:tcW w:type="dxa" w:w="3408"/>
            <w:vAlign w:val="center"/>
          </w:tcPr>
          <w:p>
            <w:r/>
            <w:r>
              <w:rPr>
                <w:b w:val="0"/>
                <w:sz w:val="18"/>
              </w:rPr>
              <w:t>30 Aug 2026</w:t>
            </w:r>
          </w:p>
        </w:tc>
        <w:tc>
          <w:tcPr>
            <w:tcW w:type="dxa" w:w="3408"/>
            <w:vAlign w:val="center"/>
          </w:tcPr>
          <w:p>
            <w:r/>
            <w:r>
              <w:rPr>
                <w:b w:val="0"/>
                <w:sz w:val="18"/>
              </w:rPr>
              <w:t>Documentation, formatting, proofreading and submission quality check</w:t>
            </w:r>
          </w:p>
        </w:tc>
        <w:tc>
          <w:tcPr>
            <w:tcW w:type="dxa" w:w="3408"/>
            <w:vAlign w:val="center"/>
          </w:tcPr>
          <w:p>
            <w:r/>
            <w:r>
              <w:rPr>
                <w:b w:val="0"/>
                <w:sz w:val="18"/>
              </w:rPr>
              <w:t>5</w:t>
            </w:r>
          </w:p>
        </w:tc>
      </w:tr>
    </w:tbl>
    <w:p>
      <w:pPr>
        <w:pStyle w:val="Heading1"/>
      </w:pPr>
      <w:r>
        <w:t>12. Expected Analysis-Ready Output</w:t>
      </w:r>
    </w:p>
    <w:p>
      <w:r>
        <w:t>The final analysis-ready dataset will preserve the raw source fields, add standardized numeric fields, remove the documented fully empty column, and include validation flags where necessary. The cleaned dataset is intended for exploratory analysis of social-media habits versus academic performance, with attendance and study time treated as important contextual variables.</w:t>
      </w:r>
    </w:p>
    <w:p>
      <w:pPr>
        <w:pStyle w:val="Heading1"/>
      </w:pPr>
      <w:r>
        <w:t>13. Conclusion</w:t>
      </w:r>
    </w:p>
    <w:p>
      <w:r>
        <w:t>The acquisition and profiling stage shows that the dataset is relevant but not analysis-ready in its raw form. Its main weaknesses are inconsistent units, mixed text/numeric representations, ambiguous GPA formats, a completely empty column, and potential outliers. A reproducible cleaning strategy—rather than ad-hoc deletion—will improve consistency while preserving the original responses. The approach prioritizes traceability, transparent assumptions, domain validation, and ethical aggregate reporting.</w:t>
      </w:r>
    </w:p>
    <w:p>
      <w:pPr>
        <w:pStyle w:val="Heading1"/>
      </w:pPr>
      <w:r>
        <w:t>Source</w:t>
      </w:r>
    </w:p>
    <w:p>
      <w:r>
        <w:t>Kaggle: Student Social Media, Academic Performance Dataset — https://www.kaggle.com/datasets/mr101rror/student-social-media-academic-performance-dataset</w:t>
      </w:r>
    </w:p>
    <w:p>
      <w:r>
        <w:t>License stated on the Kaggle data card: MIT.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