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E31837" w:val="clear"/>
        <w:spacing w:after="0" w:before="0"/>
        <w:ind w:left="300" w:right="300"/>
      </w:pPr>
      <w:r>
        <w:rPr>
          <w:rFonts w:ascii="Arial" w:cs="Arial" w:eastAsia="Arial" w:hAnsi="Arial"/>
          <w:b/>
          <w:bCs/>
          <w:color w:val="FFFFFF"/>
          <w:sz w:val="44"/>
          <w:szCs w:val="44"/>
        </w:rPr>
        <w:t xml:space="preserve">SOLUTION ARCHITECTURE DOCUMENT</w:t>
      </w:r>
    </w:p>
    <w:p>
      <w:pPr>
        <w:shd w:fill="1A2647" w:val="clear"/>
        <w:spacing w:after="200" w:before="0"/>
        <w:ind w:left="300" w:right="300"/>
      </w:pPr>
      <w:r>
        <w:rPr>
          <w:rFonts w:ascii="Arial" w:cs="Arial" w:eastAsia="Arial" w:hAnsi="Arial"/>
          <w:color w:val="FFFFFF"/>
          <w:sz w:val="22"/>
          <w:szCs w:val="22"/>
        </w:rPr>
        <w:t xml:space="preserve">PT Equity Life Indonesia — IT Division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Nama Proyek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Core Insurance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ELI-SA-SAD-2025-001</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Draft — Untuk Review</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Tanggal Dibuat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Dibuat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 Solution Architecture Team</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Disetujui Oleh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CTO PT Equity Life Indonesia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Klasifikasi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RAHASIA — Internal Use Only</w:t>
            </w:r>
          </w:p>
        </w:tc>
      </w:tr>
    </w:tbl>
    <w:p>
      <w:pPr>
        <w:spacing w:after="100" w:before="100"/>
      </w:pPr>
      <w:r>
        <w:t xml:space="preserve"/>
      </w:r>
    </w:p>
    <w:p>
      <w:r>
        <w:br w:type="page"/>
      </w:r>
    </w:p>
    <w:p>
      <w:pPr>
        <w:pStyle w:val="Heading2"/>
        <w:pBdr>
          <w:bottom w:val="single" w:color="E31837" w:sz="6" w:space="4"/>
        </w:pBdr>
        <w:spacing w:after="160" w:before="300"/>
      </w:pPr>
      <w:r>
        <w:rPr>
          <w:rFonts w:ascii="Arial" w:cs="Arial" w:eastAsia="Arial" w:hAnsi="Arial"/>
          <w:b/>
          <w:bCs/>
          <w:color w:val="1A2647"/>
          <w:sz w:val="28"/>
          <w:szCs w:val="28"/>
        </w:rPr>
        <w:t xml:space="preserve">DAFTAR ISI</w:t>
      </w:r>
    </w:p>
    <w:p>
      <w:pPr>
        <w:spacing w:after="60" w:before="60"/>
      </w:pPr>
      <w:r>
        <w:rPr>
          <w:rFonts w:ascii="Arial" w:cs="Arial" w:eastAsia="Arial" w:hAnsi="Arial"/>
          <w:color w:val="333333"/>
          <w:sz w:val="22"/>
          <w:szCs w:val="22"/>
        </w:rPr>
        <w:t xml:space="preserve">1.  Pendahuluan</w:t>
      </w:r>
    </w:p>
    <w:p>
      <w:pPr>
        <w:spacing w:after="60" w:before="60"/>
      </w:pPr>
      <w:r>
        <w:rPr>
          <w:rFonts w:ascii="Arial" w:cs="Arial" w:eastAsia="Arial" w:hAnsi="Arial"/>
          <w:color w:val="333333"/>
          <w:sz w:val="22"/>
          <w:szCs w:val="22"/>
        </w:rPr>
        <w:t xml:space="preserve">2.  Tujuan &amp; Ruang Lingkup</w:t>
      </w:r>
    </w:p>
    <w:p>
      <w:pPr>
        <w:spacing w:after="60" w:before="60"/>
      </w:pPr>
      <w:r>
        <w:rPr>
          <w:rFonts w:ascii="Arial" w:cs="Arial" w:eastAsia="Arial" w:hAnsi="Arial"/>
          <w:color w:val="333333"/>
          <w:sz w:val="22"/>
          <w:szCs w:val="22"/>
        </w:rPr>
        <w:t xml:space="preserve">3.  Tinjauan Arsitektur Saat Ini (As-Is)</w:t>
      </w:r>
    </w:p>
    <w:p>
      <w:pPr>
        <w:spacing w:after="60" w:before="60"/>
      </w:pPr>
      <w:r>
        <w:rPr>
          <w:rFonts w:ascii="Arial" w:cs="Arial" w:eastAsia="Arial" w:hAnsi="Arial"/>
          <w:color w:val="333333"/>
          <w:sz w:val="22"/>
          <w:szCs w:val="22"/>
        </w:rPr>
        <w:t xml:space="preserve">4.  Target Arsitektur (To-Be)</w:t>
      </w:r>
    </w:p>
    <w:p>
      <w:pPr>
        <w:spacing w:after="60" w:before="60"/>
      </w:pPr>
      <w:r>
        <w:rPr>
          <w:rFonts w:ascii="Arial" w:cs="Arial" w:eastAsia="Arial" w:hAnsi="Arial"/>
          <w:color w:val="333333"/>
          <w:sz w:val="22"/>
          <w:szCs w:val="22"/>
        </w:rPr>
        <w:t xml:space="preserve">5.  Komponen Arsitektur</w:t>
      </w:r>
    </w:p>
    <w:p>
      <w:pPr>
        <w:spacing w:after="60" w:before="60"/>
      </w:pPr>
      <w:r>
        <w:rPr>
          <w:rFonts w:ascii="Arial" w:cs="Arial" w:eastAsia="Arial" w:hAnsi="Arial"/>
          <w:color w:val="333333"/>
          <w:sz w:val="22"/>
          <w:szCs w:val="22"/>
        </w:rPr>
        <w:t xml:space="preserve">6.  Integrasi &amp; API</w:t>
      </w:r>
    </w:p>
    <w:p>
      <w:pPr>
        <w:spacing w:after="60" w:before="60"/>
      </w:pPr>
      <w:r>
        <w:rPr>
          <w:rFonts w:ascii="Arial" w:cs="Arial" w:eastAsia="Arial" w:hAnsi="Arial"/>
          <w:color w:val="333333"/>
          <w:sz w:val="22"/>
          <w:szCs w:val="22"/>
        </w:rPr>
        <w:t xml:space="preserve">7.  Keamanan Arsitektur</w:t>
      </w:r>
    </w:p>
    <w:p>
      <w:pPr>
        <w:spacing w:after="60" w:before="60"/>
      </w:pPr>
      <w:r>
        <w:rPr>
          <w:rFonts w:ascii="Arial" w:cs="Arial" w:eastAsia="Arial" w:hAnsi="Arial"/>
          <w:color w:val="333333"/>
          <w:sz w:val="22"/>
          <w:szCs w:val="22"/>
        </w:rPr>
        <w:t xml:space="preserve">8.  Non-Functional Requirements (NFR)</w:t>
      </w:r>
    </w:p>
    <w:p>
      <w:pPr>
        <w:spacing w:after="60" w:before="60"/>
      </w:pPr>
      <w:r>
        <w:rPr>
          <w:rFonts w:ascii="Arial" w:cs="Arial" w:eastAsia="Arial" w:hAnsi="Arial"/>
          <w:color w:val="333333"/>
          <w:sz w:val="22"/>
          <w:szCs w:val="22"/>
        </w:rPr>
        <w:t xml:space="preserve">9.  Technology Stack</w:t>
      </w:r>
    </w:p>
    <w:p>
      <w:pPr>
        <w:spacing w:after="60" w:before="60"/>
      </w:pPr>
      <w:r>
        <w:rPr>
          <w:rFonts w:ascii="Arial" w:cs="Arial" w:eastAsia="Arial" w:hAnsi="Arial"/>
          <w:color w:val="333333"/>
          <w:sz w:val="22"/>
          <w:szCs w:val="22"/>
        </w:rPr>
        <w:t xml:space="preserve">10. Risiko &amp; Mitigasi</w:t>
      </w:r>
    </w:p>
    <w:p>
      <w:pPr>
        <w:spacing w:after="60" w:before="60"/>
      </w:pPr>
      <w:r>
        <w:rPr>
          <w:rFonts w:ascii="Arial" w:cs="Arial" w:eastAsia="Arial" w:hAnsi="Arial"/>
          <w:color w:val="333333"/>
          <w:sz w:val="22"/>
          <w:szCs w:val="22"/>
        </w:rPr>
        <w:t xml:space="preserve">11. Roadmap Implementasi</w:t>
      </w:r>
    </w:p>
    <w:p>
      <w:r>
        <w:br w:type="page"/>
      </w:r>
    </w:p>
    <w:p>
      <w:pPr>
        <w:pStyle w:val="Heading2"/>
        <w:pBdr>
          <w:bottom w:val="single" w:color="E31837" w:sz="6" w:space="4"/>
        </w:pBdr>
        <w:spacing w:after="160" w:before="300"/>
      </w:pPr>
      <w:r>
        <w:rPr>
          <w:rFonts w:ascii="Arial" w:cs="Arial" w:eastAsia="Arial" w:hAnsi="Arial"/>
          <w:b/>
          <w:bCs/>
          <w:color w:val="1A2647"/>
          <w:sz w:val="28"/>
          <w:szCs w:val="28"/>
        </w:rPr>
        <w:t xml:space="preserve">1. PENDAHULUAN</w:t>
      </w:r>
    </w:p>
    <w:p>
      <w:pPr>
        <w:spacing w:after="60" w:before="60"/>
      </w:pPr>
      <w:r>
        <w:rPr>
          <w:rFonts w:ascii="Arial" w:cs="Arial" w:eastAsia="Arial" w:hAnsi="Arial"/>
          <w:color w:val="333333"/>
          <w:sz w:val="22"/>
          <w:szCs w:val="22"/>
        </w:rPr>
        <w:t xml:space="preserve">Dokumen ini mendeskripsikan solusi arsitektur IT untuk Digital Core Insurance Platform PT Equity Life Indonesia. Platform ini dirancang untuk mendukung transformasi digital bisnis asuransi jiwa, kesehatan, dan dana pensiun yang dikelola perusahaan.</w:t>
      </w:r>
    </w:p>
    <w:p>
      <w:pPr>
        <w:spacing w:after="60" w:before="60"/>
      </w:pPr>
      <w:r>
        <w:rPr>
          <w:rFonts w:ascii="Arial" w:cs="Arial" w:eastAsia="Arial" w:hAnsi="Arial"/>
          <w:color w:val="333333"/>
          <w:sz w:val="22"/>
          <w:szCs w:val="22"/>
        </w:rPr>
        <w:t xml:space="preserve">Arsitektur yang diusulkan mengacu pada prinsip-prinsip Enterprise Architecture Framework (TOGAF) dan best practice industri asuransi sesuai regulasi OJK (Otoritas Jasa Keuangan).</w:t>
      </w:r>
    </w:p>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2. TUJUAN &amp; RUANG LINGKUP</w:t>
      </w:r>
    </w:p>
    <w:p>
      <w:pPr>
        <w:pStyle w:val="Heading3"/>
        <w:spacing w:after="80" w:before="200"/>
      </w:pPr>
      <w:r>
        <w:rPr>
          <w:rFonts w:ascii="Arial" w:cs="Arial" w:eastAsia="Arial" w:hAnsi="Arial"/>
          <w:b/>
          <w:bCs/>
          <w:color w:val="E31837"/>
          <w:sz w:val="24"/>
          <w:szCs w:val="24"/>
        </w:rPr>
        <w:t xml:space="preserve">2.1 Tujuan</w:t>
      </w:r>
    </w:p>
    <w:p>
      <w:pPr>
        <w:pStyle w:val="ListParagraph"/>
        <w:numPr>
          <w:ilvl w:val="0"/>
          <w:numId w:val="2"/>
        </w:numPr>
        <w:spacing w:after="40" w:before="40"/>
      </w:pPr>
      <w:r>
        <w:rPr>
          <w:rFonts w:ascii="Arial" w:cs="Arial" w:eastAsia="Arial" w:hAnsi="Arial"/>
          <w:color w:val="333333"/>
          <w:sz w:val="22"/>
          <w:szCs w:val="22"/>
        </w:rPr>
        <w:t xml:space="preserve">Menggantikan sistem core insurance legacy dengan platform modern berbasis microservices</w:t>
      </w:r>
    </w:p>
    <w:p>
      <w:pPr>
        <w:pStyle w:val="ListParagraph"/>
        <w:numPr>
          <w:ilvl w:val="0"/>
          <w:numId w:val="2"/>
        </w:numPr>
        <w:spacing w:after="40" w:before="40"/>
      </w:pPr>
      <w:r>
        <w:rPr>
          <w:rFonts w:ascii="Arial" w:cs="Arial" w:eastAsia="Arial" w:hAnsi="Arial"/>
          <w:color w:val="333333"/>
          <w:sz w:val="22"/>
          <w:szCs w:val="22"/>
        </w:rPr>
        <w:t xml:space="preserve">Meningkatkan time-to-market produk asuransi baru dari 6 bulan menjadi 6 minggu</w:t>
      </w:r>
    </w:p>
    <w:p>
      <w:pPr>
        <w:pStyle w:val="ListParagraph"/>
        <w:numPr>
          <w:ilvl w:val="0"/>
          <w:numId w:val="2"/>
        </w:numPr>
        <w:spacing w:after="40" w:before="40"/>
      </w:pPr>
      <w:r>
        <w:rPr>
          <w:rFonts w:ascii="Arial" w:cs="Arial" w:eastAsia="Arial" w:hAnsi="Arial"/>
          <w:color w:val="333333"/>
          <w:sz w:val="22"/>
          <w:szCs w:val="22"/>
        </w:rPr>
        <w:t xml:space="preserve">Mendukung distribusi multi-channel: Agency, Bancassurance, Digital</w:t>
      </w:r>
    </w:p>
    <w:p>
      <w:pPr>
        <w:pStyle w:val="ListParagraph"/>
        <w:numPr>
          <w:ilvl w:val="0"/>
          <w:numId w:val="2"/>
        </w:numPr>
        <w:spacing w:after="40" w:before="40"/>
      </w:pPr>
      <w:r>
        <w:rPr>
          <w:rFonts w:ascii="Arial" w:cs="Arial" w:eastAsia="Arial" w:hAnsi="Arial"/>
          <w:color w:val="333333"/>
          <w:sz w:val="22"/>
          <w:szCs w:val="22"/>
        </w:rPr>
        <w:t xml:space="preserve">Memenuhi regulasi OJK POJK No. 13 terkait tata kelola IT perusahaan asuransi</w:t>
      </w:r>
    </w:p>
    <w:p>
      <w:pPr>
        <w:pStyle w:val="ListParagraph"/>
        <w:numPr>
          <w:ilvl w:val="0"/>
          <w:numId w:val="2"/>
        </w:numPr>
        <w:spacing w:after="40" w:before="40"/>
      </w:pPr>
      <w:r>
        <w:rPr>
          <w:rFonts w:ascii="Arial" w:cs="Arial" w:eastAsia="Arial" w:hAnsi="Arial"/>
          <w:color w:val="333333"/>
          <w:sz w:val="22"/>
          <w:szCs w:val="22"/>
        </w:rPr>
        <w:t xml:space="preserve">Mencapai sistem availability minimal 99.9% (high availability)</w:t>
      </w:r>
    </w:p>
    <w:p>
      <w:pPr>
        <w:spacing w:after="100" w:before="100"/>
      </w:pPr>
      <w:r>
        <w:t xml:space="preserve"/>
      </w:r>
    </w:p>
    <w:p>
      <w:pPr>
        <w:pStyle w:val="Heading3"/>
        <w:spacing w:after="80" w:before="200"/>
      </w:pPr>
      <w:r>
        <w:rPr>
          <w:rFonts w:ascii="Arial" w:cs="Arial" w:eastAsia="Arial" w:hAnsi="Arial"/>
          <w:b/>
          <w:bCs/>
          <w:color w:val="E31837"/>
          <w:sz w:val="24"/>
          <w:szCs w:val="24"/>
        </w:rPr>
        <w:t xml:space="preserve">2.2 Ruang Lingkup</w:t>
      </w:r>
    </w:p>
    <w:p>
      <w:pPr>
        <w:pStyle w:val="ListParagraph"/>
        <w:numPr>
          <w:ilvl w:val="0"/>
          <w:numId w:val="2"/>
        </w:numPr>
        <w:spacing w:after="40" w:before="40"/>
      </w:pPr>
      <w:r>
        <w:rPr>
          <w:rFonts w:ascii="Arial" w:cs="Arial" w:eastAsia="Arial" w:hAnsi="Arial"/>
          <w:color w:val="333333"/>
          <w:sz w:val="22"/>
          <w:szCs w:val="22"/>
        </w:rPr>
        <w:t xml:space="preserve">Policy Administration System (PAS) — Core system manajemen polis</w:t>
      </w:r>
    </w:p>
    <w:p>
      <w:pPr>
        <w:pStyle w:val="ListParagraph"/>
        <w:numPr>
          <w:ilvl w:val="0"/>
          <w:numId w:val="2"/>
        </w:numPr>
        <w:spacing w:after="40" w:before="40"/>
      </w:pPr>
      <w:r>
        <w:rPr>
          <w:rFonts w:ascii="Arial" w:cs="Arial" w:eastAsia="Arial" w:hAnsi="Arial"/>
          <w:color w:val="333333"/>
          <w:sz w:val="22"/>
          <w:szCs w:val="22"/>
        </w:rPr>
        <w:t xml:space="preserve">Claims Management System (CMS) — Proses klaim online dan otomatis</w:t>
      </w:r>
    </w:p>
    <w:p>
      <w:pPr>
        <w:pStyle w:val="ListParagraph"/>
        <w:numPr>
          <w:ilvl w:val="0"/>
          <w:numId w:val="2"/>
        </w:numPr>
        <w:spacing w:after="40" w:before="40"/>
      </w:pPr>
      <w:r>
        <w:rPr>
          <w:rFonts w:ascii="Arial" w:cs="Arial" w:eastAsia="Arial" w:hAnsi="Arial"/>
          <w:color w:val="333333"/>
          <w:sz w:val="22"/>
          <w:szCs w:val="22"/>
        </w:rPr>
        <w:t xml:space="preserve">Customer Portal &amp; Mobile App — Self-service nasabah</w:t>
      </w:r>
    </w:p>
    <w:p>
      <w:pPr>
        <w:pStyle w:val="ListParagraph"/>
        <w:numPr>
          <w:ilvl w:val="0"/>
          <w:numId w:val="2"/>
        </w:numPr>
        <w:spacing w:after="40" w:before="40"/>
      </w:pPr>
      <w:r>
        <w:rPr>
          <w:rFonts w:ascii="Arial" w:cs="Arial" w:eastAsia="Arial" w:hAnsi="Arial"/>
          <w:color w:val="333333"/>
          <w:sz w:val="22"/>
          <w:szCs w:val="22"/>
        </w:rPr>
        <w:t xml:space="preserve">Integration Layer &amp; API Gateway — Koneksi ke mitra bancassurance dan pihak ketiga</w:t>
      </w:r>
    </w:p>
    <w:p>
      <w:pPr>
        <w:pStyle w:val="ListParagraph"/>
        <w:numPr>
          <w:ilvl w:val="0"/>
          <w:numId w:val="2"/>
        </w:numPr>
        <w:spacing w:after="40" w:before="40"/>
      </w:pPr>
      <w:r>
        <w:rPr>
          <w:rFonts w:ascii="Arial" w:cs="Arial" w:eastAsia="Arial" w:hAnsi="Arial"/>
          <w:color w:val="333333"/>
          <w:sz w:val="22"/>
          <w:szCs w:val="22"/>
        </w:rPr>
        <w:t xml:space="preserve">Analytics &amp; Reporting Platform — Business intelligence dan regulatory reporting</w:t>
      </w:r>
    </w:p>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3. TINJAUAN ARSITEKTUR SAAT INI (AS-IS)</w:t>
      </w:r>
    </w:p>
    <w:p>
      <w:pPr>
        <w:spacing w:after="60" w:before="60"/>
      </w:pPr>
      <w:r>
        <w:rPr>
          <w:rFonts w:ascii="Arial" w:cs="Arial" w:eastAsia="Arial" w:hAnsi="Arial"/>
          <w:color w:val="333333"/>
          <w:sz w:val="22"/>
          <w:szCs w:val="22"/>
        </w:rPr>
        <w:t xml:space="preserve">Kondisi sistem saat ini menggunakan arsitektur monolitik yang sudah beroperasi lebih dari 15 tahun. Beberapa tantangan utama yang dihadapi:</w:t>
      </w:r>
    </w:p>
    <w:p>
      <w:pPr>
        <w:pStyle w:val="ListParagraph"/>
        <w:numPr>
          <w:ilvl w:val="0"/>
          <w:numId w:val="2"/>
        </w:numPr>
        <w:spacing w:after="40" w:before="40"/>
      </w:pPr>
      <w:r>
        <w:rPr>
          <w:rFonts w:ascii="Arial" w:cs="Arial" w:eastAsia="Arial" w:hAnsi="Arial"/>
          <w:color w:val="333333"/>
          <w:sz w:val="22"/>
          <w:szCs w:val="22"/>
        </w:rPr>
        <w:t xml:space="preserve">Sistem monolitik menyulitkan pengembangan dan deployment fitur baru</w:t>
      </w:r>
    </w:p>
    <w:p>
      <w:pPr>
        <w:pStyle w:val="ListParagraph"/>
        <w:numPr>
          <w:ilvl w:val="0"/>
          <w:numId w:val="2"/>
        </w:numPr>
        <w:spacing w:after="40" w:before="40"/>
      </w:pPr>
      <w:r>
        <w:rPr>
          <w:rFonts w:ascii="Arial" w:cs="Arial" w:eastAsia="Arial" w:hAnsi="Arial"/>
          <w:color w:val="333333"/>
          <w:sz w:val="22"/>
          <w:szCs w:val="22"/>
        </w:rPr>
        <w:t xml:space="preserve">Ketergantungan tinggi pada vendor tunggal (vendor lock-in)</w:t>
      </w:r>
    </w:p>
    <w:p>
      <w:pPr>
        <w:pStyle w:val="ListParagraph"/>
        <w:numPr>
          <w:ilvl w:val="0"/>
          <w:numId w:val="2"/>
        </w:numPr>
        <w:spacing w:after="40" w:before="40"/>
      </w:pPr>
      <w:r>
        <w:rPr>
          <w:rFonts w:ascii="Arial" w:cs="Arial" w:eastAsia="Arial" w:hAnsi="Arial"/>
          <w:color w:val="333333"/>
          <w:sz w:val="22"/>
          <w:szCs w:val="22"/>
        </w:rPr>
        <w:t xml:space="preserve">Integrasi antar sistem dilakukan secara point-to-point menggunakan file-based batch</w:t>
      </w:r>
    </w:p>
    <w:p>
      <w:pPr>
        <w:pStyle w:val="ListParagraph"/>
        <w:numPr>
          <w:ilvl w:val="0"/>
          <w:numId w:val="2"/>
        </w:numPr>
        <w:spacing w:after="40" w:before="40"/>
      </w:pPr>
      <w:r>
        <w:rPr>
          <w:rFonts w:ascii="Arial" w:cs="Arial" w:eastAsia="Arial" w:hAnsi="Arial"/>
          <w:color w:val="333333"/>
          <w:sz w:val="22"/>
          <w:szCs w:val="22"/>
        </w:rPr>
        <w:t xml:space="preserve">Tidak ada API layer yang terstandarisasi untuk koneksi ke mitra digital</w:t>
      </w:r>
    </w:p>
    <w:p>
      <w:pPr>
        <w:pStyle w:val="ListParagraph"/>
        <w:numPr>
          <w:ilvl w:val="0"/>
          <w:numId w:val="2"/>
        </w:numPr>
        <w:spacing w:after="40" w:before="40"/>
      </w:pPr>
      <w:r>
        <w:rPr>
          <w:rFonts w:ascii="Arial" w:cs="Arial" w:eastAsia="Arial" w:hAnsi="Arial"/>
          <w:color w:val="333333"/>
          <w:sz w:val="22"/>
          <w:szCs w:val="22"/>
        </w:rPr>
        <w:t xml:space="preserve">Sistem tidak mendukung real-time processing untuk klaim dan underwriting</w:t>
      </w:r>
    </w:p>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4. TARGET ARSITEKTUR (TO-BE)</w:t>
      </w:r>
    </w:p>
    <w:p>
      <w:pPr>
        <w:pStyle w:val="Heading3"/>
        <w:spacing w:after="80" w:before="200"/>
      </w:pPr>
      <w:r>
        <w:rPr>
          <w:rFonts w:ascii="Arial" w:cs="Arial" w:eastAsia="Arial" w:hAnsi="Arial"/>
          <w:b/>
          <w:bCs/>
          <w:color w:val="E31837"/>
          <w:sz w:val="24"/>
          <w:szCs w:val="24"/>
        </w:rPr>
        <w:t xml:space="preserve">4.1 Prinsip Arsitektur</w:t>
      </w:r>
    </w:p>
    <w:p>
      <w:pPr>
        <w:pStyle w:val="ListParagraph"/>
        <w:numPr>
          <w:ilvl w:val="0"/>
          <w:numId w:val="2"/>
        </w:numPr>
        <w:spacing w:after="40" w:before="40"/>
      </w:pPr>
      <w:r>
        <w:rPr>
          <w:rFonts w:ascii="Arial" w:cs="Arial" w:eastAsia="Arial" w:hAnsi="Arial"/>
          <w:color w:val="333333"/>
          <w:sz w:val="22"/>
          <w:szCs w:val="22"/>
        </w:rPr>
        <w:t xml:space="preserve">Cloud-Native: Berbasis Kubernetes di atas private/hybrid cloud</w:t>
      </w:r>
    </w:p>
    <w:p>
      <w:pPr>
        <w:pStyle w:val="ListParagraph"/>
        <w:numPr>
          <w:ilvl w:val="0"/>
          <w:numId w:val="2"/>
        </w:numPr>
        <w:spacing w:after="40" w:before="40"/>
      </w:pPr>
      <w:r>
        <w:rPr>
          <w:rFonts w:ascii="Arial" w:cs="Arial" w:eastAsia="Arial" w:hAnsi="Arial"/>
          <w:color w:val="333333"/>
          <w:sz w:val="22"/>
          <w:szCs w:val="22"/>
        </w:rPr>
        <w:t xml:space="preserve">Microservices: Setiap domain bisnis merupakan service independen</w:t>
      </w:r>
    </w:p>
    <w:p>
      <w:pPr>
        <w:pStyle w:val="ListParagraph"/>
        <w:numPr>
          <w:ilvl w:val="0"/>
          <w:numId w:val="2"/>
        </w:numPr>
        <w:spacing w:after="40" w:before="40"/>
      </w:pPr>
      <w:r>
        <w:rPr>
          <w:rFonts w:ascii="Arial" w:cs="Arial" w:eastAsia="Arial" w:hAnsi="Arial"/>
          <w:color w:val="333333"/>
          <w:sz w:val="22"/>
          <w:szCs w:val="22"/>
        </w:rPr>
        <w:t xml:space="preserve">API-First: Semua komunikasi melalui RESTful API atau event streaming</w:t>
      </w:r>
    </w:p>
    <w:p>
      <w:pPr>
        <w:pStyle w:val="ListParagraph"/>
        <w:numPr>
          <w:ilvl w:val="0"/>
          <w:numId w:val="2"/>
        </w:numPr>
        <w:spacing w:after="40" w:before="40"/>
      </w:pPr>
      <w:r>
        <w:rPr>
          <w:rFonts w:ascii="Arial" w:cs="Arial" w:eastAsia="Arial" w:hAnsi="Arial"/>
          <w:color w:val="333333"/>
          <w:sz w:val="22"/>
          <w:szCs w:val="22"/>
        </w:rPr>
        <w:t xml:space="preserve">Zero-Trust Security: Autentikasi dan otorisasi di setiap layer</w:t>
      </w:r>
    </w:p>
    <w:p>
      <w:pPr>
        <w:pStyle w:val="ListParagraph"/>
        <w:numPr>
          <w:ilvl w:val="0"/>
          <w:numId w:val="2"/>
        </w:numPr>
        <w:spacing w:after="40" w:before="40"/>
      </w:pPr>
      <w:r>
        <w:rPr>
          <w:rFonts w:ascii="Arial" w:cs="Arial" w:eastAsia="Arial" w:hAnsi="Arial"/>
          <w:color w:val="333333"/>
          <w:sz w:val="22"/>
          <w:szCs w:val="22"/>
        </w:rPr>
        <w:t xml:space="preserve">Event-Driven: Menggunakan message broker (Apache Kafka) untuk decoupling</w:t>
      </w:r>
    </w:p>
    <w:p>
      <w:pPr>
        <w:spacing w:after="100" w:before="100"/>
      </w:pPr>
      <w:r>
        <w:t xml:space="preserve"/>
      </w:r>
    </w:p>
    <w:p>
      <w:pPr>
        <w:pStyle w:val="Heading3"/>
        <w:spacing w:after="80" w:before="200"/>
      </w:pPr>
      <w:r>
        <w:rPr>
          <w:rFonts w:ascii="Arial" w:cs="Arial" w:eastAsia="Arial" w:hAnsi="Arial"/>
          <w:b/>
          <w:bCs/>
          <w:color w:val="E31837"/>
          <w:sz w:val="24"/>
          <w:szCs w:val="24"/>
        </w:rPr>
        <w:t xml:space="preserve">4.2 High-Level Architecture</w:t>
      </w:r>
    </w:p>
    <w:p>
      <w:pPr>
        <w:spacing w:after="60" w:before="60"/>
      </w:pPr>
      <w:r>
        <w:rPr>
          <w:rFonts w:ascii="Arial" w:cs="Arial" w:eastAsia="Arial" w:hAnsi="Arial"/>
          <w:color w:val="333333"/>
          <w:sz w:val="22"/>
          <w:szCs w:val="22"/>
        </w:rPr>
        <w:t xml:space="preserve">Arsitektur terdiri dari empat lapisan utama: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27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Portal, Mobile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React.js, Flutter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multi-channel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Management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Kong / AWS API Gateway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Rate limiting, auth,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Microservices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Java Spring Boot, Go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business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Layer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Databases, Data Lake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 MongoDB, S3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persistence &amp; analytics</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5. KOMPONEN ARSITEKTUR</w:t>
      </w:r>
    </w:p>
    <w:p>
      <w:pPr>
        <w:pStyle w:val="Heading3"/>
        <w:spacing w:after="80" w:before="200"/>
      </w:pPr>
      <w:r>
        <w:rPr>
          <w:rFonts w:ascii="Arial" w:cs="Arial" w:eastAsia="Arial" w:hAnsi="Arial"/>
          <w:b/>
          <w:bCs/>
          <w:color w:val="E31837"/>
          <w:sz w:val="24"/>
          <w:szCs w:val="24"/>
        </w:rPr>
        <w:t xml:space="preserve">5.1 Policy Administration Service (PAS)</w:t>
      </w:r>
    </w:p>
    <w:p>
      <w:pPr>
        <w:pStyle w:val="ListParagraph"/>
        <w:numPr>
          <w:ilvl w:val="0"/>
          <w:numId w:val="2"/>
        </w:numPr>
        <w:spacing w:after="40" w:before="40"/>
      </w:pPr>
      <w:r>
        <w:rPr>
          <w:rFonts w:ascii="Arial" w:cs="Arial" w:eastAsia="Arial" w:hAnsi="Arial"/>
          <w:color w:val="333333"/>
          <w:sz w:val="22"/>
          <w:szCs w:val="22"/>
        </w:rPr>
        <w:t xml:space="preserve">Manajemen produk asuransi: jiwa, kesehatan, unit-link, dana pensiun</w:t>
      </w:r>
    </w:p>
    <w:p>
      <w:pPr>
        <w:pStyle w:val="ListParagraph"/>
        <w:numPr>
          <w:ilvl w:val="0"/>
          <w:numId w:val="2"/>
        </w:numPr>
        <w:spacing w:after="40" w:before="40"/>
      </w:pPr>
      <w:r>
        <w:rPr>
          <w:rFonts w:ascii="Arial" w:cs="Arial" w:eastAsia="Arial" w:hAnsi="Arial"/>
          <w:color w:val="333333"/>
          <w:sz w:val="22"/>
          <w:szCs w:val="22"/>
        </w:rPr>
        <w:t xml:space="preserve">Penerbitan polis baru (New Business) dengan workflow digital</w:t>
      </w:r>
    </w:p>
    <w:p>
      <w:pPr>
        <w:pStyle w:val="ListParagraph"/>
        <w:numPr>
          <w:ilvl w:val="0"/>
          <w:numId w:val="2"/>
        </w:numPr>
        <w:spacing w:after="40" w:before="40"/>
      </w:pPr>
      <w:r>
        <w:rPr>
          <w:rFonts w:ascii="Arial" w:cs="Arial" w:eastAsia="Arial" w:hAnsi="Arial"/>
          <w:color w:val="333333"/>
          <w:sz w:val="22"/>
          <w:szCs w:val="22"/>
        </w:rPr>
        <w:t xml:space="preserve">Pembaruan polis: endorsement, lapse, surrender, maturity</w:t>
      </w:r>
    </w:p>
    <w:p>
      <w:pPr>
        <w:pStyle w:val="ListParagraph"/>
        <w:numPr>
          <w:ilvl w:val="0"/>
          <w:numId w:val="2"/>
        </w:numPr>
        <w:spacing w:after="40" w:before="40"/>
      </w:pPr>
      <w:r>
        <w:rPr>
          <w:rFonts w:ascii="Arial" w:cs="Arial" w:eastAsia="Arial" w:hAnsi="Arial"/>
          <w:color w:val="333333"/>
          <w:sz w:val="22"/>
          <w:szCs w:val="22"/>
        </w:rPr>
        <w:t xml:space="preserve">Perhitungan premi dengan rules engine (Drools)</w:t>
      </w:r>
    </w:p>
    <w:p>
      <w:pPr>
        <w:spacing w:after="100" w:before="100"/>
      </w:pPr>
      <w:r>
        <w:t xml:space="preserve"/>
      </w:r>
    </w:p>
    <w:p>
      <w:pPr>
        <w:pStyle w:val="Heading3"/>
        <w:spacing w:after="80" w:before="200"/>
      </w:pPr>
      <w:r>
        <w:rPr>
          <w:rFonts w:ascii="Arial" w:cs="Arial" w:eastAsia="Arial" w:hAnsi="Arial"/>
          <w:b/>
          <w:bCs/>
          <w:color w:val="E31837"/>
          <w:sz w:val="24"/>
          <w:szCs w:val="24"/>
        </w:rPr>
        <w:t xml:space="preserve">5.2 Claims Management Service (CMS)</w:t>
      </w:r>
    </w:p>
    <w:p>
      <w:pPr>
        <w:pStyle w:val="ListParagraph"/>
        <w:numPr>
          <w:ilvl w:val="0"/>
          <w:numId w:val="2"/>
        </w:numPr>
        <w:spacing w:after="40" w:before="40"/>
      </w:pPr>
      <w:r>
        <w:rPr>
          <w:rFonts w:ascii="Arial" w:cs="Arial" w:eastAsia="Arial" w:hAnsi="Arial"/>
          <w:color w:val="333333"/>
          <w:sz w:val="22"/>
          <w:szCs w:val="22"/>
        </w:rPr>
        <w:t xml:space="preserve">Pengajuan klaim digital via portal dan mobile app</w:t>
      </w:r>
    </w:p>
    <w:p>
      <w:pPr>
        <w:pStyle w:val="ListParagraph"/>
        <w:numPr>
          <w:ilvl w:val="0"/>
          <w:numId w:val="2"/>
        </w:numPr>
        <w:spacing w:after="40" w:before="40"/>
      </w:pPr>
      <w:r>
        <w:rPr>
          <w:rFonts w:ascii="Arial" w:cs="Arial" w:eastAsia="Arial" w:hAnsi="Arial"/>
          <w:color w:val="333333"/>
          <w:sz w:val="22"/>
          <w:szCs w:val="22"/>
        </w:rPr>
        <w:t xml:space="preserve">Automated claims adjudication menggunakan AI/ML scoring</w:t>
      </w:r>
    </w:p>
    <w:p>
      <w:pPr>
        <w:pStyle w:val="ListParagraph"/>
        <w:numPr>
          <w:ilvl w:val="0"/>
          <w:numId w:val="2"/>
        </w:numPr>
        <w:spacing w:after="40" w:before="40"/>
      </w:pPr>
      <w:r>
        <w:rPr>
          <w:rFonts w:ascii="Arial" w:cs="Arial" w:eastAsia="Arial" w:hAnsi="Arial"/>
          <w:color w:val="333333"/>
          <w:sz w:val="22"/>
          <w:szCs w:val="22"/>
        </w:rPr>
        <w:t xml:space="preserve">Integrasi dengan rumah sakit rekanan melalui BPJS dan cashless network</w:t>
      </w:r>
    </w:p>
    <w:p>
      <w:pPr>
        <w:pStyle w:val="ListParagraph"/>
        <w:numPr>
          <w:ilvl w:val="0"/>
          <w:numId w:val="2"/>
        </w:numPr>
        <w:spacing w:after="40" w:before="40"/>
      </w:pPr>
      <w:r>
        <w:rPr>
          <w:rFonts w:ascii="Arial" w:cs="Arial" w:eastAsia="Arial" w:hAnsi="Arial"/>
          <w:color w:val="333333"/>
          <w:sz w:val="22"/>
          <w:szCs w:val="22"/>
        </w:rPr>
        <w:t xml:space="preserve">Audit trail lengkap untuk kebutuhan compliance OJK</w:t>
      </w:r>
    </w:p>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6. INTEGRASI &amp; API</w:t>
      </w:r>
    </w:p>
    <w:p>
      <w:pPr>
        <w:spacing w:after="60" w:before="60"/>
      </w:pPr>
      <w:r>
        <w:rPr>
          <w:rFonts w:ascii="Arial" w:cs="Arial" w:eastAsia="Arial" w:hAnsi="Arial"/>
          <w:color w:val="333333"/>
          <w:sz w:val="22"/>
          <w:szCs w:val="22"/>
        </w:rPr>
        <w:t xml:space="preserve">Platform menggunakan API Gateway terpusat dengan standar OpenAPI 3.0. Semua integrasi eksternal wajib menggunakan OAuth 2.0 untuk autentikasi.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560"/>
      </w:tblGrid>
      <w:tr>
        <w:trPr>
          <w:tblHeader/>
        </w:trPr>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 Eksternal</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Jenis Integrasi</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Protokol</w:t>
            </w:r>
          </w:p>
        </w:tc>
        <w:tc>
          <w:tcPr>
            <w:tcW w:type="dxa" w:w="15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Bank Mitra (Bancassurance)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Bidirectional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REST/HTTPS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BPJS Kesehatan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Exchange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SOAP/REST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Near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OJK Regulatory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One-way Push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REST/SFTP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Batch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Rumah Sakit Rekanan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Claims Adjudication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REST/HTTPS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REST/HTTPS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Banking (CBS)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Account Linkage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REST/MQ</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7. KEAMANAN ARSITEKTUR</w:t>
      </w:r>
    </w:p>
    <w:p>
      <w:pPr>
        <w:pStyle w:val="Heading3"/>
        <w:spacing w:after="80" w:before="200"/>
      </w:pPr>
      <w:r>
        <w:rPr>
          <w:rFonts w:ascii="Arial" w:cs="Arial" w:eastAsia="Arial" w:hAnsi="Arial"/>
          <w:b/>
          <w:bCs/>
          <w:color w:val="E31837"/>
          <w:sz w:val="24"/>
          <w:szCs w:val="24"/>
        </w:rPr>
        <w:t xml:space="preserve">7.1 Prinsip Keamanan</w:t>
      </w:r>
    </w:p>
    <w:p>
      <w:pPr>
        <w:pStyle w:val="ListParagraph"/>
        <w:numPr>
          <w:ilvl w:val="0"/>
          <w:numId w:val="2"/>
        </w:numPr>
        <w:spacing w:after="40" w:before="40"/>
      </w:pPr>
      <w:r>
        <w:rPr>
          <w:rFonts w:ascii="Arial" w:cs="Arial" w:eastAsia="Arial" w:hAnsi="Arial"/>
          <w:color w:val="333333"/>
          <w:sz w:val="22"/>
          <w:szCs w:val="22"/>
        </w:rPr>
        <w:t xml:space="preserve">Zero-Trust Architecture: Tidak ada jaringan yang dianggap aman secara default</w:t>
      </w:r>
    </w:p>
    <w:p>
      <w:pPr>
        <w:pStyle w:val="ListParagraph"/>
        <w:numPr>
          <w:ilvl w:val="0"/>
          <w:numId w:val="2"/>
        </w:numPr>
        <w:spacing w:after="40" w:before="40"/>
      </w:pPr>
      <w:r>
        <w:rPr>
          <w:rFonts w:ascii="Arial" w:cs="Arial" w:eastAsia="Arial" w:hAnsi="Arial"/>
          <w:color w:val="333333"/>
          <w:sz w:val="22"/>
          <w:szCs w:val="22"/>
        </w:rPr>
        <w:t xml:space="preserve">Encryption at Rest &amp; In Transit: AES-256 untuk data at rest, TLS 1.3 untuk transit</w:t>
      </w:r>
    </w:p>
    <w:p>
      <w:pPr>
        <w:pStyle w:val="ListParagraph"/>
        <w:numPr>
          <w:ilvl w:val="0"/>
          <w:numId w:val="2"/>
        </w:numPr>
        <w:spacing w:after="40" w:before="40"/>
      </w:pPr>
      <w:r>
        <w:rPr>
          <w:rFonts w:ascii="Arial" w:cs="Arial" w:eastAsia="Arial" w:hAnsi="Arial"/>
          <w:color w:val="333333"/>
          <w:sz w:val="22"/>
          <w:szCs w:val="22"/>
        </w:rPr>
        <w:t xml:space="preserve">Identity &amp; Access Management: Implementasi LDAP + SSO (Keycloak)</w:t>
      </w:r>
    </w:p>
    <w:p>
      <w:pPr>
        <w:pStyle w:val="ListParagraph"/>
        <w:numPr>
          <w:ilvl w:val="0"/>
          <w:numId w:val="2"/>
        </w:numPr>
        <w:spacing w:after="40" w:before="40"/>
      </w:pPr>
      <w:r>
        <w:rPr>
          <w:rFonts w:ascii="Arial" w:cs="Arial" w:eastAsia="Arial" w:hAnsi="Arial"/>
          <w:color w:val="333333"/>
          <w:sz w:val="22"/>
          <w:szCs w:val="22"/>
        </w:rPr>
        <w:t xml:space="preserve">Data Masking &amp; Tokenization: PII data nasabah dimasking di non-production</w:t>
      </w:r>
    </w:p>
    <w:p>
      <w:pPr>
        <w:pStyle w:val="ListParagraph"/>
        <w:numPr>
          <w:ilvl w:val="0"/>
          <w:numId w:val="2"/>
        </w:numPr>
        <w:spacing w:after="40" w:before="40"/>
      </w:pPr>
      <w:r>
        <w:rPr>
          <w:rFonts w:ascii="Arial" w:cs="Arial" w:eastAsia="Arial" w:hAnsi="Arial"/>
          <w:color w:val="333333"/>
          <w:sz w:val="22"/>
          <w:szCs w:val="22"/>
        </w:rPr>
        <w:t xml:space="preserve">SIEM &amp; SOC: Centralized monitoring dengan splunk/Elastic SIEM</w:t>
      </w:r>
    </w:p>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8.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5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 NFR</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15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99.9% uptime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Downtime &lt; 8.7 jam/tahun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&lt; 2 detik response 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P95 latency API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concurrent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Auto-scaling Kubernetes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 27001 compliant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Penetration test tahunan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Disaster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RTO &lt; 4 jam, RPO &lt; 1 jam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 drill semi-annual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Retention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tahun sesuai regulasi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Archive ke cold storage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w:t>
            </w:r>
          </w:p>
        </w:tc>
        <w:tc>
          <w:tcPr>
            <w:tcW w:type="dxa" w:w="3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Justifikasi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Java Spring Boot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Enterprise-grade, mature ecosystem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React.js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Component-based, large community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Cross-platform iOS &amp; Android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 Relasional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Open-source, ACID compliant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NoSQL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MongoDB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Flexible schema untuk dokumen polis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Message Broker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Apache Kafka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High-throughput event streaming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 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Kubernetes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 standard container mgmt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Kong Enterprise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Plugin ecosystem, enterprise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Mesh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mTLS, traffic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GitLab CI + ArgoCD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GitOps workflow</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10.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Risiko</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Probabilitas</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c>
          <w:tcPr>
            <w:tcW w:type="dxa" w:w="3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migration dari sistem legacy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Tinggi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Kritis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Parallel running &amp; data reconciliation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Keterlambatan integrasi pihak ketiga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Sedang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Tinggi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Mock API &amp; contract testing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degradation saat peak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Sedang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Tinggi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testing &amp; auto-scaling policy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 breach / data leak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Rendah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Sangat Kritis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Zero-trust + regular pentest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Resistensi perubahan dari 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Tinggi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Sedang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management &amp; pelatihan</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11. ROADMAP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rPr>
          <w:tblHeader/>
        </w:trPr>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w:t>
            </w:r>
          </w:p>
        </w:tc>
        <w:tc>
          <w:tcPr>
            <w:tcW w:type="dxa" w:w="26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 Foundation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infra, DevOps pipeline, security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bulan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 2025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 Core PAS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Policy Admin Service, product catalog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bulan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Q2-Q3 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Claims &amp;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 customer portal, mobile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bulan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Q3-Q4 2025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 – Integration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Gateway, bancassurance, OJK reporting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bulan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Q4 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warehouse, BI dashboards, AI/ML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bulan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5 – Cutover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Go-live, hypercare, legacy decommission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bulan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Q2 2026</w:t>
            </w:r>
          </w:p>
        </w:tc>
      </w:tr>
    </w:tbl>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Internal Use Only</w:t>
    </w:r>
    <w:r>
      <w:rPr>
        <w:rFonts w:ascii="Arial" w:cs="Arial" w:eastAsia="Arial" w:hAnsi="Arial"/>
        <w:color w:val="CCCCCC"/>
        <w:sz w:val="16"/>
        <w:szCs w:val="16"/>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Solution Architecture Document</w:t>
    </w:r>
    <w:r>
      <w:rPr>
        <w:sz w:val="18"/>
        <w:szCs w:val="18"/>
      </w:rPr>
      <w:t xml:space="preserve">	</w:t>
    </w:r>
    <w:r>
      <w:rPr>
        <w:rFonts w:ascii="Arial" w:cs="Arial" w:eastAsia="Arial" w:hAnsi="Arial"/>
        <w:color w:val="CCCCC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2026-04-07T02:05:49.286Z</dcterms:created>
  <dcterms:modified xsi:type="dcterms:W3CDTF">2026-04-07T02:05:49.287Z</dcterms:modified>
</cp:coreProperties>
</file>

<file path=docProps/custom.xml><?xml version="1.0" encoding="utf-8"?>
<Properties xmlns="http://schemas.openxmlformats.org/officeDocument/2006/custom-properties" xmlns:vt="http://schemas.openxmlformats.org/officeDocument/2006/docPropsVTypes"/>
</file>