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E31837" w:val="clear"/>
        <w:spacing w:after="0" w:before="0"/>
        <w:ind w:left="300" w:right="30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ARCHITECTURE DECISION RECORD (ADR)</w:t>
      </w:r>
    </w:p>
    <w:p>
      <w:pPr>
        <w:shd w:fill="1A2647" w:val="clear"/>
        <w:spacing w:after="200" w:before="0"/>
        <w:ind w:left="300" w:right="3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PT Equity Life Indonesia — IT Architecture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Nomor ADR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ELI-ADR-2025-007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Judul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Pemilihan Database untuk Core Policy Administration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Tanggal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 April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Decision Maker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Solution Architect + CTO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Development, IT Operations, Business Analyst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KONTEKS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Policy Administration System (PAS) membutuhkan database yang mampu menangani data polis asuransi dengan karakteristik: schema yang kompleks dan sering berubah sesuai produk baru, volume tinggi (3+ juta polis aktif), kebutuhan ACID compliance untuk transaksi finansial, serta kebutuhan historisasi data untuk 10 tahun ke depan.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KEPUTUSAN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Kami memutuskan untuk menggunakan arsitektur polyglot persistence: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sebagai primary database untuk data transaksional (polis, premi, klaim)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MongoDB sebagai document store untuk konfigurasi produk yang fleksibel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Redis sebagai caching layer untuk session dan frequently accessed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ClickHouse sebagai analytical database untuk laporan dan OJK reporting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OPSI YANG DIEVALUASI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Kelebihan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Kekurangan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 (1-10)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Only (Relasional)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ACID, mature, SQL standard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 rigidity, scaling vertikal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Only (NoSQL)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Flexible schema, horizontal scale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native ACID cross-collection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Oracle 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features, OJK familiar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Biaya lisensi sangat tinggi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Polyglot (KEPUTUSAN)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of breed per use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Kompleksitas operasional lebih tinggi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KONSEKUENSI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1837"/>
          <w:sz w:val="24"/>
          <w:szCs w:val="24"/>
        </w:rPr>
        <w:t xml:space="preserve">Positif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Optimalisasi performa per jenis workload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Fleksibilitas dalam evolusi schema produk asuransi baru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Skalabilitas horizontal untuk read-heavy workload analytics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31837"/>
          <w:sz w:val="24"/>
          <w:szCs w:val="24"/>
        </w:rPr>
        <w:t xml:space="preserve">Negatif / Trade-off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 DBA perlu memiliki skill pada multiple database technology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Operational complexity meningkat (backup, monitoring, HA per database)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Perlu investasi pada data synchronization layer antar database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60" w:before="30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VALIDASI &amp;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PoC Dilakukan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 — Benchmark dengan 1 juta record polis simulasi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Hasil PoC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PostgreSQL: avg query 45ms | MongoDB: product config update 12ms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Review Berikutnya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Oktober 2025 (post Phase 1 go-live)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Eskalasi Jika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Jika cost operasional melebihi 150% dari proyeksi awal</w:t>
            </w:r>
          </w:p>
        </w:tc>
      </w:tr>
    </w:tbl>
    <w:p>
      <w:pPr>
        <w:spacing w:after="100" w:before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1837" w:sz="4" w:space="2"/>
      </w:pBdr>
      <w:tabs>
        <w:tab w:val="right" w:pos="9360"/>
      </w:tabs>
    </w:pPr>
    <w:r>
      <w:rPr>
        <w:rFonts w:ascii="Arial" w:cs="Arial" w:eastAsia="Arial" w:hAnsi="Arial"/>
        <w:color w:val="CCCCCC"/>
        <w:sz w:val="16"/>
        <w:szCs w:val="16"/>
      </w:rPr>
      <w:t xml:space="preserve">© 2025 PT Equity Life Indonesia  |  Internal Use Only</w:t>
    </w:r>
    <w:r>
      <w:rPr>
        <w:rFonts w:ascii="Arial" w:cs="Arial" w:eastAsia="Arial" w:hAnsi="Arial"/>
        <w:color w:val="CCCCCC"/>
        <w:sz w:val="16"/>
        <w:szCs w:val="16"/>
      </w:rPr>
      <w:t xml:space="preserve">	Halaman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1837" w:sz="4" w:space="2"/>
      </w:pBdr>
      <w:tabs>
        <w:tab w:val="right" w:pos="9360"/>
      </w:tabs>
    </w:pPr>
    <w:r>
      <w:rPr>
        <w:rFonts w:ascii="Arial" w:cs="Arial" w:eastAsia="Arial" w:hAnsi="Arial"/>
        <w:b/>
        <w:bCs/>
        <w:color w:val="E31837"/>
        <w:sz w:val="18"/>
        <w:szCs w:val="18"/>
      </w:rPr>
      <w:t xml:space="preserve">PT Equity Life Indonesia  |  </w:t>
    </w:r>
    <w:r>
      <w:rPr>
        <w:rFonts w:ascii="Arial" w:cs="Arial" w:eastAsia="Arial" w:hAnsi="Arial"/>
        <w:color w:val="1A2647"/>
        <w:sz w:val="18"/>
        <w:szCs w:val="18"/>
      </w:rPr>
      <w:t xml:space="preserve">Architecture Decision Record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CCCCCC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264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E318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2026-04-07T02:05:49.677Z</dcterms:created>
  <dcterms:modified xsi:type="dcterms:W3CDTF">2026-04-07T02:05:49.677Z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