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ARCHITECTURE PRINCIPLES CATALOG</w:t>
      </w:r>
    </w:p>
    <w:p>
      <w:pPr>
        <w:shd w:fill="1A2647" w:val="clear"/>
        <w:spacing w:after="240" w:before="0"/>
        <w:ind w:left="360" w:right="360"/>
      </w:pPr>
      <w:r>
        <w:rPr>
          <w:rFonts w:ascii="Arial" w:cs="Arial" w:eastAsia="Arial" w:hAnsi="Arial"/>
          <w:color w:val="BFC5D4"/>
          <w:sz w:val="22"/>
          <w:szCs w:val="22"/>
        </w:rPr>
        <w:t xml:space="preserve">TOGAF ADM Preliminary Phase — PT Equity Life Indonesia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ELI-EA-PRIN-2025-001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Preliminary Phase</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 Ratified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Pemilik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Chief Enterprise Architect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Tahunan atau ketika ada perubahan strategis bisnis</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BERLAKU — Mengikat seluruh proyek IT</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TENTANG DOKUMEN INI</w:t>
      </w:r>
    </w:p>
    <w:p>
      <w:pPr>
        <w:spacing w:after="60" w:before="60"/>
      </w:pPr>
      <w:r>
        <w:rPr>
          <w:rFonts w:ascii="Arial" w:cs="Arial" w:eastAsia="Arial" w:hAnsi="Arial"/>
          <w:color w:val="2D2D2D"/>
          <w:sz w:val="22"/>
          <w:szCs w:val="22"/>
        </w:rPr>
        <w:t xml:space="preserve">Architecture Principles adalah seperangkat pernyataan yang mencerminkan nilai-nilai inti, filosofi IT, dan panduan pengambilan keputusan arsitektur di PT Equity Life Indonesia. Setiap prinsip bersifat mengikat dan harus menjadi dasar setiap keputusan desain sistem, pemilihan teknologi, dan kebijakan data.</w:t>
      </w:r>
    </w:p>
    <w:p>
      <w:pPr>
        <w:spacing w:after="60" w:before="60"/>
      </w:pPr>
      <w:r>
        <w:rPr>
          <w:rFonts w:ascii="Arial" w:cs="Arial" w:eastAsia="Arial" w:hAnsi="Arial"/>
          <w:color w:val="2D2D2D"/>
          <w:sz w:val="22"/>
          <w:szCs w:val="22"/>
        </w:rPr>
        <w:t xml:space="preserve">Prinsip-prinsip ini dikembangkan mengacu pada TOGAF ADM Preliminary Phase, diselaraskan dengan Rencana Strategis IT 2025–2028 dan regulasi OJK (POJK No. 13/2021 tentang Tata Kelola IT Perusahaan Asuransi).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FDF6E3" w:val="clear"/>
            <w:tcMar>
              <w:top w:type="dxa" w:w="120"/>
              <w:left w:type="dxa" w:w="200"/>
              <w:bottom w:type="dxa" w:w="120"/>
              <w:right w:type="dxa" w:w="200"/>
            </w:tcMar>
          </w:tcPr>
          <w:p>
            <w:r>
              <w:rPr>
                <w:rFonts w:ascii="Arial" w:cs="Arial" w:eastAsia="Arial" w:hAnsi="Arial"/>
                <w:b/>
                <w:bCs/>
                <w:color w:val="C8922A"/>
                <w:sz w:val="22"/>
                <w:szCs w:val="22"/>
              </w:rPr>
              <w:t xml:space="preserve">Cara Menggunakan Dokumen Ini</w:t>
            </w:r>
          </w:p>
          <w:p>
            <w:pPr>
              <w:spacing w:before="60"/>
            </w:pPr>
            <w:r>
              <w:rPr>
                <w:rFonts w:ascii="Arial" w:cs="Arial" w:eastAsia="Arial" w:hAnsi="Arial"/>
                <w:color w:val="2D2D2D"/>
                <w:sz w:val="21"/>
                <w:szCs w:val="21"/>
              </w:rPr>
              <w:t xml:space="preserve">Setiap Solution Architect wajib merujuk prinsip-prinsip ini sebelum membuat keputusan arsitektur. Jika ada keputusan yang berpotensi melanggar prinsip, harus melalui Architecture Board Dispensation Process terlebih dahulu.</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PRINSIP BISNIS (Business Principles)</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BP-01 — Primacy of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Prinsip arsitektur ini berlaku di seluruh organisasi dan mengikat semua unit bisnis dan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Tanpa prinsip yang seragam, setiap proyek akan membuat keputusan berdasarkan kepentingan lokal yang saling bertentangan, menghasilkan fragmentasi sistem yang mahal.</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Setiap pengecualian harus mendapat persetujuan Architecture Review Board. Tidak ada unit yang dapat mengklaim keistimewaan dari prinsip ini.</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BP-02 — Maximize Benefit to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Keputusan arsitektur dibuat untuk memaksimalkan manfaat bagi PT Equity Life Indonesia secara keseluruhan, bukan hanya unit bisnis atau proyek tertentu.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Optimasi lokal seringkali menghasilkan sub-optimasi di tingkat enterprise. Solusi yang menguntungkan satu divisi tetapi merugikan keseluruhan perusahaan harus dihindari.</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Shared services diutamakan atas solusi silo. Cost dan benefit harus dianalisis pada level enterprise, bukan hanya level proyek.</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BP-03 — IT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Departemen IT bertanggung jawab atas penyediaan infrastruktur, keamanan, dan layanan bersama. Bisnis bertanggung jawab atas data dan proses bisnis.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Kejelasan tanggung jawab mencegah konflik kepemilikan aset IT dan memastikan akuntabilitas yang jelas.</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RACI Matrix harus didefinisikan untuk setiap sistem dan aset data. Shadow IT tidak diizinkan tanpa persetujuan Architecture Board.</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PRINSIP DATA (Data Principles)</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DP-01 — Data is an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adalah aset strategis perusahaan yang harus dikelola, dilindungi, dan dioptimalkan seperti aset bisnis lainnya.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PT Equity Life Indonesia mengelola data 3+ juta nasabah. Kualitas dan keamanan data langsung mempengaruhi kepercayaan nasabah dan kepatuhan regulasi OJK.</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Setiap data domain harus memiliki Data Owner. Data Catalog wajib diimplementasikan. Kualitas data diukur dan dilaporkan secara berkala.</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DP-02 — Data is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yang digunakan untuk menjalankan perusahaan adalah milik bersama enterprise, bukan milik unit bisnis atau aplikasi tertentu.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Fragmentasi data dalam silo menciptakan inkonsistensi, duplikasi, dan meningkatkan biaya integrasi.</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Canonical Data Model enterprise harus ditetapkan. API adalah satu-satunya cara berbagi data antar sistem. Duplikasi data di luar mekanisme resmi dilarang.</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DP-03 — Data is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tersedia bagi pengguna yang berhak dalam format dan waktu yang dibutuhkan, dengan tetap menjaga keamanan dan privasi.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Akses data yang lambat dan sulit menghambat pengambilan keputusan bisnis dan pelayanan nasabah.</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Role-Based Access Control (RBAC) wajib diterapkan. Self-service analytics disediakan untuk pengguna bisnis yang berwenang.</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DP-04 — Data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nasabah dilindungi sesuai UU PDP No. 27/2022, POJK, dan standar ISO 27001. Privacy by Design diterapkan di semua sistem baru.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Pelanggaran data nasabah dapat mengakibatkan sanksi OJK, kerugian reputasi, dan tuntutan hukum.</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Enkripsi wajib untuk data PII at rest dan in transit. Data retention policy harus diimplementasikan. DPIA (Data Protection Impact Assessment) wajib untuk sistem baru yang memproses PII.</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PRINSIP APLIKASI (Application Principles)</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AP-01 — Technology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Aplikasi dirancang agar tidak terikat pada satu vendor atau teknologi tertentu (avoid vendor lock-in).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Ketergantungan pada satu vendor meningkatkan risiko bisnis dan membatasi negosiasi kontrak.</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Prioritaskan open standards dan open-source. Abstraction layer wajib ada untuk komponen infrastruktur kritis. Vendor-neutral API harus digunakan.</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AP-02 — Ease of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Aplikasi dirancang berpusat pada pengguna (user-centric). Kemudahan penggunaan adalah persyaratan arsitektur, bukan afterthought.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Adopsi sistem yang rendah karena UX yang buruk mengakibatkan investasi IT yang sia-sia dan produktivitas rendah.</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research dan usability testing wajib dilakukan sebelum go-live. Aksesibilitas (WCAG 2.1 Level AA) harus dipenuhi.</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AP-03 — Service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Fungsi bisnis diimplementasikan sebagai layanan (services) yang dapat digunakan ulang, bukan sebagai logika yang tertanam dalam aplikasi monolitik.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Service-oriented approach meningkatkan reusability, mengurangi duplikasi pengembangan, dan memungkinkan komposisi layanan yang fleksibel.</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Microservices architecture menjadi standar untuk sistem baru. API catalog harus dipelihara. Setiap service wajib memiliki SLA yang terdefinisi.</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5. PRINSIP TEKNOLOGI (Technology Principles)</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TP-01 — Interoperability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Semua sistem IT harus dapat berinteraksi satu sama lain melalui standar terbuka yang terdefinisi.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Ekosistem PT Equity Life Indonesia melibatkan 90+ mitra lembaga keuangan. Interoperabilitas adalah kebutuhan bisnis fundamental.</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RESTful API dengan OpenAPI 3.0 adalah standar integrasi. SOAP hanya untuk integrasi legacy yang tidak dapat dihindari. Semua API wajib terdokumentasi di API Gateway.</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TP-02 —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Sistem kritis bisnis dirancang untuk mencapai ketersediaan minimum 99.9% dengan rencana pemulihan bencana yang tervalidasi.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Gangguan sistem asuransi berdampak langsung pada nasabah dan dapat dikenai sanksi OJK jika melampaui threshold downtime.</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Availability (HA) wajib untuk sistem tier-1. DR drill dilakukan minimal 2x per tahun. RTO dan RPO ditetapkan dan dikontrak dengan vendor.</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TP-03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Keamanan adalah persyaratan fundamental, bukan fitur tambahan. Zero-Trust Architecture diterapkan di semua lapisan.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Perusahaan asuransi adalah target serangan siber bernilai tinggi karena menyimpan data finansial dan kesehatan nasabah dalam jumlah besar.</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DevSecOps wajib diterapkan dalam pipeline CI/CD. Penetration testing eksternal minimum 1x per tahun. Security by Design menjadi kriteria arsitektur review.</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TP-04 —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Pernyataan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Sistem dirancang untuk dapat diskalakan secara horizontal dan vertikal sesuai pertumbuhan bisnis tanpa perlu re-arsitektur.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Rasional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PT Equity Life Indonesia menargetkan pertumbuhan polis aktif dari 3 juta menjadi 5 juta dalam 3 tahun.</w:t>
            </w:r>
          </w:p>
        </w:tc>
      </w:tr>
      <w:tr>
        <w:tc>
          <w:tcPr>
            <w:tcW w:type="dxa" w:w="2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Implikasi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Cloud-native dan containerization (Kubernetes) menjadi standar platform. Auto-scaling policy wajib dikonfigurasi. Load testing dengan 200% peak load sebelum go-live.</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6. REGISTRY PENGECUALIAN (Exception Registry)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500"/>
        <w:gridCol w:w="1300"/>
        <w:gridCol w:w="1160"/>
      </w:tblGrid>
      <w:tr>
        <w:trPr>
          <w:tblHeader/>
        </w:trPr>
        <w:tc>
          <w:tcPr>
            <w:tcW w:type="dxa" w:w="1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Pengecualian</w:t>
            </w:r>
          </w:p>
        </w:tc>
        <w:tc>
          <w:tcPr>
            <w:tcW w:type="dxa" w:w="1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Prinsip</w:t>
            </w:r>
          </w:p>
        </w:tc>
        <w:tc>
          <w:tcPr>
            <w:tcW w:type="dxa" w:w="16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Sistem/Proyek</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Alasan</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Disetujui Oleh</w:t>
            </w:r>
          </w:p>
        </w:tc>
        <w:tc>
          <w:tcPr>
            <w:tcW w:type="dxa" w:w="11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Berlaku Hingga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EXC-2024-001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TP-01 Interoperability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Integrasi BPJS Legacy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BPJS hanya mendukung SOAP. Sedang diajukan untuk migrasi ke REST API pada 2026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Board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31 Des 2025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EXC-2024-002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AP-01 Tech Independence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Oracle DB — Sistem Aktuaria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Sistem aktuaria menggunakan fitur spesifik Oracle yang belum tersedia di PostgreSQL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CTO + Architecture Board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31 Des 2026</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EA-DOC-01: Architecture Principles</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2026-04-07T02:44:11.885Z</dcterms:created>
  <dcterms:modified xsi:type="dcterms:W3CDTF">2026-04-07T02:44:11.886Z</dcterms:modified>
</cp:coreProperties>
</file>

<file path=docProps/custom.xml><?xml version="1.0" encoding="utf-8"?>
<Properties xmlns="http://schemas.openxmlformats.org/officeDocument/2006/custom-properties" xmlns:vt="http://schemas.openxmlformats.org/officeDocument/2006/docPropsVTypes"/>
</file>