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31837" w:val="clear"/>
        <w:spacing w:after="0" w:before="0"/>
        <w:ind w:left="360" w:right="360"/>
      </w:pPr>
      <w:r>
        <w:rPr>
          <w:rFonts w:ascii="Arial" w:cs="Arial" w:eastAsia="Arial" w:hAnsi="Arial"/>
          <w:b/>
          <w:bCs/>
          <w:color w:val="FFFFFF"/>
          <w:sz w:val="48"/>
          <w:szCs w:val="48"/>
        </w:rPr>
        <w:t xml:space="preserve">ARCHITECTURE VISION</w:t>
      </w:r>
    </w:p>
    <w:p>
      <w:pPr>
        <w:shd w:fill="1A2647" w:val="clear"/>
        <w:spacing w:after="240" w:before="0"/>
        <w:ind w:left="360" w:right="360"/>
      </w:pPr>
      <w:r>
        <w:rPr>
          <w:rFonts w:ascii="Arial" w:cs="Arial" w:eastAsia="Arial" w:hAnsi="Arial"/>
          <w:color w:val="BFC5D4"/>
          <w:sz w:val="22"/>
          <w:szCs w:val="22"/>
        </w:rPr>
        <w:t xml:space="preserve">TOGAF ADM Phase A — Statement of Architecture 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Nomor Dokumen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ELI-EA-VISION-2025-001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TOGAF Phase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A — Architecture Vision</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Versi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Tanggal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April 2025</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Architecture Sponsor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Presiden Direktur PT Equity Life Indonesia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Chief Enterprise Architect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[Nama CEA]</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Stakeholder Utama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BOD, CTO, CFO, CCO, Head of IT, Head of Business Lines</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1. RINGKASAN EKSEKUTIF</w:t>
      </w:r>
    </w:p>
    <w:p>
      <w:pPr>
        <w:spacing w:after="60" w:before="60"/>
      </w:pPr>
      <w:r>
        <w:rPr>
          <w:rFonts w:ascii="Arial" w:cs="Arial" w:eastAsia="Arial" w:hAnsi="Arial"/>
          <w:color w:val="2D2D2D"/>
          <w:sz w:val="22"/>
          <w:szCs w:val="22"/>
        </w:rPr>
        <w:t xml:space="preserve">PT Equity Life Indonesia memulai program transformasi Enterprise Architecture (EA) untuk mendukung visi perusahaan menjadi perusahaan asuransi digital terdepan di Indonesia pada 2028. Program ini mencakup modernisasi seluruh stack teknologi, transformasi proses bisnis, dan peningkatan kapabilitas data analytics yang akan memungkinkan perusahaan melayani 5+ juta nasabah secara digital pada akhir 2027.</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31837" w:sz="1"/>
              <w:left w:val="single" w:color="E31837" w:sz="12"/>
              <w:bottom w:val="single" w:color="E31837" w:sz="1"/>
              <w:right w:val="single" w:color="E31837" w:sz="1"/>
            </w:tcBorders>
            <w:shd w:fill="FDECEA" w:val="clear"/>
            <w:tcMar>
              <w:top w:type="dxa" w:w="120"/>
              <w:left w:type="dxa" w:w="200"/>
              <w:bottom w:type="dxa" w:w="120"/>
              <w:right w:type="dxa" w:w="200"/>
            </w:tcMar>
          </w:tcPr>
          <w:p>
            <w:r>
              <w:rPr>
                <w:rFonts w:ascii="Arial" w:cs="Arial" w:eastAsia="Arial" w:hAnsi="Arial"/>
                <w:b/>
                <w:bCs/>
                <w:color w:val="E31837"/>
                <w:sz w:val="22"/>
                <w:szCs w:val="22"/>
              </w:rPr>
              <w:t xml:space="preserve">Pernyataan Visi Arsitektur</w:t>
            </w:r>
          </w:p>
          <w:p>
            <w:pPr>
              <w:spacing w:before="60"/>
            </w:pPr>
            <w:r>
              <w:rPr>
                <w:rFonts w:ascii="Arial" w:cs="Arial" w:eastAsia="Arial" w:hAnsi="Arial"/>
                <w:color w:val="2D2D2D"/>
                <w:sz w:val="21"/>
                <w:szCs w:val="21"/>
              </w:rPr>
              <w:t xml:space="preserve">"PT Equity Life Indonesia akan membangun ekosistem teknologi terpadu, aman, dan skalabel yang memungkinkan distribusi produk asuransi secara real-time melalui semua channel, memberikan pengalaman nasabah kelas dunia, dan mendukung pengambilan keputusan berbasis data bagi manajemen dan mitra bisnis."</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2. KONTEKS BISNIS &amp; PENDORONG TRANSFORMASI</w:t>
      </w:r>
    </w:p>
    <w:p>
      <w:pPr>
        <w:pStyle w:val="Heading3"/>
        <w:spacing w:after="80" w:before="180"/>
      </w:pPr>
      <w:r>
        <w:rPr>
          <w:rFonts w:ascii="Arial" w:cs="Arial" w:eastAsia="Arial" w:hAnsi="Arial"/>
          <w:b/>
          <w:bCs/>
          <w:color w:val="E31837"/>
          <w:sz w:val="24"/>
          <w:szCs w:val="24"/>
        </w:rPr>
        <w:t xml:space="preserve">2.1 Konteks Strategis</w:t>
      </w:r>
    </w:p>
    <w:p>
      <w:pPr>
        <w:spacing w:after="60" w:before="60"/>
      </w:pPr>
      <w:r>
        <w:rPr>
          <w:rFonts w:ascii="Arial" w:cs="Arial" w:eastAsia="Arial" w:hAnsi="Arial"/>
          <w:color w:val="2D2D2D"/>
          <w:sz w:val="22"/>
          <w:szCs w:val="22"/>
        </w:rPr>
        <w:t xml:space="preserve">PT Equity Life Indonesia (berdiri 1987) adalah perusahaan asuransi jiwa dengan lebih dari 3 juta nasabah individu dan kumpulan, bekerja sama dengan 90+ mitra lembaga keuangan, memiliki 20 kantor pelayanan di seluruh Indonesia, dan diawasi oleh Otoritas Jasa Keuangan (OJK).</w:t>
      </w:r>
    </w:p>
    <w:p>
      <w:pPr>
        <w:spacing w:after="80" w:before="80"/>
      </w:pPr>
      <w:r>
        <w:t xml:space="preserve"/>
      </w:r>
    </w:p>
    <w:p>
      <w:pPr>
        <w:pStyle w:val="Heading3"/>
        <w:spacing w:after="80" w:before="180"/>
      </w:pPr>
      <w:r>
        <w:rPr>
          <w:rFonts w:ascii="Arial" w:cs="Arial" w:eastAsia="Arial" w:hAnsi="Arial"/>
          <w:b/>
          <w:bCs/>
          <w:color w:val="E31837"/>
          <w:sz w:val="24"/>
          <w:szCs w:val="24"/>
        </w:rPr>
        <w:t xml:space="preserve">2.2 Pendorong Transformasi (Architecture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1560"/>
      </w:tblGrid>
      <w:tr>
        <w:trPr>
          <w:tblHeader/>
        </w:trPr>
        <w:tc>
          <w:tcPr>
            <w:tcW w:type="dxa" w:w="1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Kategori</w:t>
            </w:r>
          </w:p>
        </w:tc>
        <w:tc>
          <w:tcPr>
            <w:tcW w:type="dxa" w:w="2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Driver</w:t>
            </w:r>
          </w:p>
        </w:tc>
        <w:tc>
          <w:tcPr>
            <w:tcW w:type="dxa" w:w="2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Dampak</w:t>
            </w:r>
          </w:p>
        </w:tc>
        <w:tc>
          <w:tcPr>
            <w:tcW w:type="dxa" w:w="15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Regulasi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POJK No. 13/2021 — kewajiban tata kelola IT perusahaan asuransi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Compliance risk — potensi sanksi OJK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KRITIS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Regulasi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UU PDP No. 27/2022 — perlindungan data pribadi nasabah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Compliance risk + reputasi</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KRITIS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Bisnis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Target polis aktif 5 juta pada 2027 — sistem legacy tidak mampu scale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Capacity constraint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TINGGI</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Bisnis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Time-to-market produk baru saat ini 6 bulan — kompetitor hanya 6 minggu</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Kehilangan peluang pasar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TINGGI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Bisnis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Ekspansi bancassurance — mitra bank membutuhkan real-time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Revenue opportunity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TINGGI</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Teknologi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Core system legacy (15+ tahun) — tidak dapat diintegrasikan dengan ekosistem digital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Technical debt kritis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TINGGI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Teknologi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Tidak ada data warehouse — laporan regulasi OJK dibuat secara manual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Operasional inefficiency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SEDANG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Pelanggan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Nasabah mengharapkan layanan self-service 24/7 via mobile app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Churn risk</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SEDANG</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3. SCOPE ARCHITECTURE WORK</w:t>
      </w:r>
    </w:p>
    <w:p>
      <w:pPr>
        <w:pStyle w:val="Heading3"/>
        <w:spacing w:after="80" w:before="180"/>
      </w:pPr>
      <w:r>
        <w:rPr>
          <w:rFonts w:ascii="Arial" w:cs="Arial" w:eastAsia="Arial" w:hAnsi="Arial"/>
          <w:b/>
          <w:bCs/>
          <w:color w:val="E31837"/>
          <w:sz w:val="24"/>
          <w:szCs w:val="24"/>
        </w:rPr>
        <w:t xml:space="preserve">3.1 In Scope</w:t>
      </w:r>
    </w:p>
    <w:p>
      <w:pPr>
        <w:pStyle w:val="ListParagraph"/>
        <w:numPr>
          <w:ilvl w:val="0"/>
          <w:numId w:val="2"/>
        </w:numPr>
        <w:spacing w:after="40" w:before="40"/>
      </w:pPr>
      <w:r>
        <w:rPr>
          <w:rFonts w:ascii="Arial" w:cs="Arial" w:eastAsia="Arial" w:hAnsi="Arial"/>
          <w:color w:val="2D2D2D"/>
          <w:sz w:val="22"/>
          <w:szCs w:val="22"/>
        </w:rPr>
        <w:t xml:space="preserve">Business Architecture: Pemetaan dan transformasi proses bisnis asuransi jiwa, kesehatan, dan dana pensiun</w:t>
      </w:r>
    </w:p>
    <w:p>
      <w:pPr>
        <w:pStyle w:val="ListParagraph"/>
        <w:numPr>
          <w:ilvl w:val="0"/>
          <w:numId w:val="2"/>
        </w:numPr>
        <w:spacing w:after="40" w:before="40"/>
      </w:pPr>
      <w:r>
        <w:rPr>
          <w:rFonts w:ascii="Arial" w:cs="Arial" w:eastAsia="Arial" w:hAnsi="Arial"/>
          <w:color w:val="2D2D2D"/>
          <w:sz w:val="22"/>
          <w:szCs w:val="22"/>
        </w:rPr>
        <w:t xml:space="preserve">Information Architecture: Canonical Data Model, Data Governance, Master Data Management</w:t>
      </w:r>
    </w:p>
    <w:p>
      <w:pPr>
        <w:pStyle w:val="ListParagraph"/>
        <w:numPr>
          <w:ilvl w:val="0"/>
          <w:numId w:val="2"/>
        </w:numPr>
        <w:spacing w:after="40" w:before="40"/>
      </w:pPr>
      <w:r>
        <w:rPr>
          <w:rFonts w:ascii="Arial" w:cs="Arial" w:eastAsia="Arial" w:hAnsi="Arial"/>
          <w:color w:val="2D2D2D"/>
          <w:sz w:val="22"/>
          <w:szCs w:val="22"/>
        </w:rPr>
        <w:t xml:space="preserve">Application Architecture: Modernisasi Core Insurance System, Customer Portal, Agent Portal, Mobile App</w:t>
      </w:r>
    </w:p>
    <w:p>
      <w:pPr>
        <w:pStyle w:val="ListParagraph"/>
        <w:numPr>
          <w:ilvl w:val="0"/>
          <w:numId w:val="2"/>
        </w:numPr>
        <w:spacing w:after="40" w:before="40"/>
      </w:pPr>
      <w:r>
        <w:rPr>
          <w:rFonts w:ascii="Arial" w:cs="Arial" w:eastAsia="Arial" w:hAnsi="Arial"/>
          <w:color w:val="2D2D2D"/>
          <w:sz w:val="22"/>
          <w:szCs w:val="22"/>
        </w:rPr>
        <w:t xml:space="preserve">Technology Architecture: Cloud infrastructure, API Gateway, Security, DevOps platform</w:t>
      </w:r>
    </w:p>
    <w:p>
      <w:pPr>
        <w:pStyle w:val="ListParagraph"/>
        <w:numPr>
          <w:ilvl w:val="0"/>
          <w:numId w:val="2"/>
        </w:numPr>
        <w:spacing w:after="40" w:before="40"/>
      </w:pPr>
      <w:r>
        <w:rPr>
          <w:rFonts w:ascii="Arial" w:cs="Arial" w:eastAsia="Arial" w:hAnsi="Arial"/>
          <w:color w:val="2D2D2D"/>
          <w:sz w:val="22"/>
          <w:szCs w:val="22"/>
        </w:rPr>
        <w:t xml:space="preserve">Integrasi: Bancassurance API, OJK Reporting, BPJS, Payment Gateway, Rumah Sakit Rekanan</w:t>
      </w:r>
    </w:p>
    <w:p>
      <w:pPr>
        <w:spacing w:after="80" w:before="80"/>
      </w:pPr>
      <w:r>
        <w:t xml:space="preserve"/>
      </w:r>
    </w:p>
    <w:p>
      <w:pPr>
        <w:pStyle w:val="Heading3"/>
        <w:spacing w:after="80" w:before="180"/>
      </w:pPr>
      <w:r>
        <w:rPr>
          <w:rFonts w:ascii="Arial" w:cs="Arial" w:eastAsia="Arial" w:hAnsi="Arial"/>
          <w:b/>
          <w:bCs/>
          <w:color w:val="E31837"/>
          <w:sz w:val="24"/>
          <w:szCs w:val="24"/>
        </w:rPr>
        <w:t xml:space="preserve">3.2 Out of Scope (Fase Pertama)</w:t>
      </w:r>
    </w:p>
    <w:p>
      <w:pPr>
        <w:pStyle w:val="ListParagraph"/>
        <w:numPr>
          <w:ilvl w:val="0"/>
          <w:numId w:val="2"/>
        </w:numPr>
        <w:spacing w:after="40" w:before="40"/>
      </w:pPr>
      <w:r>
        <w:rPr>
          <w:rFonts w:ascii="Arial" w:cs="Arial" w:eastAsia="Arial" w:hAnsi="Arial"/>
          <w:color w:val="2D2D2D"/>
          <w:sz w:val="22"/>
          <w:szCs w:val="22"/>
        </w:rPr>
        <w:t xml:space="preserve">Sistem aktuaria dan perhitungan cadangan teknis (dijadwalkan fase 2, 2026)</w:t>
      </w:r>
    </w:p>
    <w:p>
      <w:pPr>
        <w:pStyle w:val="ListParagraph"/>
        <w:numPr>
          <w:ilvl w:val="0"/>
          <w:numId w:val="2"/>
        </w:numPr>
        <w:spacing w:after="40" w:before="40"/>
      </w:pPr>
      <w:r>
        <w:rPr>
          <w:rFonts w:ascii="Arial" w:cs="Arial" w:eastAsia="Arial" w:hAnsi="Arial"/>
          <w:color w:val="2D2D2D"/>
          <w:sz w:val="22"/>
          <w:szCs w:val="22"/>
        </w:rPr>
        <w:t xml:space="preserve">Sistem HR dan Payroll (bukan sistem core asuransi)</w:t>
      </w:r>
    </w:p>
    <w:p>
      <w:pPr>
        <w:pStyle w:val="ListParagraph"/>
        <w:numPr>
          <w:ilvl w:val="0"/>
          <w:numId w:val="2"/>
        </w:numPr>
        <w:spacing w:after="40" w:before="40"/>
      </w:pPr>
      <w:r>
        <w:rPr>
          <w:rFonts w:ascii="Arial" w:cs="Arial" w:eastAsia="Arial" w:hAnsi="Arial"/>
          <w:color w:val="2D2D2D"/>
          <w:sz w:val="22"/>
          <w:szCs w:val="22"/>
        </w:rPr>
        <w:t xml:space="preserve">Kantor-kantor luar negeri (tidak ada saat ini)</w:t>
      </w:r>
    </w:p>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4. STAKEHOLDER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000"/>
        <w:gridCol w:w="2060"/>
      </w:tblGrid>
      <w:tr>
        <w:trPr>
          <w:tblHeader/>
        </w:trPr>
        <w:tc>
          <w:tcPr>
            <w:tcW w:type="dxa" w:w="1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Stakeholder</w:t>
            </w:r>
          </w:p>
        </w:tc>
        <w:tc>
          <w:tcPr>
            <w:tcW w:type="dxa" w:w="1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Peran</w:t>
            </w:r>
          </w:p>
        </w:tc>
        <w:tc>
          <w:tcPr>
            <w:tcW w:type="dxa" w:w="3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Kepentingan Utama</w:t>
            </w:r>
          </w:p>
        </w:tc>
        <w:tc>
          <w:tcPr>
            <w:tcW w:type="dxa" w:w="20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Tingkat Keterlibatan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Presiden Direktur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Architecture Sponsor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Return on Investment, reputasi perusahaan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Keputusan strategis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CTO / Direktur IT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Architecture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Feasibilitas teknis, delivery timeline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Review mingguan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CFO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Budget Approver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Cost control, TCO, ROI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Milestone review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Chief Commercial Officer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Business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Time-to-market, agent experience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Validasi kebutuhan bisnis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Chief Risk Officer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Risk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Compliance OJK, keamanan data, operational risk</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Sign-off architecture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Head of IT Development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Delivery Lead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Implementasi, resource, methodology</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Daily involvement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IT Security Manager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Security Architect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Keamanan sistem, compliance ISO 27001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Architecture review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 Protection Officer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Privacy Lead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UU PDP compliance, consent management</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Review data architecture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Head of Bancassurance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Channel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API integration, SLA dengan bank mitra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Validasi integrasi</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OJK (Regulator)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Regulatory Body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Kepatuhan POJK, pelaporan, audit trail</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Indirect — via compliance</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5. TARGET ARCHITECTURE — HIGH LEVEL VIEW</w:t>
      </w:r>
    </w:p>
    <w:p>
      <w:pPr>
        <w:pStyle w:val="Heading3"/>
        <w:spacing w:after="80" w:before="180"/>
      </w:pPr>
      <w:r>
        <w:rPr>
          <w:rFonts w:ascii="Arial" w:cs="Arial" w:eastAsia="Arial" w:hAnsi="Arial"/>
          <w:b/>
          <w:bCs/>
          <w:color w:val="E31837"/>
          <w:sz w:val="24"/>
          <w:szCs w:val="24"/>
        </w:rPr>
        <w:t xml:space="preserve">5.1 Kapabilitas Bisnis yang Diinginkan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Kapabilitas</w:t>
            </w:r>
          </w:p>
        </w:tc>
        <w:tc>
          <w:tcPr>
            <w:tcW w:type="dxa" w:w="1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Kondisi Saat Ini</w:t>
            </w:r>
          </w:p>
        </w:tc>
        <w:tc>
          <w:tcPr>
            <w:tcW w:type="dxa" w:w="1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2027</w:t>
            </w:r>
          </w:p>
        </w:tc>
        <w:tc>
          <w:tcPr>
            <w:tcW w:type="dxa" w:w="37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Time-to-Market Produk Baru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6 bulan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6 minggu</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Perlu product rules engine &amp; workflow otomatis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Distribusi Digital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5% penjualan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35% penjualan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Perlu customer portal &amp; mobile 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Real-time Claims Processing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3–14 hari kerja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1 hari (otomatis)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Perlu AI/ML adjudication engine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API Bancassurance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Batch file (D+1)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Real-time API (&lt; 1 detik)</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Perlu API Gateway &amp; event streaming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Analytics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Laporan manual (mingguan)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Self-service BI (real-time)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Perlu data warehouse &amp; BI platform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Customer Self-Service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Call center + agen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90% via digital (24/7)</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Perlu portal + chatbot 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OJK Regulatory Reporting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Manual (2–3 hari)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Otomatis (T+0)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Perlu regulatory reporting engine</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6. UKURAN KEBERHASILAN (Architecture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2360"/>
      </w:tblGrid>
      <w:tr>
        <w:trPr>
          <w:tblHeader/>
        </w:trPr>
        <w:tc>
          <w:tcPr>
            <w:tcW w:type="dxa" w:w="2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Metrik</w:t>
            </w:r>
          </w:p>
        </w:tc>
        <w:tc>
          <w:tcPr>
            <w:tcW w:type="dxa" w:w="17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Baseline (2024)</w:t>
            </w:r>
          </w:p>
        </w:tc>
        <w:tc>
          <w:tcPr>
            <w:tcW w:type="dxa" w:w="17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2026</w:t>
            </w:r>
          </w:p>
        </w:tc>
        <w:tc>
          <w:tcPr>
            <w:tcW w:type="dxa" w:w="23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2027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System Availability (Core)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96.5%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99.5%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99.9%</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Time-to-Market Produk Baru</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6 bulan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 bulan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6 minggu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 Transaksi via Digital Channel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60%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Waktu Proses Klaim (rata-rata)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8 hari kerja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 hari kerja</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&lt; 1 hari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IT Cost / Total Premium Revenue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CSAT Nasabah (digital channel)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3.2/5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4.0/5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4.5/5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Quality Score (Master Data)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Tidak diukur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85%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Compliance Score (OJK Audit)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72%</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90%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98%</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7. ARCHITECTURE GOVERNANCE</w:t>
      </w:r>
    </w:p>
    <w:p>
      <w:pPr>
        <w:pStyle w:val="Heading3"/>
        <w:spacing w:after="80" w:before="180"/>
      </w:pPr>
      <w:r>
        <w:rPr>
          <w:rFonts w:ascii="Arial" w:cs="Arial" w:eastAsia="Arial" w:hAnsi="Arial"/>
          <w:b/>
          <w:bCs/>
          <w:color w:val="E31837"/>
          <w:sz w:val="24"/>
          <w:szCs w:val="24"/>
        </w:rPr>
        <w:t xml:space="preserve">7.1 Architecture Review Board (ARB)</w:t>
      </w:r>
    </w:p>
    <w:p>
      <w:pPr>
        <w:spacing w:after="60" w:before="60"/>
      </w:pPr>
      <w:r>
        <w:rPr>
          <w:rFonts w:ascii="Arial" w:cs="Arial" w:eastAsia="Arial" w:hAnsi="Arial"/>
          <w:color w:val="2D2D2D"/>
          <w:sz w:val="22"/>
          <w:szCs w:val="22"/>
        </w:rPr>
        <w:t xml:space="preserve">ARB adalah badan pengambil keputusan tertinggi untuk semua keputusan arsitektur di PT Equity Life Indonesia. ARB bertemu setiap dua minggu untuk mereview proposal arsitektur, ADR, dan dispensasi dari prinsip.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Anggota ARB</w:t>
            </w:r>
          </w:p>
        </w:tc>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Jabatan</w:t>
            </w:r>
          </w:p>
        </w:tc>
        <w:tc>
          <w:tcPr>
            <w:tcW w:type="dxa" w:w="48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Peran dalam ARB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Chief Enterprise Architect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Pemimpin ARB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Facilitator, final tiebreaker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CTO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Direktur IT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Sponsor eksekutif &amp; keputusan strategis 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Chief Risk Officer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Direktur Risiko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Risk &amp; compliance sign-off</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Head of IT Security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Security Architect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Security review &amp; approval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Head of IT Development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Delivery Lead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Feasibility &amp; resource assessment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Business Architect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 Team Member</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Alignment dengan proses bisnis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Architect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 Team Member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architecture review</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8. TIMELINE &amp; DELIVERABLES EA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500"/>
        <w:gridCol w:w="1260"/>
      </w:tblGrid>
      <w:tr>
        <w:trPr>
          <w:tblHeader/>
        </w:trPr>
        <w:tc>
          <w:tcPr>
            <w:tcW w:type="dxa" w:w="1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Deliverables</w:t>
            </w:r>
          </w:p>
        </w:tc>
        <w:tc>
          <w:tcPr>
            <w:tcW w:type="dxa" w:w="1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12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Preliminary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Architecture Principles, Governance Framework, Tooling setup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Q1 2025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SELESAI</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Architecture Vision, SOAW, Stakeholder map</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Q1 2025</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SELESAI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Business Architecture Document, Capability Map, Process Model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Q2 2025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DALAM PROSES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Information Architecture, Application Portfolio, Canonical Data Model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Q2–Q3 2025</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Technology Architecture, Infrastructure Standards, Cloud Blueprint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Q3 2025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Gap Analysis, Opportunity Assessment, Architecture Roadmap</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Q3 2025</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Migration Planning, Transition Architecture, Investment Plan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Q4 2025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Architecture Contract, Compliance Framework, ARB Procedures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Q4 2025</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Change Management Process, EA Maturity Improvement Plan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Ongoing</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PLANNED</w:t>
            </w:r>
          </w:p>
        </w:tc>
      </w:tr>
    </w:tbl>
    <w:p>
      <w:pPr>
        <w:spacing w:after="80" w:before="80"/>
      </w:pPr>
      <w: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1837" w:sz="4" w:space="2"/>
      </w:pBdr>
      <w:tabs>
        <w:tab w:val="right" w:pos="9360"/>
      </w:tabs>
    </w:pPr>
    <w:r>
      <w:rPr>
        <w:rFonts w:ascii="Arial" w:cs="Arial" w:eastAsia="Arial" w:hAnsi="Arial"/>
        <w:color w:val="CCCCCC"/>
        <w:sz w:val="16"/>
        <w:szCs w:val="16"/>
      </w:rPr>
      <w:t xml:space="preserve">© 2025 PT Equity Life Indonesia — Enterprise Architecture Program</w:t>
    </w:r>
    <w:r>
      <w:rPr>
        <w:rFonts w:ascii="Arial" w:cs="Arial" w:eastAsia="Arial" w:hAnsi="Arial"/>
        <w:color w:val="CCCCCC"/>
        <w:sz w:val="16"/>
        <w:szCs w:val="16"/>
      </w:rPr>
      <w:t xml:space="preserve">	Hal.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1837" w:sz="4" w:space="2"/>
      </w:pBdr>
      <w:tabs>
        <w:tab w:val="right" w:pos="9360"/>
      </w:tabs>
    </w:pPr>
    <w:r>
      <w:rPr>
        <w:rFonts w:ascii="Arial" w:cs="Arial" w:eastAsia="Arial" w:hAnsi="Arial"/>
        <w:b/>
        <w:bCs/>
        <w:color w:val="E31837"/>
        <w:sz w:val="18"/>
        <w:szCs w:val="18"/>
      </w:rPr>
      <w:t xml:space="preserve">PT Equity Life Indonesia  |  </w:t>
    </w:r>
    <w:r>
      <w:rPr>
        <w:rFonts w:ascii="Arial" w:cs="Arial" w:eastAsia="Arial" w:hAnsi="Arial"/>
        <w:color w:val="1A2647"/>
        <w:sz w:val="18"/>
        <w:szCs w:val="18"/>
      </w:rPr>
      <w:t xml:space="preserve">EA-DOC-02: Architecture Vision</w:t>
    </w:r>
    <w:r>
      <w:rPr>
        <w:rFonts w:ascii="Arial" w:cs="Arial" w:eastAsia="Arial" w:hAnsi="Arial"/>
        <w:color w:val="CCCCCC"/>
        <w:sz w:val="16"/>
        <w:szCs w:val="16"/>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E31837" w:sz="6" w:space="4"/>
      </w:pBdr>
      <w:spacing w:after="120" w:before="260"/>
      <w:outlineLvl w:val="1"/>
    </w:pPr>
    <w:rPr>
      <w:rFonts w:ascii="Arial" w:cs="Arial" w:eastAsia="Arial" w:hAnsi="Arial"/>
      <w:b/>
      <w:bCs/>
      <w:color w:val="1A264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318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2026-04-07T02:44:11.909Z</dcterms:created>
  <dcterms:modified xsi:type="dcterms:W3CDTF">2026-04-07T02:44:11.909Z</dcterms:modified>
</cp:coreProperties>
</file>

<file path=docProps/custom.xml><?xml version="1.0" encoding="utf-8"?>
<Properties xmlns="http://schemas.openxmlformats.org/officeDocument/2006/custom-properties" xmlns:vt="http://schemas.openxmlformats.org/officeDocument/2006/docPropsVTypes"/>
</file>