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31837" w:val="clear"/>
        <w:spacing w:after="0" w:before="0"/>
        <w:ind w:left="360" w:right="360"/>
      </w:pPr>
      <w:r>
        <w:rPr>
          <w:rFonts w:ascii="Arial" w:cs="Arial" w:eastAsia="Arial" w:hAnsi="Arial"/>
          <w:b/>
          <w:bCs/>
          <w:color w:val="FFFFFF"/>
          <w:sz w:val="48"/>
          <w:szCs w:val="48"/>
        </w:rPr>
        <w:t xml:space="preserve">BUSINESS ARCHITECTURE DOCUMENT</w:t>
      </w:r>
    </w:p>
    <w:p>
      <w:pPr>
        <w:shd w:fill="1A2647" w:val="clear"/>
        <w:spacing w:after="240" w:before="0"/>
        <w:ind w:left="360" w:right="360"/>
      </w:pPr>
      <w:r>
        <w:rPr>
          <w:rFonts w:ascii="Arial" w:cs="Arial" w:eastAsia="Arial" w:hAnsi="Arial"/>
          <w:color w:val="BFC5D4"/>
          <w:sz w:val="22"/>
          <w:szCs w:val="22"/>
        </w:rPr>
        <w:t xml:space="preserve">TOGAF ADM Phase B — PT Equity Life Indonesia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Nomor Dokumen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ELI-EA-BIZ-2025-001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TOGAF Phase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B — Business Architecture</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Versi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Tanggal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April 2025</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Business Architect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[Nama Business Architect]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Divalidasi Oleh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Chief Commercial Officer, CTO</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Metodologi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TOGAF ADM + Business Capability Modeling + BPMN 2.0</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1. BUSINESS CAPABILITY MAP</w:t>
      </w:r>
    </w:p>
    <w:p>
      <w:pPr>
        <w:spacing w:after="60" w:before="60"/>
      </w:pPr>
      <w:r>
        <w:rPr>
          <w:rFonts w:ascii="Arial" w:cs="Arial" w:eastAsia="Arial" w:hAnsi="Arial"/>
          <w:color w:val="2D2D2D"/>
          <w:sz w:val="22"/>
          <w:szCs w:val="22"/>
        </w:rPr>
        <w:t xml:space="preserve">Business Capability Map mendefinisikan SEMUA kapabilitas yang dibutuhkan PT Equity Life Indonesia untuk menjalankan bisnis asuransinya, terlepas dari siapa yang melaksanakannya (manusia atau sistem IT). Ini adalah "blueprint bisnis" yang menjadi fondasi Application Architecture.</w:t>
      </w:r>
    </w:p>
    <w:p>
      <w:pPr>
        <w:spacing w:after="80" w:before="80"/>
      </w:pPr>
      <w:r>
        <w:t xml:space="preserve"/>
      </w:r>
    </w:p>
    <w:p>
      <w:pPr>
        <w:pStyle w:val="Heading3"/>
        <w:spacing w:after="80" w:before="180"/>
      </w:pPr>
      <w:r>
        <w:rPr>
          <w:rFonts w:ascii="Arial" w:cs="Arial" w:eastAsia="Arial" w:hAnsi="Arial"/>
          <w:b/>
          <w:bCs/>
          <w:color w:val="E31837"/>
          <w:sz w:val="24"/>
          <w:szCs w:val="24"/>
        </w:rPr>
        <w:t xml:space="preserve">Level 1 Capabilities — 6 Domain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3000"/>
        <w:gridCol w:w="1700"/>
        <w:gridCol w:w="1300"/>
      </w:tblGrid>
      <w:tr>
        <w:trPr>
          <w:tblHeader/>
        </w:trPr>
        <w:tc>
          <w:tcPr>
            <w:tcW w:type="dxa" w:w="3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 Kapabilitas</w:t>
            </w:r>
          </w:p>
        </w:tc>
        <w:tc>
          <w:tcPr>
            <w:tcW w:type="dxa" w:w="3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c>
          <w:tcPr>
            <w:tcW w:type="dxa" w:w="17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Tingkat Kematangan (1-5)</w:t>
            </w:r>
          </w:p>
        </w:tc>
        <w:tc>
          <w:tcPr>
            <w:tcW w:type="dxa" w:w="13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2027</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Desain, konfigurasi, pricing, dan launch produk asuransi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 — Repeatable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 — Optimized</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Distribution &amp; Sales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Distribusi multi-channel: agency, bancassurance, digital, direct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 — Repeatable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 — Optimized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Customer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Akuisisi, onboarding, servicing, dan retensi nasabah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 — Repeatable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 — Optimized</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Policy Administration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Penerbitan, pemeliharaan, dan pengelolaan siklus hidup polis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 — Repeatable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 — Optimized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Claims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Pengajuan, investigasi, adjudikasi, dan pembayaran klaim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 — Repeatable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 — Optimized</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Finance &amp; Actuarial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Premi, investasi, cadangan teknis, dan pelaporan keuangan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 — Defined</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 — Optimized</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Level 2 Capabilities — Detail per Domain</w:t>
      </w:r>
    </w:p>
    <w:p>
      <w:pPr>
        <w:spacing w:after="60" w:before="60"/>
      </w:pPr>
      <w:r>
        <w:rPr>
          <w:rFonts w:ascii="Arial" w:cs="Arial" w:eastAsia="Arial" w:hAnsi="Arial"/>
          <w:color w:val="2D2D2D"/>
          <w:sz w:val="22"/>
          <w:szCs w:val="22"/>
        </w:rPr>
        <w:t xml:space="preserve">Domain 1: Product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Sub-Kapabilitas</w:t>
            </w:r>
          </w:p>
        </w:tc>
        <w:tc>
          <w:tcPr>
            <w:tcW w:type="dxa" w:w="24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Sistem Pendukung (As-Is)</w:t>
            </w:r>
          </w:p>
        </w:tc>
        <w:tc>
          <w:tcPr>
            <w:tcW w:type="dxa" w:w="31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Sistem Target (To-Be)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 Design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Desain struktur produk, manfaat, syarat, dan ketentuan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Manual + Word/Excel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 Configuration Engine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Product Pricing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Kalkulasi premi dan rate table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Spreadsheet aktuaria</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Automated Rating Engine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 Configuration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Setup rules produk di sistem 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Manual IT configuration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Self-service Product Catalog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Regulatory Submission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Pengajuan produk ke OJK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Manual dokumen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Regulatory Submission Portal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 Performance 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Monitoring profitabilitas dan klaim ratio per produk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Manual reporting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Automated Product Analytics</w:t>
            </w:r>
          </w:p>
        </w:tc>
      </w:tr>
    </w:tbl>
    <w:p>
      <w:pPr>
        <w:spacing w:after="80" w:before="80"/>
      </w:pPr>
      <w:r>
        <w:t xml:space="preserve"/>
      </w:r>
    </w:p>
    <w:p>
      <w:pPr>
        <w:spacing w:after="60" w:before="60"/>
      </w:pPr>
      <w:r>
        <w:rPr>
          <w:rFonts w:ascii="Arial" w:cs="Arial" w:eastAsia="Arial" w:hAnsi="Arial"/>
          <w:color w:val="2D2D2D"/>
          <w:sz w:val="22"/>
          <w:szCs w:val="22"/>
        </w:rPr>
        <w:t xml:space="preserve">Domain 4: Policy Administration (Detail Proses Kritis)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700"/>
        <w:gridCol w:w="860"/>
      </w:tblGrid>
      <w:tr>
        <w:trPr>
          <w:tblHeader/>
        </w:trPr>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Sub-Kapabilitas</w:t>
            </w:r>
          </w:p>
        </w:tc>
        <w:tc>
          <w:tcPr>
            <w:tcW w:type="dxa" w:w="2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c>
          <w:tcPr>
            <w:tcW w:type="dxa" w:w="17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SLA Target</w:t>
            </w:r>
          </w:p>
        </w:tc>
        <w:tc>
          <w:tcPr>
            <w:tcW w:type="dxa" w:w="8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New Business Processing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Pengajuan polis baru — mulai dari aplikasi hingga polis terbit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24 jam (digital)</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KRITIS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Underwriting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Penilaian risiko calon tertanggung, keputusan akseptasi</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&lt; 2 jam (straight-through)</w:t>
            </w:r>
          </w:p>
        </w:tc>
        <w:tc>
          <w:tcPr>
            <w:tcW w:type="dxa" w:w="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KRITIS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Policy Issuance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Penerbitan polis — dokumen polis digital dan fisik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Real-time (digital)</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KRITIS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Premium Collection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Pengumpulan premi melalui berbagai saluran pembayaran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Real-time confirmation</w:t>
            </w:r>
          </w:p>
        </w:tc>
        <w:tc>
          <w:tcPr>
            <w:tcW w:type="dxa" w:w="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KRITIS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Policy Servicing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Perubahan data, endorsement, suspend, reinstatement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1 hari kerja</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TINGGI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Policy Lapse Management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Pengelolaan polis yang lapse akibat non-pembayaran premi</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Otomatis T+30/60/90</w:t>
            </w:r>
          </w:p>
        </w:tc>
        <w:tc>
          <w:tcPr>
            <w:tcW w:type="dxa" w:w="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TINGGI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Surrender Processing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Proses klaim nilai tunai atas permintaan nasabah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5 hari kerja</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SEDANG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Maturity Processing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Pembayaran manfaat polis yang jatuh tempo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Otomatis pada tanggal jatuh tempo</w:t>
            </w:r>
          </w:p>
        </w:tc>
        <w:tc>
          <w:tcPr>
            <w:tcW w:type="dxa" w:w="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TINGGI</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2. BUSINESS PROCESS MODEL (AS-IS vs TO-BE)</w:t>
      </w:r>
    </w:p>
    <w:p>
      <w:pPr>
        <w:pStyle w:val="Heading3"/>
        <w:spacing w:after="80" w:before="180"/>
      </w:pPr>
      <w:r>
        <w:rPr>
          <w:rFonts w:ascii="Arial" w:cs="Arial" w:eastAsia="Arial" w:hAnsi="Arial"/>
          <w:b/>
          <w:bCs/>
          <w:color w:val="E31837"/>
          <w:sz w:val="24"/>
          <w:szCs w:val="24"/>
        </w:rPr>
        <w:t xml:space="preserve">2.1 Proses New Business — AS-IS</w:t>
      </w:r>
    </w:p>
    <w:p>
      <w:pPr>
        <w:spacing w:after="60" w:before="60"/>
      </w:pPr>
      <w:r>
        <w:rPr>
          <w:rFonts w:ascii="Arial" w:cs="Arial" w:eastAsia="Arial" w:hAnsi="Arial"/>
          <w:color w:val="2D2D2D"/>
          <w:sz w:val="22"/>
          <w:szCs w:val="22"/>
        </w:rPr>
        <w:t xml:space="preserve">Kondisi proses penjualan dan penerbitan polis saat ini membutuhkan 3–7 hari kerja dengan banyak langkah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400"/>
        <w:gridCol w:w="800"/>
        <w:gridCol w:w="4660"/>
      </w:tblGrid>
      <w:tr>
        <w:trPr>
          <w:tblHeader/>
        </w:trPr>
        <w:tc>
          <w:tcPr>
            <w:tcW w:type="dxa" w:w="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Langkah</w:t>
            </w:r>
          </w:p>
        </w:tc>
        <w:tc>
          <w:tcPr>
            <w:tcW w:type="dxa" w:w="14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Pelaksana</w:t>
            </w:r>
          </w:p>
        </w:tc>
        <w:tc>
          <w:tcPr>
            <w:tcW w:type="dxa" w:w="14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Sistem</w:t>
            </w:r>
          </w:p>
        </w:tc>
        <w:tc>
          <w:tcPr>
            <w:tcW w:type="dxa" w:w="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Waktu</w:t>
            </w:r>
          </w:p>
        </w:tc>
        <w:tc>
          <w:tcPr>
            <w:tcW w:type="dxa" w:w="46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Masalah Utama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Calon nasabah mengisi SPAJ (Surat Permintaan Asuransi Jiwa) fisik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Agen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Formulir kertas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30 menit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Rawan salah isi, tidak bisa diedit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 Agen menyerahkan SPAJ ke kantor + dokumen pendukung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Agen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Fisik / email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 hari</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Dokumen hilang, proses tidak tracked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 Admin entry data SPAJ ke sistem 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Sistem Legacy Core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 jam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Rawan human error, no validation real-time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 Underwriting assessment manual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Underwriter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Spreadsheet + email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1–3 hari</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Tidak ada audit trail, konsistensi rendah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 Approval dan penerbitan polis — print + kirim fisik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Admin + Ops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Sistem Legacy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hari</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Biaya cetak+kirim, nasabah menunggu</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6. Aktivasi polis di sistem + notifikasi ke nasabah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Admin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Sistem Legacy + email manual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 hari</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Delay notifikasi, no self-service tracking</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2.2 Proses New Business — TO-BE (Target)</w:t>
      </w:r>
    </w:p>
    <w:p>
      <w:pPr>
        <w:spacing w:after="60" w:before="60"/>
      </w:pPr>
      <w:r>
        <w:rPr>
          <w:rFonts w:ascii="Arial" w:cs="Arial" w:eastAsia="Arial" w:hAnsi="Arial"/>
          <w:color w:val="2D2D2D"/>
          <w:sz w:val="22"/>
          <w:szCs w:val="22"/>
        </w:rPr>
        <w:t xml:space="preserve">Target: Proses end-to-end &lt; 24 jam untuk nasabah standar, &lt; 1 jam untuk nasabah digital dengan straight-through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500"/>
        <w:gridCol w:w="1200"/>
        <w:gridCol w:w="4060"/>
      </w:tblGrid>
      <w:tr>
        <w:trPr>
          <w:tblHeader/>
        </w:trPr>
        <w:tc>
          <w:tcPr>
            <w:tcW w:type="dxa" w:w="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Langkah</w:t>
            </w:r>
          </w:p>
        </w:tc>
        <w:tc>
          <w:tcPr>
            <w:tcW w:type="dxa" w:w="1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Pelaksana</w:t>
            </w:r>
          </w:p>
        </w:tc>
        <w:tc>
          <w:tcPr>
            <w:tcW w:type="dxa" w:w="1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Sistem</w:t>
            </w:r>
          </w:p>
        </w:tc>
        <w:tc>
          <w:tcPr>
            <w:tcW w:type="dxa" w:w="1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Waktu Target</w:t>
            </w:r>
          </w:p>
        </w:tc>
        <w:tc>
          <w:tcPr>
            <w:tcW w:type="dxa" w:w="40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Nilai Tambah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Calon nasabah mengisi e-SPAJ di Mobile App / Portal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Nasabah (self-service)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Customer Portal / 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15 menit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Real-time validation, e-signature, paperless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 Verifikasi KTP otomatis via OCR + Face Recognition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AI System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eKYC Engine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&lt; 2 menit</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Otomatis, akurat, auditabel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 Automated underwriting rules engine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AI/Rules Engine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Underwriting Engine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5 menit (STP)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Konsisten, cepat, no human bias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 Pembayaran premi pertama via payment gateway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Nasabah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Payment Gateway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Real-time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Konfirmasi instan, multi-payment method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 Penerbitan e-polis otomatis + simpan di customer portal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PAS + Document Engine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Real-time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Tersedia seketika, bisa diunduh kapan saja</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6. Notifikasi otomatis ke nasabah + agen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System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Notification Engine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Real-time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Push notification + email + WhatsApp</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3. ORGANIZATIONAL CAPABILITY ASSESSMENT</w:t>
      </w:r>
    </w:p>
    <w:p>
      <w:pPr>
        <w:pStyle w:val="Heading3"/>
        <w:spacing w:after="80" w:before="180"/>
      </w:pPr>
      <w:r>
        <w:rPr>
          <w:rFonts w:ascii="Arial" w:cs="Arial" w:eastAsia="Arial" w:hAnsi="Arial"/>
          <w:b/>
          <w:bCs/>
          <w:color w:val="E31837"/>
          <w:sz w:val="24"/>
          <w:szCs w:val="24"/>
        </w:rPr>
        <w:t xml:space="preserve">3.1 IT Capability Maturity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1300"/>
        <w:gridCol w:w="2060"/>
      </w:tblGrid>
      <w:tr>
        <w:trPr>
          <w:tblHeader/>
        </w:trPr>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Kapabilitas IT</w:t>
            </w:r>
          </w:p>
        </w:tc>
        <w:tc>
          <w:tcPr>
            <w:tcW w:type="dxa" w:w="1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 Saat Ini</w:t>
            </w:r>
          </w:p>
        </w:tc>
        <w:tc>
          <w:tcPr>
            <w:tcW w:type="dxa" w:w="2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 Gap</w:t>
            </w:r>
          </w:p>
        </w:tc>
        <w:tc>
          <w:tcPr>
            <w:tcW w:type="dxa" w:w="13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Level</w:t>
            </w:r>
          </w:p>
        </w:tc>
        <w:tc>
          <w:tcPr>
            <w:tcW w:type="dxa" w:w="20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Waktu Pencapaian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Enterprise Architecture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 Initial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Tidak ada EA formal, keputusan ad-hoc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 — Defined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Q4 2025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Software Development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 — Repeatable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SDLC ada tapi tidak konsisten, testing manual</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 — Optimized</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Q3 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IT Security Management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 — Repeatable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Kebijakan ada tapi implementasi parsial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 — Optimized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Q2 2026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Management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 — Initial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Tidak ada data governance formal, silo data</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 — Defined</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Q4 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Cloud &amp; Infrastructure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 — Repeatable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On-premise dominant, cloud adoption minimal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 — Optimized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Q2 2026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IT Operations (ITSM)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 — Repeatable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ITIL tidak diterapkan penuh, monitoring reaktif</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 — Defined</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Q1 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API Management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 Initial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Tidak ada API Gateway, integrasi point-to-point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 — Optimized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Q3 2025</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4. BUSINESS RULES REGISTER</w:t>
      </w:r>
    </w:p>
    <w:p>
      <w:pPr>
        <w:spacing w:after="60" w:before="60"/>
      </w:pPr>
      <w:r>
        <w:rPr>
          <w:rFonts w:ascii="Arial" w:cs="Arial" w:eastAsia="Arial" w:hAnsi="Arial"/>
          <w:color w:val="2D2D2D"/>
          <w:sz w:val="22"/>
          <w:szCs w:val="22"/>
        </w:rPr>
        <w:t xml:space="preserve">Business rules berikut adalah aturan bisnis kritis yang harus diimplementasikan dalam logika sistem (bukan hanya prosedur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200"/>
        <w:gridCol w:w="2160"/>
      </w:tblGrid>
      <w:tr>
        <w:trPr>
          <w:tblHeader/>
        </w:trPr>
        <w:tc>
          <w:tcPr>
            <w:tcW w:type="dxa" w:w="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 Rule</w:t>
            </w:r>
          </w:p>
        </w:tc>
        <w:tc>
          <w:tcPr>
            <w:tcW w:type="dxa" w:w="1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w:t>
            </w:r>
          </w:p>
        </w:tc>
        <w:tc>
          <w:tcPr>
            <w:tcW w:type="dxa" w:w="4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Pernyataan Aturan Bisnis</w:t>
            </w:r>
          </w:p>
        </w:tc>
        <w:tc>
          <w:tcPr>
            <w:tcW w:type="dxa" w:w="21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Sistem yang Mengimplementasikan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BR-001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Underwriting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Calon tertanggung dengan usia &gt; 60 tahun atau BMI &gt; 35 harus melalui medical underwriting penuh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Underwriting Engine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BR-002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Premium</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Premi minimum untuk produk jiwa individu adalah Rp 200.000/bulan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Pricing Engine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BR-003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Lapse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Polis dinyatakan lapse jika premi tidak dibayar selama 60 hari setelah grace period 30 hari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Policy Admin System</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BR-004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Claims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Klaim meninggal dunia dalam 2 tahun pertama polis aktif dikenai suicide clause — harus investigasi</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Claims Management System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BR-005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Retention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nasabah harus disimpan minimum 10 tahun setelah polis berakhir sesuai regulasi OJK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Archival System</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BR-006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Reporting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Laporan bulanan ke OJK (LKPD) harus dikirim maksimal tanggal 30 bulan berikutnya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Regulatory Reporting Engine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BR-007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KYC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Nasabah dengan premi tahunan &gt; Rp 100 juta atau uang pertanggungan &gt; Rp 5 miliar wajib enhanced KYC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eKYC System</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5. BUSINESS INTERACTION MAP</w:t>
      </w:r>
    </w:p>
    <w:p>
      <w:pPr>
        <w:spacing w:after="60" w:before="60"/>
      </w:pPr>
      <w:r>
        <w:rPr>
          <w:rFonts w:ascii="Arial" w:cs="Arial" w:eastAsia="Arial" w:hAnsi="Arial"/>
          <w:color w:val="2D2D2D"/>
          <w:sz w:val="22"/>
          <w:szCs w:val="22"/>
        </w:rPr>
        <w:t xml:space="preserve">Peta interaksi berikut menggambarkan hubungan antara domain bisnis PT Equity Life Indonesia dengan pihak eksternal: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rPr>
          <w:tblHeader/>
        </w:trPr>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Entitas Eksternal</w:t>
            </w:r>
          </w:p>
        </w:tc>
        <w:tc>
          <w:tcPr>
            <w:tcW w:type="dxa" w:w="1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Jenis Hubungan</w:t>
            </w:r>
          </w:p>
        </w:tc>
        <w:tc>
          <w:tcPr>
            <w:tcW w:type="dxa" w:w="2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Kapabilitas yang Terlibat</w:t>
            </w:r>
          </w:p>
        </w:tc>
        <w:tc>
          <w:tcPr>
            <w:tcW w:type="dxa" w:w="30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Frekuensi Interaksi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Nasabah Individu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End customer — membayar premi, menerima manfaat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Customer Mgmt, PAS, Claims, Finance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Daily — jutaan transaksi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Nasabah Kumpulan (Corporate)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B2B customer — group insurance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Customer Mgmt, PAS, Claims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Monthly — billing + claims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Bank Mitra (Bancassurance)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Sales channel + premium collection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Distribution, PAS, Finance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Real-time API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Agen Asuransi (Independent)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Sales channel — komisi berbasis penjualan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Distribution, PAS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Daily — via Agent Portal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OJK (Regulator)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Regulator — pengawasan + pelaporan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Finance, Compliance, PAS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Monthly + Annual reporting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BPJS Kesehatan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Koordinasi manfaat kesehatan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Claims Management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Real-time (cashless)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Rumah Sakit Rekanan (&gt;200 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Provider layanan kesehatan cashless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Claims Management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Real-time (cashless)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Payment Gateway (Midtrans, dll)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Processor pembayaran premi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Finance, PAS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Real-time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Re-insurance Partner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Transfer risiko berlebih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Finance, Underwriting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Monthly settlement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Konsultan Aktuaria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Perhitungan cadangan teknis, pricing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Finance, Product Mgmt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Quarterly</w:t>
            </w:r>
          </w:p>
        </w:tc>
      </w:tr>
    </w:tbl>
    <w:p>
      <w:pPr>
        <w:spacing w:after="80" w:before="80"/>
      </w:pPr>
      <w: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1837" w:sz="4" w:space="2"/>
      </w:pBdr>
      <w:tabs>
        <w:tab w:val="right" w:pos="9360"/>
      </w:tabs>
    </w:pPr>
    <w:r>
      <w:rPr>
        <w:rFonts w:ascii="Arial" w:cs="Arial" w:eastAsia="Arial" w:hAnsi="Arial"/>
        <w:color w:val="CCCCCC"/>
        <w:sz w:val="16"/>
        <w:szCs w:val="16"/>
      </w:rPr>
      <w:t xml:space="preserve">© 2025 PT Equity Life Indonesia — Enterprise Architecture Program</w:t>
    </w:r>
    <w:r>
      <w:rPr>
        <w:rFonts w:ascii="Arial" w:cs="Arial" w:eastAsia="Arial" w:hAnsi="Arial"/>
        <w:color w:val="CCCCCC"/>
        <w:sz w:val="16"/>
        <w:szCs w:val="16"/>
      </w:rPr>
      <w:t xml:space="preserve">	Hal.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1837" w:sz="4" w:space="2"/>
      </w:pBdr>
      <w:tabs>
        <w:tab w:val="right" w:pos="9360"/>
      </w:tabs>
    </w:pPr>
    <w:r>
      <w:rPr>
        <w:rFonts w:ascii="Arial" w:cs="Arial" w:eastAsia="Arial" w:hAnsi="Arial"/>
        <w:b/>
        <w:bCs/>
        <w:color w:val="E31837"/>
        <w:sz w:val="18"/>
        <w:szCs w:val="18"/>
      </w:rPr>
      <w:t xml:space="preserve">PT Equity Life Indonesia  |  </w:t>
    </w:r>
    <w:r>
      <w:rPr>
        <w:rFonts w:ascii="Arial" w:cs="Arial" w:eastAsia="Arial" w:hAnsi="Arial"/>
        <w:color w:val="1A2647"/>
        <w:sz w:val="18"/>
        <w:szCs w:val="18"/>
      </w:rPr>
      <w:t xml:space="preserve">EA-DOC-03: Business Architecture</w:t>
    </w:r>
    <w:r>
      <w:rPr>
        <w:rFonts w:ascii="Arial" w:cs="Arial" w:eastAsia="Arial" w:hAnsi="Arial"/>
        <w:color w:val="CCCCCC"/>
        <w:sz w:val="16"/>
        <w:szCs w:val="16"/>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E31837" w:sz="6" w:space="4"/>
      </w:pBdr>
      <w:spacing w:after="120" w:before="260"/>
      <w:outlineLvl w:val="1"/>
    </w:pPr>
    <w:rPr>
      <w:rFonts w:ascii="Arial" w:cs="Arial" w:eastAsia="Arial" w:hAnsi="Arial"/>
      <w:b/>
      <w:bCs/>
      <w:color w:val="1A264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318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2026-04-07T02:46:32.232Z</dcterms:created>
  <dcterms:modified xsi:type="dcterms:W3CDTF">2026-04-07T02:46:32.233Z</dcterms:modified>
</cp:coreProperties>
</file>

<file path=docProps/custom.xml><?xml version="1.0" encoding="utf-8"?>
<Properties xmlns="http://schemas.openxmlformats.org/officeDocument/2006/custom-properties" xmlns:vt="http://schemas.openxmlformats.org/officeDocument/2006/docPropsVTypes"/>
</file>