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INFORMATION ARCHITECTURE DOCUMENT</w:t>
      </w:r>
    </w:p>
    <w:p>
      <w:pPr>
        <w:shd w:fill="1A2647" w:val="clear"/>
        <w:spacing w:after="240" w:before="0"/>
        <w:ind w:left="360" w:right="360"/>
      </w:pPr>
      <w:r>
        <w:rPr>
          <w:rFonts w:ascii="Arial" w:cs="Arial" w:eastAsia="Arial" w:hAnsi="Arial"/>
          <w:color w:val="BFC5D4"/>
          <w:sz w:val="22"/>
          <w:szCs w:val="22"/>
        </w:rPr>
        <w:t xml:space="preserve">TOGAF ADM Phase C — Data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ELI-EA-DATA-2025-001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C — Information Systems Architecture (Data)</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Data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 Data Architect]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Data Protection Officer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[Nama DPO]</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Divalidasi Oleh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CTO, Chief Risk Officer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Referensi Regulasi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 PDP No. 27/2022, POJK No. 13/2021, ISO 27001:2022</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DATA STRATEGY &amp; GOVERNANCE OVERVIEW</w:t>
      </w:r>
    </w:p>
    <w:p>
      <w:pPr>
        <w:spacing w:after="60" w:before="60"/>
      </w:pPr>
      <w:r>
        <w:rPr>
          <w:rFonts w:ascii="Arial" w:cs="Arial" w:eastAsia="Arial" w:hAnsi="Arial"/>
          <w:color w:val="2D2D2D"/>
          <w:sz w:val="22"/>
          <w:szCs w:val="22"/>
        </w:rPr>
        <w:t xml:space="preserve">Information Architecture mendefinisikan bagaimana data dikelola, disimpan, diproteksi, dan digunakan di seluruh ekosistem IT PT Equity Life Indonesia. Arsitektur ini menjadi fondasi untuk memastikan bahwa data adalah aset strategis yang dapat dipercaya, aman, dan memberikan nilai bisnis.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E0F4F2" w:val="clear"/>
            <w:tcMar>
              <w:top w:type="dxa" w:w="120"/>
              <w:left w:type="dxa" w:w="200"/>
              <w:bottom w:type="dxa" w:w="120"/>
              <w:right w:type="dxa" w:w="200"/>
            </w:tcMar>
          </w:tcPr>
          <w:p>
            <w:r>
              <w:rPr>
                <w:rFonts w:ascii="Arial" w:cs="Arial" w:eastAsia="Arial" w:hAnsi="Arial"/>
                <w:b/>
                <w:bCs/>
                <w:color w:val="0A7C6E"/>
                <w:sz w:val="22"/>
                <w:szCs w:val="22"/>
              </w:rPr>
              <w:t xml:space="preserve">Data Governance Mission Statement</w:t>
            </w:r>
          </w:p>
          <w:p>
            <w:pPr>
              <w:spacing w:before="60"/>
            </w:pPr>
            <w:r>
              <w:rPr>
                <w:rFonts w:ascii="Arial" w:cs="Arial" w:eastAsia="Arial" w:hAnsi="Arial"/>
                <w:color w:val="2D2D2D"/>
                <w:sz w:val="21"/>
                <w:szCs w:val="21"/>
              </w:rPr>
              <w:t xml:space="preserve">"PT Equity Life Indonesia berkomitmen untuk mengelola data sebagai aset strategis perusahaan dengan standar kualitas tertinggi, memastikan kerahasiaan data nasabah sesuai UU PDP dan regulasi OJK, serta memungkinkan pengambilan keputusan berbasis data bagi seluruh pemangku kepentingan."</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CANONICAL DATA MODEL (ENTERPRISE DATA ENTITIES)</w:t>
      </w:r>
    </w:p>
    <w:p>
      <w:pPr>
        <w:spacing w:after="60" w:before="60"/>
      </w:pPr>
      <w:r>
        <w:rPr>
          <w:rFonts w:ascii="Arial" w:cs="Arial" w:eastAsia="Arial" w:hAnsi="Arial"/>
          <w:color w:val="2D2D2D"/>
          <w:sz w:val="22"/>
          <w:szCs w:val="22"/>
        </w:rPr>
        <w:t xml:space="preserve">Berikut adalah entitas data utama (canonical entities) yang merepresentasikan sumber kebenaran tunggal (Single Source of Truth / SSOT) untuk seluruh enterprise:</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2.1 Core Business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500"/>
        <w:gridCol w:w="1600"/>
        <w:gridCol w:w="2160"/>
      </w:tblGrid>
      <w:tr>
        <w:trPr>
          <w:tblHeader/>
        </w:trPr>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Entitas Data</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 Utama</w:t>
            </w:r>
          </w:p>
        </w:tc>
        <w:tc>
          <w:tcPr>
            <w:tcW w:type="dxa" w:w="16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 of Record</w:t>
            </w:r>
          </w:p>
        </w:tc>
        <w:tc>
          <w:tcPr>
            <w:tcW w:type="dxa" w:w="21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Mgmt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customerID, NIK, nama, tgl_lahir, alamat, email, phone, status_KYC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CRM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Identitas unik setiap nasabah — individu atau korporasi. Golden Record.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 Admin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policyNo, productCode, customerID, tglInforce, tglExpiry, sumInsured, 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 Admin System (PAS)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Kontrak asuransi antara ELI dan nasabah. Entitas paling kritis.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Mgmt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productCode, nama, jenis, premi_min, premi_max, benefit, rules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Catalog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Definisi produk asuransi yang dijual ELI. Master data produk.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 Mgmt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claimID, policyNo, jenisKlaim, tglPengajuan, status, jumlah, investigatorID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 Management System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Pengajuan manfaat asuransi oleh nasabah atau pihak ketiga.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premiumID, policyNo, tglJatuhTempo, jumlah, status_bayar, metodeBayar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 + Finance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Catatan premi yang harus dan telah dibayar untuk setiap polis.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Distribution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agentID, nama, lisensi_AAJI, rank, kantor, commission_rate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Agency System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 pemasar yang terdaftar dan berlisensi. Terhubung ke polis.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Beneficiary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Policy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beneficiaryID, policyNo, nama, hubungan, persentase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Policy Admin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Penerima manfaat yang ditunjuk oleh pemegang polis.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Medical Record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Underwriting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medicalID, customerID, kondisi, tanggal, provider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Underwriting System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medis calon tertanggung untuk keperluan underwriting.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paymentID, policyNo, jumlah, tgl_bayar, channel, referensi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Finance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Bukti pembayaran premi atau klaim dari/ke nasabah.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Hospital Network</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hospitalID, nama, kode_BPJS, kota, tier_kerjasama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Provider Management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Rumah sakit dan klinik rekanan untuk cashless claims.</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DATA CLASSIFICATION &amp; SENSITIVITY</w:t>
      </w:r>
    </w:p>
    <w:p>
      <w:pPr>
        <w:spacing w:after="60" w:before="60"/>
      </w:pPr>
      <w:r>
        <w:rPr>
          <w:rFonts w:ascii="Arial" w:cs="Arial" w:eastAsia="Arial" w:hAnsi="Arial"/>
          <w:color w:val="2D2D2D"/>
          <w:sz w:val="22"/>
          <w:szCs w:val="22"/>
        </w:rPr>
        <w:t xml:space="preserve">Semua data PT Equity Life Indonesia diklasifikasikan berdasarkan tingkat sensitivitas sesuai UU PDP dan kebutuhan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400"/>
        <w:gridCol w:w="1360"/>
      </w:tblGrid>
      <w:tr>
        <w:trPr>
          <w:tblHeader/>
        </w:trPr>
        <w:tc>
          <w:tcPr>
            <w:tcW w:type="dxa" w:w="16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Kelas Data</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Definisi</w:t>
            </w:r>
          </w:p>
        </w:tc>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Contoh Atribut</w:t>
            </w:r>
          </w:p>
        </w:tc>
        <w:tc>
          <w:tcPr>
            <w:tcW w:type="dxa" w:w="2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Kontrol Keamanan Wajib</w:t>
            </w:r>
          </w:p>
        </w:tc>
        <w:tc>
          <w:tcPr>
            <w:tcW w:type="dxa" w:w="1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Retensi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STRICTLY CONFIDENTIAL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paling sensitif — risiko hukum jika bocor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NIK, data medis, riwayat penyakit, nomor rekening 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Enkripsi AES-256, masking di non-prod, akses sangat terbatas, audit log wajib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tahun + permanent archive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CONFIDENTIAL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bisnis sensitif — kerugian signifikan jika bocor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polis, premi, klaim, komisi agen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Enkripsi, RBAC ketat, logging akses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 tahun (regulasi OJK)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internal perusahaan — tidak untuk publik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Laporan internal, prosedur operasional, data karyawan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Access control, tidak boleh dibagikan eksternal tanpa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tahun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yang boleh dipublikasikan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Produk catalog, tarif premi publikasi, info perusahaan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Kontrol integritas untuk mencegah manipulasi</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batas</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DATA GOVERNANCE FRAMEWORK</w:t>
      </w:r>
    </w:p>
    <w:p>
      <w:pPr>
        <w:pStyle w:val="Heading3"/>
        <w:spacing w:after="80" w:before="180"/>
      </w:pPr>
      <w:r>
        <w:rPr>
          <w:rFonts w:ascii="Arial" w:cs="Arial" w:eastAsia="Arial" w:hAnsi="Arial"/>
          <w:b/>
          <w:bCs/>
          <w:color w:val="E31837"/>
          <w:sz w:val="24"/>
          <w:szCs w:val="24"/>
        </w:rPr>
        <w:t xml:space="preserve">4.1 Data Ownership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Domain</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Owner (Business)</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Steward (IT)</w:t>
            </w:r>
          </w:p>
        </w:tc>
        <w:tc>
          <w:tcPr>
            <w:tcW w:type="dxa" w:w="2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Custodian (Ops)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Commercial Officer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CRM Development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Operations — DB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 &amp; Premium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Chief Operating Officer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Head of PAS Development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Operations — DB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Claims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Claims Officer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CMS Development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Operations — DB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Financial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CFO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Head of Finance IT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Operations — DB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 &amp; Distribution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Agency System Dev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Operations — DB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Product Catalog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Head of Product Management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Head of Product IT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Operations — DB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Analytics &amp; Reporting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CTO / CDO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Data Engineering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Operations — DWH Admin</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4.2 Data Quality Dimensions &amp;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2400"/>
        <w:gridCol w:w="1260"/>
      </w:tblGrid>
      <w:tr>
        <w:trPr>
          <w:tblHeader/>
        </w:trPr>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 Kualitas</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Definisi</w:t>
            </w:r>
          </w:p>
        </w:tc>
        <w:tc>
          <w:tcPr>
            <w:tcW w:type="dxa" w:w="16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Target</w:t>
            </w:r>
          </w:p>
        </w:tc>
        <w:tc>
          <w:tcPr>
            <w:tcW w:type="dxa" w:w="2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 Pengukuran</w:t>
            </w:r>
          </w:p>
        </w:tc>
        <w:tc>
          <w:tcPr>
            <w:tcW w:type="dxa" w:w="12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Completeness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Kelengkapan atribut wajib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99% field wajib terisi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profiling tool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Harian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Accuracy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Keakuratan data dibanding sumber asli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0.1% error rate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Sampling + validasi manual</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Bulanan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Consistency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Kesamaan data di seluruh sistem (no conflict)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0.5% inconsistency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Cross-system reconciliation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Harian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Timeliness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tersedia tepat waktu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5 menit data lag (realtime)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Monitoring latency pipeline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duplikasi record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 duplicate customer 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Deduplication engine check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Harian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Validity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sesuai format dan rule bisnis yang ditetapkan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99.5% data valid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Rule-based validation engine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Saat entry + harian</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MASTER DATA MANAGEMENT (MDM)</w:t>
      </w:r>
    </w:p>
    <w:p>
      <w:pPr>
        <w:pStyle w:val="Heading3"/>
        <w:spacing w:after="80" w:before="180"/>
      </w:pPr>
      <w:r>
        <w:rPr>
          <w:rFonts w:ascii="Arial" w:cs="Arial" w:eastAsia="Arial" w:hAnsi="Arial"/>
          <w:b/>
          <w:bCs/>
          <w:color w:val="E31837"/>
          <w:sz w:val="24"/>
          <w:szCs w:val="24"/>
        </w:rPr>
        <w:t xml:space="preserve">5.1 Customer Golden Record</w:t>
      </w:r>
    </w:p>
    <w:p>
      <w:pPr>
        <w:spacing w:after="60" w:before="60"/>
      </w:pPr>
      <w:r>
        <w:rPr>
          <w:rFonts w:ascii="Arial" w:cs="Arial" w:eastAsia="Arial" w:hAnsi="Arial"/>
          <w:color w:val="2D2D2D"/>
          <w:sz w:val="22"/>
          <w:szCs w:val="22"/>
        </w:rPr>
        <w:t xml:space="preserve">Customer Golden Record adalah catatan tunggal yang paling akurat dan lengkap untuk setiap nasabah, yang menjadi referensi semua sistem lain. Golden Record dibuat melalui proses MDM yang mencakup:</w:t>
      </w:r>
    </w:p>
    <w:p>
      <w:pPr>
        <w:pStyle w:val="ListParagraph"/>
        <w:numPr>
          <w:ilvl w:val="0"/>
          <w:numId w:val="2"/>
        </w:numPr>
        <w:spacing w:after="40" w:before="40"/>
      </w:pPr>
      <w:r>
        <w:rPr>
          <w:rFonts w:ascii="Arial" w:cs="Arial" w:eastAsia="Arial" w:hAnsi="Arial"/>
          <w:color w:val="2D2D2D"/>
          <w:sz w:val="22"/>
          <w:szCs w:val="22"/>
        </w:rPr>
        <w:t xml:space="preserve">Data Ingestion: Pengumpulan data nasabah dari semua source systems (PAS, CRM, Agent Portal, Digital Channel)</w:t>
      </w:r>
    </w:p>
    <w:p>
      <w:pPr>
        <w:pStyle w:val="ListParagraph"/>
        <w:numPr>
          <w:ilvl w:val="0"/>
          <w:numId w:val="2"/>
        </w:numPr>
        <w:spacing w:after="40" w:before="40"/>
      </w:pPr>
      <w:r>
        <w:rPr>
          <w:rFonts w:ascii="Arial" w:cs="Arial" w:eastAsia="Arial" w:hAnsi="Arial"/>
          <w:color w:val="2D2D2D"/>
          <w:sz w:val="22"/>
          <w:szCs w:val="22"/>
        </w:rPr>
        <w:t xml:space="preserve">Deduplication: Identifikasi dan merger record duplikat menggunakan probabilistic matching (NIK, nama, tanggal lahir, nomor telepon)</w:t>
      </w:r>
    </w:p>
    <w:p>
      <w:pPr>
        <w:pStyle w:val="ListParagraph"/>
        <w:numPr>
          <w:ilvl w:val="0"/>
          <w:numId w:val="2"/>
        </w:numPr>
        <w:spacing w:after="40" w:before="40"/>
      </w:pPr>
      <w:r>
        <w:rPr>
          <w:rFonts w:ascii="Arial" w:cs="Arial" w:eastAsia="Arial" w:hAnsi="Arial"/>
          <w:color w:val="2D2D2D"/>
          <w:sz w:val="22"/>
          <w:szCs w:val="22"/>
        </w:rPr>
        <w:t xml:space="preserve">Standardization: Normalisasi format data (nama, alamat, nomor telepon) sesuai standar enterprise</w:t>
      </w:r>
    </w:p>
    <w:p>
      <w:pPr>
        <w:pStyle w:val="ListParagraph"/>
        <w:numPr>
          <w:ilvl w:val="0"/>
          <w:numId w:val="2"/>
        </w:numPr>
        <w:spacing w:after="40" w:before="40"/>
      </w:pPr>
      <w:r>
        <w:rPr>
          <w:rFonts w:ascii="Arial" w:cs="Arial" w:eastAsia="Arial" w:hAnsi="Arial"/>
          <w:color w:val="2D2D2D"/>
          <w:sz w:val="22"/>
          <w:szCs w:val="22"/>
        </w:rPr>
        <w:t xml:space="preserve">Enrichment: Penambahan data dari sumber eksternal (e-KTP validation, BPJS data) jika tersedia</w:t>
      </w:r>
    </w:p>
    <w:p>
      <w:pPr>
        <w:pStyle w:val="ListParagraph"/>
        <w:numPr>
          <w:ilvl w:val="0"/>
          <w:numId w:val="2"/>
        </w:numPr>
        <w:spacing w:after="40" w:before="40"/>
      </w:pPr>
      <w:r>
        <w:rPr>
          <w:rFonts w:ascii="Arial" w:cs="Arial" w:eastAsia="Arial" w:hAnsi="Arial"/>
          <w:color w:val="2D2D2D"/>
          <w:sz w:val="22"/>
          <w:szCs w:val="22"/>
        </w:rPr>
        <w:t xml:space="preserve">Survivorship: Aturan untuk menentukan nilai atribut mana yang "menang" saat terjadi konflik antar sistem</w:t>
      </w:r>
    </w:p>
    <w:p>
      <w:pPr>
        <w:pStyle w:val="ListParagraph"/>
        <w:numPr>
          <w:ilvl w:val="0"/>
          <w:numId w:val="2"/>
        </w:numPr>
        <w:spacing w:after="40" w:before="40"/>
      </w:pPr>
      <w:r>
        <w:rPr>
          <w:rFonts w:ascii="Arial" w:cs="Arial" w:eastAsia="Arial" w:hAnsi="Arial"/>
          <w:color w:val="2D2D2D"/>
          <w:sz w:val="22"/>
          <w:szCs w:val="22"/>
        </w:rPr>
        <w:t xml:space="preserve">Distribution: Distribusi Golden Record kembali ke semua sistem subscriber melalui event streaming</w:t>
      </w:r>
    </w:p>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6. DATA ARCHITECTURE — TECHNOLOGY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Teknologi</w:t>
            </w:r>
          </w:p>
        </w:tc>
        <w:tc>
          <w:tcPr>
            <w:tcW w:type="dxa" w:w="37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yang Dikelola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Operational Data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OLTP — transaksi 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 15 (Primary + Replica)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Polis aktif, transaksi premi, klaim aktif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Store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semi-structured — konfigurasi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MongoDB 7 (Replica Set)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Konfigurasi produk, dokumen polis PDF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Cache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Akses data super cepat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Redis 7 (Sentinel)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Session, rate table, frequently accessed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Message Broker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streaming &amp; decoupling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Apache Kafka 3.x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Domain events: PolicyCreated, ClaimFiled, dll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Lake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 data archive — semua data masuk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MinIO / S3-compatible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Dokumen, logs, raw events, ML datasets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Warehouse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OLAP — analytics dan reporting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ClickHouse (Distributed)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Aggregated data untuk BI dan OJK reporting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Catalog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Metadata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Apache Atlas / Collibra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Schema, lineage, glossary, data dictionary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MDM Hub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Master data management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Informatica MDM / Custom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Customer Golden Record, Product Master</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7. DATA PRIVACY &amp; PROTECTION (UU PDP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3200"/>
        <w:gridCol w:w="16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Persyaratan UU PDP</w:t>
            </w:r>
          </w:p>
        </w:tc>
        <w:tc>
          <w:tcPr>
            <w:tcW w:type="dxa" w:w="1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Pasal</w:t>
            </w:r>
          </w:p>
        </w:tc>
        <w:tc>
          <w:tcPr>
            <w:tcW w:type="dxa" w:w="3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Implementasi Teknis</w:t>
            </w:r>
          </w:p>
        </w:tc>
        <w:tc>
          <w:tcPr>
            <w:tcW w:type="dxa" w:w="16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Hak Akses Data (Right of Access)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Pasal 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portal — nasabah bisa lihat semua data miliknya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To-Be — Q3 2025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Hak Koreksi Data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Pasal 35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Customer portal + workflow approval untuk koreksi data</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To-Be — Q3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Hak Penghapusan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Pasal 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deletion workflow + audit trail (dengan batasan regulasi OJK)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To-Be — Q4 2025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Consent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Pasal 20–26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Consent capture saat onboarding + consent management system</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To-Be — Q2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Breach Notification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Pasal 46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Automated breach detection + SOP notifikasi 14 hari ke OJK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Partial — Q2 2025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Protection Impact Assessment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Pasal 34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DPIA template + mandatory review untuk sistem baru memproses PII</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 Progress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Cross-border Data Transfer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Pasal 50–51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residency policy — data nasabah hanya di Indonesia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Compliant — on-premise</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8. DATA LINEAGE &amp; TRACEABILITY</w:t>
      </w:r>
    </w:p>
    <w:p>
      <w:pPr>
        <w:spacing w:after="60" w:before="60"/>
      </w:pPr>
      <w:r>
        <w:rPr>
          <w:rFonts w:ascii="Arial" w:cs="Arial" w:eastAsia="Arial" w:hAnsi="Arial"/>
          <w:color w:val="2D2D2D"/>
          <w:sz w:val="22"/>
          <w:szCs w:val="22"/>
        </w:rPr>
        <w:t xml:space="preserve">Untuk setiap entitas data kritis, lineage harus dapat ditelusuri dari sumber hingga konsumen akhir. Ini penting untuk kebutuhan audit OJK dan debugging issues data quality.</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Contoh Data Lineage: Premi Nasabah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rPr>
          <w:tblHeader/>
        </w:trPr>
        <w:tc>
          <w:tcPr>
            <w:tcW w:type="dxa" w:w="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Urutan</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Sistem/Proses</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Transformasi</w:t>
            </w:r>
          </w:p>
        </w:tc>
        <w:tc>
          <w:tcPr>
            <w:tcW w:type="dxa" w:w="4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melakukan pembayaran premi via Payment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 payment event diterima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 event di Kafka topic</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 — Premium Processing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Matching ke polis, validasi, update status premi</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Premium record di PostgreSQL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Streaming (Kafka)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 paid event dipublikasikan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di topic: premium.paid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Finance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Jurnal akuntansi otomatis (credit premi income)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GL entry di Finance DB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Pipeline (ETL)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Transform ke dimensional model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Fact_Premium di ClickHouse DWH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OJK Reporting Engine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Aggregate per bulan per jenis produk</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LKPD report — siap kirim ke OJK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Visualisasi KPI premi untuk manajemen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 KPI di Grafana/Tableau</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EA-DOC-04: Information Architecture</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2026-04-07T02:46:32.281Z</dcterms:created>
  <dcterms:modified xsi:type="dcterms:W3CDTF">2026-04-07T02:46:32.281Z</dcterms:modified>
</cp:coreProperties>
</file>

<file path=docProps/custom.xml><?xml version="1.0" encoding="utf-8"?>
<Properties xmlns="http://schemas.openxmlformats.org/officeDocument/2006/custom-properties" xmlns:vt="http://schemas.openxmlformats.org/officeDocument/2006/docPropsVTypes"/>
</file>