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31837" w:val="clear"/>
        <w:spacing w:after="0" w:before="0"/>
        <w:ind w:left="360" w:right="360"/>
      </w:pPr>
      <w:r>
        <w:rPr>
          <w:rFonts w:ascii="Arial" w:cs="Arial" w:eastAsia="Arial" w:hAnsi="Arial"/>
          <w:b/>
          <w:bCs/>
          <w:color w:val="FFFFFF"/>
          <w:sz w:val="48"/>
          <w:szCs w:val="48"/>
        </w:rPr>
        <w:t xml:space="preserve">GAP ANALYSIS &amp; ARCHITECTURE ROADMAP</w:t>
      </w:r>
    </w:p>
    <w:p>
      <w:pPr>
        <w:shd w:fill="1A2647" w:val="clear"/>
        <w:spacing w:after="240" w:before="0"/>
        <w:ind w:left="360" w:right="360"/>
      </w:pPr>
      <w:r>
        <w:rPr>
          <w:rFonts w:ascii="Arial" w:cs="Arial" w:eastAsia="Arial" w:hAnsi="Arial"/>
          <w:color w:val="BFC5D4"/>
          <w:sz w:val="22"/>
          <w:szCs w:val="22"/>
        </w:rPr>
        <w:t xml:space="preserve">TOGAF ADM Phase E — Opportunities &amp; Solutions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Nomor Dokumen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ELI-EA-GAP-2025-001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TOGAF Phase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E — Opportunities and Solutions</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Versi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Tanggal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April 2025</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Dibuat Oleh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Enterprise Architecture Team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Divalidasi Oleh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CTO, Chief Commercial Officer, CFO</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Metodologi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TOGAF Gap Analysis + Wardley Mapping + Investment Prioritization</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1. EXECUTIVE SUMMARY — GAP ANALYSIS</w:t>
      </w:r>
    </w:p>
    <w:p>
      <w:pPr>
        <w:spacing w:after="60" w:before="60"/>
      </w:pPr>
      <w:r>
        <w:rPr>
          <w:rFonts w:ascii="Arial" w:cs="Arial" w:eastAsia="Arial" w:hAnsi="Arial"/>
          <w:color w:val="2D2D2D"/>
          <w:sz w:val="22"/>
          <w:szCs w:val="22"/>
        </w:rPr>
        <w:t xml:space="preserve">Gap Analysis membandingkan kondisi arsitektur saat ini (As-Is Architecture) dengan target arsitektur yang telah ditetapkan (To-Be Architecture) untuk mengidentifikasi kesenjangan kapabilitas, aplikasi, data, dan teknologi yang perlu diatasi dalam roadmap transformasi.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31837" w:sz="1"/>
              <w:left w:val="single" w:color="E31837" w:sz="12"/>
              <w:bottom w:val="single" w:color="E31837" w:sz="1"/>
              <w:right w:val="single" w:color="E31837" w:sz="1"/>
            </w:tcBorders>
            <w:shd w:fill="FDECEA" w:val="clear"/>
            <w:tcMar>
              <w:top w:type="dxa" w:w="120"/>
              <w:left w:type="dxa" w:w="200"/>
              <w:bottom w:type="dxa" w:w="120"/>
              <w:right w:type="dxa" w:w="200"/>
            </w:tcMar>
          </w:tcPr>
          <w:p>
            <w:r>
              <w:rPr>
                <w:rFonts w:ascii="Arial" w:cs="Arial" w:eastAsia="Arial" w:hAnsi="Arial"/>
                <w:b/>
                <w:bCs/>
                <w:color w:val="E31837"/>
                <w:sz w:val="22"/>
                <w:szCs w:val="22"/>
              </w:rPr>
              <w:t xml:space="preserve">Kesimpulan Analisis</w:t>
            </w:r>
          </w:p>
          <w:p>
            <w:pPr>
              <w:spacing w:before="60"/>
            </w:pPr>
            <w:r>
              <w:rPr>
                <w:rFonts w:ascii="Arial" w:cs="Arial" w:eastAsia="Arial" w:hAnsi="Arial"/>
                <w:color w:val="2D2D2D"/>
                <w:sz w:val="21"/>
                <w:szCs w:val="21"/>
              </w:rPr>
              <w:t xml:space="preserve">PT Equity Life Indonesia memiliki 47 gap yang teridentifikasi — 12 bersifat KRITIS (harus diselesaikan segera untuk kepatuhan regulasi dan kelangsungan bisnis), 18 bersifat TINGGI (signifikan mempengaruhi pertumbuhan bisnis), dan 17 bersifat SEDANG. Total investasi yang dibutuhkan diestimasi Rp 45–65 miliar selama periode 2025–2027.</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2. CAPABILITY GAP ANALYSIS</w:t>
      </w:r>
    </w:p>
    <w:p>
      <w:pPr>
        <w:pStyle w:val="Heading3"/>
        <w:spacing w:after="80" w:before="180"/>
      </w:pPr>
      <w:r>
        <w:rPr>
          <w:rFonts w:ascii="Arial" w:cs="Arial" w:eastAsia="Arial" w:hAnsi="Arial"/>
          <w:b/>
          <w:bCs/>
          <w:color w:val="E31837"/>
          <w:sz w:val="24"/>
          <w:szCs w:val="24"/>
        </w:rPr>
        <w:t xml:space="preserve">2.1 Business Capability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800"/>
        <w:gridCol w:w="2400"/>
        <w:gridCol w:w="960"/>
      </w:tblGrid>
      <w:tr>
        <w:trPr>
          <w:tblHeader/>
        </w:trPr>
        <w:tc>
          <w:tcPr>
            <w:tcW w:type="dxa" w:w="1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Kapabilitas</w:t>
            </w:r>
          </w:p>
        </w:tc>
        <w:tc>
          <w:tcPr>
            <w:tcW w:type="dxa" w:w="1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As-Is Maturity</w:t>
            </w:r>
          </w:p>
        </w:tc>
        <w:tc>
          <w:tcPr>
            <w:tcW w:type="dxa" w:w="1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To-Be Target</w:t>
            </w:r>
          </w:p>
        </w:tc>
        <w:tc>
          <w:tcPr>
            <w:tcW w:type="dxa" w:w="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 Level</w:t>
            </w:r>
          </w:p>
        </w:tc>
        <w:tc>
          <w:tcPr>
            <w:tcW w:type="dxa" w:w="24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Dampak Bisnis</w:t>
            </w:r>
          </w:p>
        </w:tc>
        <w:tc>
          <w:tcPr>
            <w:tcW w:type="dxa" w:w="9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Digital New Business (e-SPAJ)</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 Tidak ada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 — Teroptimasi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BESAR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Kehilangan nasabah digital; agen inefficient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KRITIS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Real-time Underwriting (STP)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 — Manual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 — AI-assisted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BESAR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Time-to-market 6 bulan vs kompetitor 6 minggu</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KRITIS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Cashless Claims (real-time)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 — Batch proses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 — Real-time STP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BESAR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Pengalaman nasabah buruk; retensi rendah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KRITIS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Bancassurance API (real-time)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 — Batch file D+1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 — API real-time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BESAR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 bank mitra sedang mempertimbangkan switching</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KRITIS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Customer Self-Service Portal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 Tidak ada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 — Full self-service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BESAR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Biaya operasional call center sangat tinggi</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Regulatory Reporting Otomatis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 — Manual Excel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 — Auto-generate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BESAR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Risiko sanksi OJK (laporan terlambat 3x)</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KRITIS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Analytics &amp; BI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 Ad-hoc laporan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 — Self-service BI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SEDANG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Keputusan manajemen berdasarkan data usang</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Product Configuration (No-Code)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 — IT manual config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 — Business self-service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SEDANG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IT sebagai bottleneck peluncuran produk baru</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TINGGI</w:t>
            </w:r>
          </w:p>
        </w:tc>
      </w:tr>
    </w:tbl>
    <w:p>
      <w:pPr>
        <w:spacing w:after="80" w:before="80"/>
      </w:pPr>
      <w:r>
        <w:t xml:space="preserve"/>
      </w:r>
    </w:p>
    <w:p>
      <w:pPr>
        <w:pStyle w:val="Heading3"/>
        <w:spacing w:after="80" w:before="180"/>
      </w:pPr>
      <w:r>
        <w:rPr>
          <w:rFonts w:ascii="Arial" w:cs="Arial" w:eastAsia="Arial" w:hAnsi="Arial"/>
          <w:b/>
          <w:bCs/>
          <w:color w:val="E31837"/>
          <w:sz w:val="24"/>
          <w:szCs w:val="24"/>
        </w:rPr>
        <w:t xml:space="preserve">2.2 Application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2000"/>
        <w:gridCol w:w="2060"/>
      </w:tblGrid>
      <w:tr>
        <w:trPr>
          <w:tblHeader/>
        </w:trPr>
        <w:tc>
          <w:tcPr>
            <w:tcW w:type="dxa" w:w="9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 ID</w:t>
            </w:r>
          </w:p>
        </w:tc>
        <w:tc>
          <w:tcPr>
            <w:tcW w:type="dxa" w:w="2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 Gap</w:t>
            </w:r>
          </w:p>
        </w:tc>
        <w:tc>
          <w:tcPr>
            <w:tcW w:type="dxa" w:w="2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Dampak</w:t>
            </w:r>
          </w:p>
        </w:tc>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Solusi</w:t>
            </w:r>
          </w:p>
        </w:tc>
        <w:tc>
          <w:tcPr>
            <w:tcW w:type="dxa" w:w="20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Estimasi Effort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GAP-APP-001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Tidak ada Customer Portal &amp; Mobile 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Nasabah tidak bisa self-service; churn meningkat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Build NEW-003 + NEW-004</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8 bulan — 12 developer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GAP-APP-002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Core Insurance System tidak mendukung API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Bancassurance tidak bisa integrasi real-time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Replace dengan NEW-001 PAS Microservices</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12 bulan — 20 developer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GAP-APP-003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Tidak ada Identity Management (SSO)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Setiap aplikasi punya auth sendiri; risiko keamanan tinggi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Deploy NEW-009 Keycloak IAM</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 bulan — 4 developer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GAP-APP-004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Tidak ada API Gateway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Tidak ada central control untuk integrasi eksternal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Deploy NEW-006 Kong API Gateway</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 bulan — 4 developer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GAP-APP-005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OJK Reporting masih manual (Excel/VBA)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Risiko sanksi OJK; effort sangat tinggi (3 orang x 5 hari/bulan)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Build NEW-011 Reporting Engine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 bulan — 6 developer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GAP-APP-006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Tidak ada Data Warehouse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Tidak bisa analytics dan forecasting bisnis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Build NEW-010 Analytics Platform</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6 bulan — 8 developer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GAP-APP-007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Tidak ada Notification Service terpusat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Notifikasi inconsistent; tidak bisa omni-channel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Build NEW-008 Notification Service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 bulan — 4 developer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GAP-APP-008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Claims masih manual, tidak ada STP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Klaim membutuhkan 8 hari kerja vs target &lt; 1 hari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Build NEW-002 CMS + NEW-007 Underwriting Engine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 bulan — 16 developer</w:t>
            </w:r>
          </w:p>
        </w:tc>
      </w:tr>
    </w:tbl>
    <w:p>
      <w:pPr>
        <w:spacing w:after="80" w:before="80"/>
      </w:pPr>
      <w:r>
        <w:t xml:space="preserve"/>
      </w:r>
    </w:p>
    <w:p>
      <w:pPr>
        <w:pStyle w:val="Heading3"/>
        <w:spacing w:after="80" w:before="180"/>
      </w:pPr>
      <w:r>
        <w:rPr>
          <w:rFonts w:ascii="Arial" w:cs="Arial" w:eastAsia="Arial" w:hAnsi="Arial"/>
          <w:b/>
          <w:bCs/>
          <w:color w:val="E31837"/>
          <w:sz w:val="24"/>
          <w:szCs w:val="24"/>
        </w:rPr>
        <w:t xml:space="preserve">2.3 Technology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000"/>
        <w:gridCol w:w="2000"/>
        <w:gridCol w:w="1260"/>
      </w:tblGrid>
      <w:tr>
        <w:trPr>
          <w:tblHeader/>
        </w:trPr>
        <w:tc>
          <w:tcPr>
            <w:tcW w:type="dxa" w:w="9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 ID</w:t>
            </w:r>
          </w:p>
        </w:tc>
        <w:tc>
          <w:tcPr>
            <w:tcW w:type="dxa" w:w="2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 Gap</w:t>
            </w:r>
          </w:p>
        </w:tc>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Risiko</w:t>
            </w:r>
          </w:p>
        </w:tc>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Solusi</w:t>
            </w:r>
          </w:p>
        </w:tc>
        <w:tc>
          <w:tcPr>
            <w:tcW w:type="dxa" w:w="12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GAP-TECH-001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Tidak ada container platform (Kubernetes)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Deployment manual, scaling tidak fleksibel, reliability rendah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Setup Kubernetes cluster on-premise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Q1 2025 — SELESAI</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GAP-TECH-002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TLS 1.0/1.1 masih digunakan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Vulnerabilitas BEAST/POODLE; regulasi OJK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Upgrade semua endpoint ke TLS 1.3</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Q2 2025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GAP-TECH-003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Tidak ada CI/CD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Deployment lambat (3 hari), rawan human 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Implement GitLab CI + ArgoCD pipeline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Q1 2025</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GAP-TECH-004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Tidak ada Secret Management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Credentials hardcoded di kode — risiko breach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Deploy HashiCorp Vault</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Q2 2025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GAP-TECH-005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Monitoring reaktif (hanya alert setelah down)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MTTR tinggi, SLA breach, reputasi buruk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Deploy Prometheus + Grafana + Loki stack</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Q2 2025</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GAP-TECH-006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Tidak ada WAF (Web Application Firewall)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Exposure terhadap OWASP Top 10 attacks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Deploy Cloudflare WAF + Kong plugins</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Q2 2025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GAP-TECH-007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Tidak ada DR yang tervalidasi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DR plan ada di atas kertas tapi belum pernah ditest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Setup AWS Jakarta DR + conduct DR drill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Q3 2025</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GAP-TECH-008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Kubernetes versi 1.26 (out of support)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Security vulnerabilities tidak di-patch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Upgrade ke K8s 1.29+</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SEGERA — Q1 2025</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3. ENTERPRISE ARCHITECTURE ROADMAP</w:t>
      </w:r>
    </w:p>
    <w:p>
      <w:pPr>
        <w:spacing w:after="60" w:before="60"/>
      </w:pPr>
      <w:r>
        <w:rPr>
          <w:rFonts w:ascii="Arial" w:cs="Arial" w:eastAsia="Arial" w:hAnsi="Arial"/>
          <w:color w:val="2D2D2D"/>
          <w:sz w:val="22"/>
          <w:szCs w:val="22"/>
        </w:rPr>
        <w:t xml:space="preserve">Roadmap transformasi dibagi menjadi 5 fase selama 2 tahun (2025–2027), dengan prioritas berdasarkan dampak bisnis, kepatuhan regulasi, dan dependensi teknis: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300"/>
        <w:gridCol w:w="1900"/>
        <w:gridCol w:w="2300"/>
        <w:gridCol w:w="1760"/>
      </w:tblGrid>
      <w:tr>
        <w:trPr>
          <w:tblHeader/>
        </w:trPr>
        <w:tc>
          <w:tcPr>
            <w:tcW w:type="dxa" w:w="7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Nama</w:t>
            </w:r>
          </w:p>
        </w:tc>
        <w:tc>
          <w:tcPr>
            <w:tcW w:type="dxa" w:w="13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Durasi</w:t>
            </w:r>
          </w:p>
        </w:tc>
        <w:tc>
          <w:tcPr>
            <w:tcW w:type="dxa" w:w="19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Fokus Utama</w:t>
            </w:r>
          </w:p>
        </w:tc>
        <w:tc>
          <w:tcPr>
            <w:tcW w:type="dxa" w:w="23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Deliverables</w:t>
            </w:r>
          </w:p>
        </w:tc>
        <w:tc>
          <w:tcPr>
            <w:tcW w:type="dxa" w:w="17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Investasi Est.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Foundation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Q1 2025 (3 bln)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Platform &amp; Security Baseline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Kubernetes cluster, CI/CD, IAM, API Gateway, Monitoring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Rp 5 Miliar</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Core Systems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Q2–Q3 2025 (6 bln)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Sistem Core Asuransi Baru</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PAS Microservices, Agent Portal, Notification Service, Payment Integration</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Rp 18 Miliar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Customer Experience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Q3–Q4 2025 (6 bln)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Customer-Facing Channels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Customer Portal, Mobile App (iOS+Android), CMS, Underwriting Engine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Rp 15 Miliar</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Integration &amp; Compliance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Q4 2025 – Q1 2026 (6 bln)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Ekosistem &amp; Regulasi</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API Bancassurance real-time, OJK Reporting Engine, BPJS Integration</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Rp 8 Miliar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Intelligence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Q1–Q2 2026 (6 bln)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&amp; AI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Warehouse, BI Platform, AI Claims Adjudication, Predictive Analytics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Rp 12 Miliar</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Optimization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Q3 2026 – Q2 2027</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Continuous Improvement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Performance tuning, new products, advanced AI, legacy decommission</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Rp 7 Miliar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31837" w:sz="1"/>
              <w:left w:val="single" w:color="E31837" w:sz="12"/>
              <w:bottom w:val="single" w:color="E31837" w:sz="1"/>
              <w:right w:val="single" w:color="E31837" w:sz="1"/>
            </w:tcBorders>
            <w:shd w:fill="E8EAF0" w:val="clear"/>
            <w:tcMar>
              <w:top w:type="dxa" w:w="120"/>
              <w:left w:type="dxa" w:w="200"/>
              <w:bottom w:type="dxa" w:w="120"/>
              <w:right w:type="dxa" w:w="200"/>
            </w:tcMar>
          </w:tcPr>
          <w:p>
            <w:r>
              <w:rPr>
                <w:rFonts w:ascii="Arial" w:cs="Arial" w:eastAsia="Arial" w:hAnsi="Arial"/>
                <w:b/>
                <w:bCs/>
                <w:color w:val="1A2647"/>
                <w:sz w:val="22"/>
                <w:szCs w:val="22"/>
              </w:rPr>
              <w:t xml:space="preserve">Total Investasi Program EA</w:t>
            </w:r>
          </w:p>
          <w:p>
            <w:pPr>
              <w:spacing w:before="60"/>
            </w:pPr>
            <w:r>
              <w:rPr>
                <w:rFonts w:ascii="Arial" w:cs="Arial" w:eastAsia="Arial" w:hAnsi="Arial"/>
                <w:color w:val="2D2D2D"/>
                <w:sz w:val="21"/>
                <w:szCs w:val="21"/>
              </w:rPr>
              <w:t xml:space="preserve">Estimasi total: Rp 65 Miliar selama 2 tahun (2025–2027). Proyeksi ROI: penghematan biaya operasional Rp 12 Miliar/tahun + revenue tambahan dari digital channel Rp 35 Miliar/tahun mulai 2027. Payback period: 18–24 bulan setelah full deployment.</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4. PRIORITIZATION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000"/>
        <w:gridCol w:w="1500"/>
        <w:gridCol w:w="1200"/>
        <w:gridCol w:w="1360"/>
      </w:tblGrid>
      <w:tr>
        <w:trPr>
          <w:tblHeader/>
        </w:trPr>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Inisiatif</w:t>
            </w:r>
          </w:p>
        </w:tc>
        <w:tc>
          <w:tcPr>
            <w:tcW w:type="dxa" w:w="13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Dampak Bisnis (1-5)</w:t>
            </w:r>
          </w:p>
        </w:tc>
        <w:tc>
          <w:tcPr>
            <w:tcW w:type="dxa" w:w="1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 (1-5)</w:t>
            </w:r>
          </w:p>
        </w:tc>
        <w:tc>
          <w:tcPr>
            <w:tcW w:type="dxa" w:w="1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Urgency (Regulasi)</w:t>
            </w:r>
          </w:p>
        </w:tc>
        <w:tc>
          <w:tcPr>
            <w:tcW w:type="dxa" w:w="1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 Score</w:t>
            </w:r>
          </w:p>
        </w:tc>
        <w:tc>
          <w:tcPr>
            <w:tcW w:type="dxa" w:w="13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Urutan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API Gateway + IAM Setup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Tinggi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OJK Regulatory Reporting Engine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KRITIS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28</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PAS Microservices (Core Replace)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Tinggi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Bancassurance API Real-time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Tinggi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22</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Customer Portal &amp; Mobile App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Sedang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 Warehouse &amp; BI</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Rendah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AI Claims Adjudication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Rendah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7</w:t>
            </w:r>
          </w:p>
        </w:tc>
      </w:tr>
    </w:tbl>
    <w:p>
      <w:pPr>
        <w:spacing w:after="80" w:before="80"/>
      </w:pPr>
      <w: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1837" w:sz="4" w:space="2"/>
      </w:pBdr>
      <w:tabs>
        <w:tab w:val="right" w:pos="9360"/>
      </w:tabs>
    </w:pPr>
    <w:r>
      <w:rPr>
        <w:rFonts w:ascii="Arial" w:cs="Arial" w:eastAsia="Arial" w:hAnsi="Arial"/>
        <w:color w:val="CCCCCC"/>
        <w:sz w:val="16"/>
        <w:szCs w:val="16"/>
      </w:rPr>
      <w:t xml:space="preserve">© 2025 PT Equity Life Indonesia — Enterprise Architecture Program</w:t>
    </w:r>
    <w:r>
      <w:rPr>
        <w:rFonts w:ascii="Arial" w:cs="Arial" w:eastAsia="Arial" w:hAnsi="Arial"/>
        <w:color w:val="CCCCCC"/>
        <w:sz w:val="16"/>
        <w:szCs w:val="16"/>
      </w:rPr>
      <w:t xml:space="preserve">	Hal.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1837" w:sz="4" w:space="2"/>
      </w:pBdr>
      <w:tabs>
        <w:tab w:val="right" w:pos="9360"/>
      </w:tabs>
    </w:pPr>
    <w:r>
      <w:rPr>
        <w:rFonts w:ascii="Arial" w:cs="Arial" w:eastAsia="Arial" w:hAnsi="Arial"/>
        <w:b/>
        <w:bCs/>
        <w:color w:val="E31837"/>
        <w:sz w:val="18"/>
        <w:szCs w:val="18"/>
      </w:rPr>
      <w:t xml:space="preserve">PT Equity Life Indonesia  |  </w:t>
    </w:r>
    <w:r>
      <w:rPr>
        <w:rFonts w:ascii="Arial" w:cs="Arial" w:eastAsia="Arial" w:hAnsi="Arial"/>
        <w:color w:val="1A2647"/>
        <w:sz w:val="18"/>
        <w:szCs w:val="18"/>
      </w:rPr>
      <w:t xml:space="preserve">EA-DOC-07: Gap Analysis &amp; Roadmap</w:t>
    </w:r>
    <w:r>
      <w:rPr>
        <w:rFonts w:ascii="Arial" w:cs="Arial" w:eastAsia="Arial" w:hAnsi="Arial"/>
        <w:color w:val="CCCCCC"/>
        <w:sz w:val="16"/>
        <w:szCs w:val="16"/>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E31837" w:sz="6" w:space="4"/>
      </w:pBdr>
      <w:spacing w:after="120" w:before="260"/>
      <w:outlineLvl w:val="1"/>
    </w:pPr>
    <w:rPr>
      <w:rFonts w:ascii="Arial" w:cs="Arial" w:eastAsia="Arial" w:hAnsi="Arial"/>
      <w:b/>
      <w:bCs/>
      <w:color w:val="1A264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318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2026-04-07T02:51:36.042Z</dcterms:created>
  <dcterms:modified xsi:type="dcterms:W3CDTF">2026-04-07T02:51:36.042Z</dcterms:modified>
</cp:coreProperties>
</file>

<file path=docProps/custom.xml><?xml version="1.0" encoding="utf-8"?>
<Properties xmlns="http://schemas.openxmlformats.org/officeDocument/2006/custom-properties" xmlns:vt="http://schemas.openxmlformats.org/officeDocument/2006/docPropsVTypes"/>
</file>