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31837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TRANSITION ARCHITECTURE DOCUMENT</w:t>
      </w:r>
    </w:p>
    <w:p>
      <w:pPr>
        <w:shd w:fill="1A2647" w:val="clear"/>
        <w:spacing w:after="240" w:before="0"/>
        <w:ind w:left="360" w:right="360"/>
      </w:pPr>
      <w:r>
        <w:rPr>
          <w:rFonts w:ascii="Arial" w:cs="Arial" w:eastAsia="Arial" w:hAnsi="Arial"/>
          <w:color w:val="BFC5D4"/>
          <w:sz w:val="22"/>
          <w:szCs w:val="22"/>
        </w:rPr>
        <w:t xml:space="preserve">TOGAF ADM Phase F — Migration Planning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ELI-EA-TRANS-2025-001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TOGAF 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F — Migration Planning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Versi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Tanggal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April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Dibuat Oleh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Divalidasi Oleh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CTO, Program Director, Head of IT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Tujuan Dokumen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Mendefinisikan bagaimana migrasi dari As-Is ke To-Be dilakukan secara bertahap dan aman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1. TRANSITION ARCHITECTURE OVERVIEW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Transition Architecture mendefinisikan "stepping stones" — kondisi arsitektur antara (intermediate states) yang dilalui dalam perjalanan dari As-Is menuju To-Be. Setiap transisi harus menghasilkan sistem yang berfungsi penuh dan stabil, bukan kondisi setengah jadi yang berisiko.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31837" w:sz="1"/>
              <w:left w:val="single" w:color="E31837" w:sz="12"/>
              <w:bottom w:val="single" w:color="E31837" w:sz="1"/>
              <w:right w:val="single" w:color="E31837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22"/>
                <w:szCs w:val="22"/>
              </w:rPr>
              <w:t xml:space="preserve">Prinsip Migrasi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Big Bang migration DILARANG. Semua migrasi menggunakan strategi Strangler Fig Pattern: sistem baru dibangun secara bertahap menggantikan fungsi sistem lama, dengan parallel running hingga kepercayaan penuh tercapai. Rollback plan wajib tersedia untuk setiap langkah migrasi.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2. MIGRATION STRATEGY PER SISTEM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2.1 Core Insurance System — Strangler Fig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10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Tahap Migrasi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 Arsitektur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 Aktif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T0 — 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Legacy Core 100% aktif. API Gateway dipasang di depan sebagai proxy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Legacy Core + API Gateway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Q1 2025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Gateway menerima 100% traffic, zero impact ke legacy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T1 — New Business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 baru menangani new business. Legacy masih menangani polis existing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Legacy Core + PAS (new biz) + API Gateway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Q2–Q3 2025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100% new polis terbit di PAS baru. Zero defect selama 30 hari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T2 — Policy Servicing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Polis existing dimigrasikan secara batch ke PAS baru (per cohort)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 + Legacy (read-only) + API Gateway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Q3–Q4 2025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Seluruh polis aktif tersedia di PAS baru dengan data akurat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T3 — Legacy Decommission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Legacy Core dimatikan setelah validasi final. Hanya PAS yang aktif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 only + API Gateway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Q4 2025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Zero regression incidents selama 60 hari post-migration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2.2 Data Migration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500"/>
        <w:gridCol w:w="1800"/>
        <w:gridCol w:w="1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 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Estimasi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 Migrasi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Validasi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Polis Aktif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juta+ records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Batch migration cohort (100K/batch), parallel write selama transisi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Reconciliation: count, sum premi, status polis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Q3 2025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Historis Polis (tidak aktif)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 juta+ records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Batch migration ke archive tier setelah polis aktif selesai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Sampling 5% — spot check manual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Q4 2025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Klaim (5 tahun terakhir)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juta+ records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Extract-transform-load ke CMS baru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Financial reconciliation — total klaim dibayar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Q3 2025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Nasabah (Customer Master)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juta+ records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MDM-first: deduplicate → migrate → validate Golden 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Duplikasi &lt; 0.01%, completeness &gt; 99%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Q2 2025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Premi &amp; Transaksi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 juta+ records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Migrate ke Data Warehouse untuk analytics. Operational data: 2 tahun terakhir saja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Financial close balance — reconcile dengan SAP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Q1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3. CUTOVER PLAN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3.1 Cutover Checklist — Core Insurance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500"/>
        <w:gridCol w:w="900"/>
        <w:gridCol w:w="1800"/>
        <w:gridCol w:w="1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 Cutover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Dependensi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Freeze transaksi di sistem legacy (maintenance window)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IT Operations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T-0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Semua stakeholder notified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Final data sync dari legacy ke PAS baru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Engineering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jam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Legacy di-freeze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reconciliation final — count dan checksum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QA 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jam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Final sync selesai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Smoke testing semua fungsi kritis di PAS baru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QA + Business User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jam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Reconciliation 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DNS/Load Balancer switch — traffic ke PAS baru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IT Infrastructure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 menit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Smoke test OK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Monitoring intensif 24 jam post-cutover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IT Operations + 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24 jam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Traffic switch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Hypercare period — semua tim on standby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IT Teams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minggu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Cutover berhasil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Legacy system dimatikan (setelah hypercare clear)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IT Infrastructure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jam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Hypercare cleared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4. ROLLBACK PLAN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4.1 Rollback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Error rate API &gt; 5% selama lebih dari 5 menit berturut-turut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Data inconsistency terdeteksi (perbedaan count polis &gt; 0.1%)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Response time P95 &gt; 10 detik selama lebih dari 10 menit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Kritik dari business user bahwa fungsi kritikal tidak berjalan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Security incident terdeteksi dalam 24 jam pertama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4.2 Rollback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500"/>
        <w:gridCol w:w="3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Estimasi Waktu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Decision rollback oleh Architecture Board / CTO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CTO + CEA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15 menit decision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Switch traffic kembali ke Legacy Core via LB/DNS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IT Infrastructure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30 menit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Verifikasi Legacy Core berfungsi normal (smoke test cepat)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QA Team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60 menit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Notifikasi semua stakeholder dan mitra (bank, OJK jika perlu)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IT Communications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2 jam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Post-incident analysis dan rencana retry cutover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Architecture Team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2–3 hari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5. IMPLEMENTATION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700"/>
        <w:gridCol w:w="700"/>
        <w:gridCol w:w="27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migration error — kehilangan data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Rendah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Sangat Kritis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KRITIS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Triple validation, backup penuh sebelum migrasi, parallel running 30 hari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Architect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Performance degradation PAS baru saat load tinggi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Kritis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KRITIS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testing 200% capacity sebelum cutover, auto-scaling configured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 Architect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Resistensi agen terhadap sistem baru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TINGGI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Training intensif, hypercare 2 minggu, champion program di kantor cabang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Change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Integrasi bank mitra gagal setelah cutover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TINGGI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E2E integration testing dengan semua mitra, rollback per mitra tersedia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Integration Lead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Timeline slip karena dependency pihak ketiga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SEDANG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Buffer 20% di setiap milestone, weekly vendor management meeting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Kekurangan sumber daya developer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TINGGI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Hiring plan + vendor augmentation, clear knowledge transfer plan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HR + CTO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1837" w:sz="4" w:space="2"/>
      </w:pBdr>
      <w:tabs>
        <w:tab w:val="right" w:pos="9360"/>
      </w:tabs>
    </w:pPr>
    <w:r>
      <w:rPr>
        <w:rFonts w:ascii="Arial" w:cs="Arial" w:eastAsia="Arial" w:hAnsi="Arial"/>
        <w:color w:val="CCCCCC"/>
        <w:sz w:val="16"/>
        <w:szCs w:val="16"/>
      </w:rPr>
      <w:t xml:space="preserve">© 2025 PT Equity Life Indonesia — Enterprise Architecture Program</w:t>
    </w:r>
    <w:r>
      <w:rPr>
        <w:rFonts w:ascii="Arial" w:cs="Arial" w:eastAsia="Arial" w:hAnsi="Arial"/>
        <w:color w:val="CCCCCC"/>
        <w:sz w:val="16"/>
        <w:szCs w:val="16"/>
      </w:rPr>
      <w:t xml:space="preserve">	Hal.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1837" w:sz="4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E31837"/>
        <w:sz w:val="18"/>
        <w:szCs w:val="18"/>
      </w:rPr>
      <w:t xml:space="preserve">PT Equity Life Indonesia  |  </w:t>
    </w:r>
    <w:r>
      <w:rPr>
        <w:rFonts w:ascii="Arial" w:cs="Arial" w:eastAsia="Arial" w:hAnsi="Arial"/>
        <w:color w:val="1A2647"/>
        <w:sz w:val="18"/>
        <w:szCs w:val="18"/>
      </w:rPr>
      <w:t xml:space="preserve">EA-DOC-08: Transition Architecture</w:t>
    </w:r>
    <w:r>
      <w:rPr>
        <w:rFonts w:ascii="Arial" w:cs="Arial" w:eastAsia="Arial" w:hAnsi="Arial"/>
        <w:color w:val="CCCCCC"/>
        <w:sz w:val="16"/>
        <w:szCs w:val="16"/>
      </w:rPr>
      <w:t xml:space="preserve">	CONFIDENTIAL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E31837" w:sz="6" w:space="4"/>
      </w:pBdr>
      <w:spacing w:after="120" w:before="260"/>
      <w:outlineLvl w:val="1"/>
    </w:pPr>
    <w:rPr>
      <w:rFonts w:ascii="Arial" w:cs="Arial" w:eastAsia="Arial" w:hAnsi="Arial"/>
      <w:b/>
      <w:bCs/>
      <w:color w:val="1A264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318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2026-04-07T02:51:36.082Z</dcterms:created>
  <dcterms:modified xsi:type="dcterms:W3CDTF">2026-04-07T02:51:36.082Z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