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E31837" w:val="clear"/>
        <w:spacing w:after="0" w:before="0"/>
        <w:ind w:left="360" w:right="360"/>
      </w:pPr>
      <w:r>
        <w:rPr>
          <w:rFonts w:ascii="Arial" w:cs="Arial" w:eastAsia="Arial" w:hAnsi="Arial"/>
          <w:b/>
          <w:bCs/>
          <w:color w:val="FFFFFF"/>
          <w:sz w:val="48"/>
          <w:szCs w:val="48"/>
        </w:rPr>
        <w:t xml:space="preserve">ARCHITECTURE GOVERNANCE FRAMEWORK</w:t>
      </w:r>
    </w:p>
    <w:p>
      <w:pPr>
        <w:shd w:fill="1A2647" w:val="clear"/>
        <w:spacing w:after="240" w:before="0"/>
        <w:ind w:left="360" w:right="360"/>
      </w:pPr>
      <w:r>
        <w:rPr>
          <w:rFonts w:ascii="Arial" w:cs="Arial" w:eastAsia="Arial" w:hAnsi="Arial"/>
          <w:color w:val="BFC5D4"/>
          <w:sz w:val="22"/>
          <w:szCs w:val="22"/>
        </w:rPr>
        <w:t xml:space="preserve">TOGAF ADM Phase G — Architecture Governance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Nomor Dokumen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ELI-EA-GOV-2025-001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TOGAF Phase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Phase G — Implementation Governance</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Versi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Tanggal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April 2025</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Pemilik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Chief Enterprise Architect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Disetujui Oleh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CTO, Chief Risk Officer</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Berlaku Sejak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 Mei 2025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Review Cycle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Setiap 6 bulan</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1. ARCHITECTURE GOVERNANCE OVERVIEW</w:t>
      </w:r>
    </w:p>
    <w:p>
      <w:pPr>
        <w:spacing w:after="60" w:before="60"/>
      </w:pPr>
      <w:r>
        <w:rPr>
          <w:rFonts w:ascii="Arial" w:cs="Arial" w:eastAsia="Arial" w:hAnsi="Arial"/>
          <w:color w:val="2D2D2D"/>
          <w:sz w:val="22"/>
          <w:szCs w:val="22"/>
        </w:rPr>
        <w:t xml:space="preserve">Architecture Governance Framework mendefinisikan struktur, proses, dan mekanisme yang memastikan bahwa semua proyek IT di PT Equity Life Indonesia didesain dan diimplementasikan sesuai dengan prinsip, standar, dan target arsitektur enterprise yang telah ditetapkan.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360"/>
      </w:tblGrid>
      <w:tr>
        <w:trPr>
          <w:tblHeader/>
        </w:trPr>
        <w:tc>
          <w:tcPr>
            <w:tcW w:type="dxa" w:w="2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Komponen Governance</w:t>
            </w:r>
          </w:p>
        </w:tc>
        <w:tc>
          <w:tcPr>
            <w:tcW w:type="dxa" w:w="3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Tujuan</w:t>
            </w:r>
          </w:p>
        </w:tc>
        <w:tc>
          <w:tcPr>
            <w:tcW w:type="dxa" w:w="23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Frekuensi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Architecture Review Board (ARB)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Review dan approve/reject keputusan arsitektur signifikan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 minggu sekali (standing meeting)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Architecture Review Request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Mekanisme proyek mengajukan review ke ARB</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On-demand + mandatory checkpoint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Architecture Compliance Check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Verifikasi proyek yang berjalan sesuai arsitektur yang disetujui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Per milestone atau quarterly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Architecture Waiver/Dispensation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Proses formal untuk mendapatkan pengecualian dari standar</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On-demand — harus melalui ARB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Architecture KPI Reporting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Laporan progres EA program ke C-Level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Bulanan ke CTO, Quarterly ke BOD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EA Tooling (Repository)</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Manajemen dan pemeliharaan EA artifacts, ADR, diagram</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Berkelanjutan</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2. ARCHITECTURE REVIEW BOARD (ARB)</w:t>
      </w:r>
    </w:p>
    <w:p>
      <w:pPr>
        <w:pStyle w:val="Heading3"/>
        <w:spacing w:after="80" w:before="180"/>
      </w:pPr>
      <w:r>
        <w:rPr>
          <w:rFonts w:ascii="Arial" w:cs="Arial" w:eastAsia="Arial" w:hAnsi="Arial"/>
          <w:b/>
          <w:bCs/>
          <w:color w:val="E31837"/>
          <w:sz w:val="24"/>
          <w:szCs w:val="24"/>
        </w:rPr>
        <w:t xml:space="preserve">2.1 Mandate &amp; Scope</w:t>
      </w:r>
    </w:p>
    <w:p>
      <w:pPr>
        <w:spacing w:after="60" w:before="60"/>
      </w:pPr>
      <w:r>
        <w:rPr>
          <w:rFonts w:ascii="Arial" w:cs="Arial" w:eastAsia="Arial" w:hAnsi="Arial"/>
          <w:color w:val="2D2D2D"/>
          <w:sz w:val="22"/>
          <w:szCs w:val="22"/>
        </w:rPr>
        <w:t xml:space="preserve">ARB adalah otoritas tertinggi untuk semua keputusan arsitektur di PT Equity Life Indonesia. ARB berwenang untuk: menyetujui atau menolak proposal arsitektur, memberikan dispensasi dari Architecture Principles, merekomendasikan perubahan pada EA Baseline, dan memantau kesehatan portfolio aplikasi.</w:t>
      </w:r>
    </w:p>
    <w:p>
      <w:pPr>
        <w:spacing w:after="80" w:before="80"/>
      </w:pPr>
      <w:r>
        <w:t xml:space="preserve"/>
      </w:r>
    </w:p>
    <w:p>
      <w:pPr>
        <w:pStyle w:val="Heading3"/>
        <w:spacing w:after="80" w:before="180"/>
      </w:pPr>
      <w:r>
        <w:rPr>
          <w:rFonts w:ascii="Arial" w:cs="Arial" w:eastAsia="Arial" w:hAnsi="Arial"/>
          <w:b/>
          <w:bCs/>
          <w:color w:val="E31837"/>
          <w:sz w:val="24"/>
          <w:szCs w:val="24"/>
        </w:rPr>
        <w:t xml:space="preserve">2.2 ARB Operating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Aspek</w:t>
            </w:r>
          </w:p>
        </w:tc>
        <w:tc>
          <w:tcPr>
            <w:tcW w:type="dxa" w:w="73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Ketentuan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Jadwal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Standing meeting setiap 2 minggu, Selasa 14.00–16.00 WIB</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Quorum</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Minimum 4 dari 7 anggota (termasuk Chief Enterprise Architect)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Pengambilan Keputusan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Mayoritas sederhana. Jika imbang, Chief Enterprise Architect memiliki casting vote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Dokumentasi</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Notulen + keputusan ARB harus dipublikasikan dalam 3 hari kerja ke semua stakeholder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Emergency Review</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ARB dapat dikonvokasikan dalam 24 jam untuk keputusan kritis (minimum 3 anggota)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Tracking</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Semua keputusan ARB dicatat di Architecture Decision Log dengan status dan tanggal</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3. ARCHITECTURE REVIEW PROCESS</w:t>
      </w:r>
    </w:p>
    <w:p>
      <w:pPr>
        <w:pStyle w:val="Heading3"/>
        <w:spacing w:after="80" w:before="180"/>
      </w:pPr>
      <w:r>
        <w:rPr>
          <w:rFonts w:ascii="Arial" w:cs="Arial" w:eastAsia="Arial" w:hAnsi="Arial"/>
          <w:b/>
          <w:bCs/>
          <w:color w:val="E31837"/>
          <w:sz w:val="24"/>
          <w:szCs w:val="24"/>
        </w:rPr>
        <w:t xml:space="preserve">3.1 Kapan Review Wajib Dilakukan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3560"/>
      </w:tblGrid>
      <w:tr>
        <w:trPr>
          <w:tblHeader/>
        </w:trPr>
        <w:tc>
          <w:tcPr>
            <w:tcW w:type="dxa" w:w="2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Trigger</w:t>
            </w:r>
          </w:p>
        </w:tc>
        <w:tc>
          <w:tcPr>
            <w:tcW w:type="dxa" w:w="23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Contoh</w:t>
            </w:r>
          </w:p>
        </w:tc>
        <w:tc>
          <w:tcPr>
            <w:tcW w:type="dxa" w:w="35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Review Level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Proyek baru dengan budget &gt; Rp 1 Miliar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Implementasi sistem core baru</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Full ARB Review</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Perubahan arsitektur yang mempengaruhi &gt; 2 sistem</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Perubahan API Gateway routing</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Full ARB Review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Onboarding teknologi baru yang belum ada di Technology Standards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Penggunaan database baru</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Full ARB Review</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Pengecualian dari Architecture Principles</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Penggunaan Oracle DB</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Dispensation Request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Proyek dengan budget Rp 100 Juta – Rp 1 Miliar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Fitur baru signifikan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Expedited Review (CEA only)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Pemilihan vendor / produk baru</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Pilih monitoring tool baru</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Technology Council Review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Proyek &lt; Rp 100 Juta tanpa teknologi baru</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Bug fix, minor enhancement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Self-certification oleh SA</w:t>
            </w:r>
          </w:p>
        </w:tc>
      </w:tr>
    </w:tbl>
    <w:p>
      <w:pPr>
        <w:spacing w:after="80" w:before="80"/>
      </w:pPr>
      <w:r>
        <w:t xml:space="preserve"/>
      </w:r>
    </w:p>
    <w:p>
      <w:pPr>
        <w:pStyle w:val="Heading3"/>
        <w:spacing w:after="80" w:before="180"/>
      </w:pPr>
      <w:r>
        <w:rPr>
          <w:rFonts w:ascii="Arial" w:cs="Arial" w:eastAsia="Arial" w:hAnsi="Arial"/>
          <w:b/>
          <w:bCs/>
          <w:color w:val="E31837"/>
          <w:sz w:val="24"/>
          <w:szCs w:val="24"/>
        </w:rPr>
        <w:t xml:space="preserve">3.2 Architecture Review Submission Requirements</w:t>
      </w:r>
    </w:p>
    <w:p>
      <w:pPr>
        <w:pStyle w:val="ListParagraph"/>
        <w:numPr>
          <w:ilvl w:val="0"/>
          <w:numId w:val="2"/>
        </w:numPr>
        <w:spacing w:after="40" w:before="40"/>
      </w:pPr>
      <w:r>
        <w:rPr>
          <w:rFonts w:ascii="Arial" w:cs="Arial" w:eastAsia="Arial" w:hAnsi="Arial"/>
          <w:color w:val="2D2D2D"/>
          <w:sz w:val="22"/>
          <w:szCs w:val="22"/>
        </w:rPr>
        <w:t xml:space="preserve">Architecture Decision Record (ADR) yang menjelaskan keputusan, alternatif, dan trade-off</w:t>
      </w:r>
    </w:p>
    <w:p>
      <w:pPr>
        <w:pStyle w:val="ListParagraph"/>
        <w:numPr>
          <w:ilvl w:val="0"/>
          <w:numId w:val="2"/>
        </w:numPr>
        <w:spacing w:after="40" w:before="40"/>
      </w:pPr>
      <w:r>
        <w:rPr>
          <w:rFonts w:ascii="Arial" w:cs="Arial" w:eastAsia="Arial" w:hAnsi="Arial"/>
          <w:color w:val="2D2D2D"/>
          <w:sz w:val="22"/>
          <w:szCs w:val="22"/>
        </w:rPr>
        <w:t xml:space="preserve">Context diagram (C4 Level 1 minimum) — menunjukkan sistem dan relasi-nya</w:t>
      </w:r>
    </w:p>
    <w:p>
      <w:pPr>
        <w:pStyle w:val="ListParagraph"/>
        <w:numPr>
          <w:ilvl w:val="0"/>
          <w:numId w:val="2"/>
        </w:numPr>
        <w:spacing w:after="40" w:before="40"/>
      </w:pPr>
      <w:r>
        <w:rPr>
          <w:rFonts w:ascii="Arial" w:cs="Arial" w:eastAsia="Arial" w:hAnsi="Arial"/>
          <w:color w:val="2D2D2D"/>
          <w:sz w:val="22"/>
          <w:szCs w:val="22"/>
        </w:rPr>
        <w:t xml:space="preserve">Data flow diagram — menunjukkan perpindahan data antar sistem</w:t>
      </w:r>
    </w:p>
    <w:p>
      <w:pPr>
        <w:pStyle w:val="ListParagraph"/>
        <w:numPr>
          <w:ilvl w:val="0"/>
          <w:numId w:val="2"/>
        </w:numPr>
        <w:spacing w:after="40" w:before="40"/>
      </w:pPr>
      <w:r>
        <w:rPr>
          <w:rFonts w:ascii="Arial" w:cs="Arial" w:eastAsia="Arial" w:hAnsi="Arial"/>
          <w:color w:val="2D2D2D"/>
          <w:sz w:val="22"/>
          <w:szCs w:val="22"/>
        </w:rPr>
        <w:t xml:space="preserve">Security assessment summary — STRIDE threat model minimal</w:t>
      </w:r>
    </w:p>
    <w:p>
      <w:pPr>
        <w:pStyle w:val="ListParagraph"/>
        <w:numPr>
          <w:ilvl w:val="0"/>
          <w:numId w:val="2"/>
        </w:numPr>
        <w:spacing w:after="40" w:before="40"/>
      </w:pPr>
      <w:r>
        <w:rPr>
          <w:rFonts w:ascii="Arial" w:cs="Arial" w:eastAsia="Arial" w:hAnsi="Arial"/>
          <w:color w:val="2D2D2D"/>
          <w:sz w:val="22"/>
          <w:szCs w:val="22"/>
        </w:rPr>
        <w:t xml:space="preserve">NFR summary — availability, performance, scalability targets</w:t>
      </w:r>
    </w:p>
    <w:p>
      <w:pPr>
        <w:pStyle w:val="ListParagraph"/>
        <w:numPr>
          <w:ilvl w:val="0"/>
          <w:numId w:val="2"/>
        </w:numPr>
        <w:spacing w:after="40" w:before="40"/>
      </w:pPr>
      <w:r>
        <w:rPr>
          <w:rFonts w:ascii="Arial" w:cs="Arial" w:eastAsia="Arial" w:hAnsi="Arial"/>
          <w:color w:val="2D2D2D"/>
          <w:sz w:val="22"/>
          <w:szCs w:val="22"/>
        </w:rPr>
        <w:t xml:space="preserve">Compliance checklist — kesesuaian dengan Architecture Principles</w:t>
      </w:r>
    </w:p>
    <w:p>
      <w:pPr>
        <w:pStyle w:val="ListParagraph"/>
        <w:numPr>
          <w:ilvl w:val="0"/>
          <w:numId w:val="2"/>
        </w:numPr>
        <w:spacing w:after="40" w:before="40"/>
      </w:pPr>
      <w:r>
        <w:rPr>
          <w:rFonts w:ascii="Arial" w:cs="Arial" w:eastAsia="Arial" w:hAnsi="Arial"/>
          <w:color w:val="2D2D2D"/>
          <w:sz w:val="22"/>
          <w:szCs w:val="22"/>
        </w:rPr>
        <w:t xml:space="preserve">Cost estimate — CapEx dan OpEx 3 tahun</w:t>
      </w:r>
    </w:p>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4. ARCHITECTURE COMPLIANCE FRAMEWORK</w:t>
      </w:r>
    </w:p>
    <w:p>
      <w:pPr>
        <w:pStyle w:val="Heading3"/>
        <w:spacing w:after="80" w:before="180"/>
      </w:pPr>
      <w:r>
        <w:rPr>
          <w:rFonts w:ascii="Arial" w:cs="Arial" w:eastAsia="Arial" w:hAnsi="Arial"/>
          <w:b/>
          <w:bCs/>
          <w:color w:val="E31837"/>
          <w:sz w:val="24"/>
          <w:szCs w:val="24"/>
        </w:rPr>
        <w:t xml:space="preserve">4.1 Compliance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860"/>
      </w:tblGrid>
      <w:tr>
        <w:trPr>
          <w:tblHeader/>
        </w:trPr>
        <w:tc>
          <w:tcPr>
            <w:tcW w:type="dxa" w:w="1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Level</w:t>
            </w:r>
          </w:p>
        </w:tc>
        <w:tc>
          <w:tcPr>
            <w:tcW w:type="dxa" w:w="3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Definisi</w:t>
            </w:r>
          </w:p>
        </w:tc>
        <w:tc>
          <w:tcPr>
            <w:tcW w:type="dxa" w:w="48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Konsekuensi Jika Tidak Comply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MANDATORY (M)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Wajib dipatuhi tanpa pengecualian. Pelanggaran membutuhkan eskalasi CTO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Proyek dihentikan hingga compliance tercapai</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SHOULD (S)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Direkomendasikan kuat. Pengecualian melalui Dispensation Request ke ARB</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Dispensation Request — dapat diberikan dengan alasan kuat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MAY (O)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Panduan best practice. Dapat diabaikan dengan justifikasi terdokumentasi</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SA mendokumentasikan alasan dalam ADR</w:t>
            </w:r>
          </w:p>
        </w:tc>
      </w:tr>
    </w:tbl>
    <w:p>
      <w:pPr>
        <w:spacing w:after="80" w:before="80"/>
      </w:pPr>
      <w:r>
        <w:t xml:space="preserve"/>
      </w:r>
    </w:p>
    <w:p>
      <w:pPr>
        <w:pStyle w:val="Heading3"/>
        <w:spacing w:after="80" w:before="180"/>
      </w:pPr>
      <w:r>
        <w:rPr>
          <w:rFonts w:ascii="Arial" w:cs="Arial" w:eastAsia="Arial" w:hAnsi="Arial"/>
          <w:b/>
          <w:bCs/>
          <w:color w:val="E31837"/>
          <w:sz w:val="24"/>
          <w:szCs w:val="24"/>
        </w:rPr>
        <w:t xml:space="preserve">4.2 Architecture Compliance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3800"/>
        <w:gridCol w:w="1260"/>
      </w:tblGrid>
      <w:tr>
        <w:trPr>
          <w:tblHeader/>
        </w:trPr>
        <w:tc>
          <w:tcPr>
            <w:tcW w:type="dxa" w:w="2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 Compliance</w:t>
            </w:r>
          </w:p>
        </w:tc>
        <w:tc>
          <w:tcPr>
            <w:tcW w:type="dxa" w:w="7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Bobot</w:t>
            </w:r>
          </w:p>
        </w:tc>
        <w:tc>
          <w:tcPr>
            <w:tcW w:type="dxa" w:w="38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Pertanyaan Kunci</w:t>
            </w:r>
          </w:p>
        </w:tc>
        <w:tc>
          <w:tcPr>
            <w:tcW w:type="dxa" w:w="12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Level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Security Compliance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Apakah sistem menggunakan OAuth 2.0 + TLS 1.3? Apakah ada SAST dalam CI/CD?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MANDATORY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API Standards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20%</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Apakah API menggunakan OpenAPI 3.0? Apakah terdaftar di API Gateway?</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MANDATORY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Classification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Apakah data classified dan di-encrypt sesuai klasifikasinya?</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MANDATORY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High Availability</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15%</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Apakah sistem Tier-1 memiliki HA dan DR plan yang divalidasi?</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MANDATORY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Technology Standards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Apakah teknologi yang dipilih ada di approved technology catalog?</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SHOULD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Observability</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10%</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Apakah sistem expose /health, /metrics? Apakah terhubung ke monitoring stack?</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SHOULD</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5. EA METRICS &amp;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400"/>
        <w:gridCol w:w="1360"/>
      </w:tblGrid>
      <w:tr>
        <w:trPr>
          <w:tblHeader/>
        </w:trPr>
        <w:tc>
          <w:tcPr>
            <w:tcW w:type="dxa" w:w="2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Metrik EA</w:t>
            </w:r>
          </w:p>
        </w:tc>
        <w:tc>
          <w:tcPr>
            <w:tcW w:type="dxa" w:w="18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Cara Ukur</w:t>
            </w:r>
          </w:p>
        </w:tc>
        <w:tc>
          <w:tcPr>
            <w:tcW w:type="dxa" w:w="12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c>
          <w:tcPr>
            <w:tcW w:type="dxa" w:w="14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Dilaporkan Ke</w:t>
            </w:r>
          </w:p>
        </w:tc>
        <w:tc>
          <w:tcPr>
            <w:tcW w:type="dxa" w:w="13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Frekuensi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 Proyek comply dengan Architecture Standards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Compliance audit per proyek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&gt; 90%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Quarterly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Jumlah Architecture Technical Debt items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Count open items di EA backlog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&lt; 20 items outstanding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ARB</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Monthly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Waktu review ARB (cycle 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Dari submission ke keputusan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&lt; 5 hari kerja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CEA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Monthly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 Teknologi sesuai Technology Standards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Audit application portfolio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&gt; 95%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ARB</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Quarterly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Architecture Principle violations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Count dispensation requests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&lt; 3 per kuartal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Quarterly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EA Program delivery (on-time milestones)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 milestone tepat waktu</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&gt; 80%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BOD</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Quarterly</w:t>
            </w:r>
          </w:p>
        </w:tc>
      </w:tr>
    </w:tbl>
    <w:p>
      <w:pPr>
        <w:spacing w:after="80" w:before="80"/>
      </w:pPr>
      <w:r>
        <w:t xml:space="preserve"/>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1837" w:sz="4" w:space="2"/>
      </w:pBdr>
      <w:tabs>
        <w:tab w:val="right" w:pos="9360"/>
      </w:tabs>
    </w:pPr>
    <w:r>
      <w:rPr>
        <w:rFonts w:ascii="Arial" w:cs="Arial" w:eastAsia="Arial" w:hAnsi="Arial"/>
        <w:color w:val="CCCCCC"/>
        <w:sz w:val="16"/>
        <w:szCs w:val="16"/>
      </w:rPr>
      <w:t xml:space="preserve">© 2025 PT Equity Life Indonesia — Enterprise Architecture Program</w:t>
    </w:r>
    <w:r>
      <w:rPr>
        <w:rFonts w:ascii="Arial" w:cs="Arial" w:eastAsia="Arial" w:hAnsi="Arial"/>
        <w:color w:val="CCCCCC"/>
        <w:sz w:val="16"/>
        <w:szCs w:val="16"/>
      </w:rPr>
      <w:t xml:space="preserve">	Hal.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1837" w:sz="4" w:space="2"/>
      </w:pBdr>
      <w:tabs>
        <w:tab w:val="right" w:pos="9360"/>
      </w:tabs>
    </w:pPr>
    <w:r>
      <w:rPr>
        <w:rFonts w:ascii="Arial" w:cs="Arial" w:eastAsia="Arial" w:hAnsi="Arial"/>
        <w:b/>
        <w:bCs/>
        <w:color w:val="E31837"/>
        <w:sz w:val="18"/>
        <w:szCs w:val="18"/>
      </w:rPr>
      <w:t xml:space="preserve">PT Equity Life Indonesia  |  </w:t>
    </w:r>
    <w:r>
      <w:rPr>
        <w:rFonts w:ascii="Arial" w:cs="Arial" w:eastAsia="Arial" w:hAnsi="Arial"/>
        <w:color w:val="1A2647"/>
        <w:sz w:val="18"/>
        <w:szCs w:val="18"/>
      </w:rPr>
      <w:t xml:space="preserve">EA-DOC-09: Architecture Governance</w:t>
    </w:r>
    <w:r>
      <w:rPr>
        <w:rFonts w:ascii="Arial" w:cs="Arial" w:eastAsia="Arial" w:hAnsi="Arial"/>
        <w:color w:val="CCCCCC"/>
        <w:sz w:val="16"/>
        <w:szCs w:val="16"/>
      </w:rPr>
      <w:t xml:space="preserve">	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color w:val="FFFFFF"/>
      <w:sz w:val="36"/>
      <w:szCs w:val="36"/>
    </w:rPr>
  </w:style>
  <w:style w:type="paragraph" w:styleId="Heading2">
    <w:name w:val="Heading 2"/>
    <w:basedOn w:val="Normal"/>
    <w:next w:val="Normal"/>
    <w:qFormat/>
    <w:pPr>
      <w:pBdr>
        <w:bottom w:val="single" w:color="E31837" w:sz="6" w:space="4"/>
      </w:pBdr>
      <w:spacing w:after="120" w:before="260"/>
      <w:outlineLvl w:val="1"/>
    </w:pPr>
    <w:rPr>
      <w:rFonts w:ascii="Arial" w:cs="Arial" w:eastAsia="Arial" w:hAnsi="Arial"/>
      <w:b/>
      <w:bCs/>
      <w:color w:val="1A264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318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2026-04-07T02:51:36.094Z</dcterms:created>
  <dcterms:modified xsi:type="dcterms:W3CDTF">2026-04-07T02:51:36.094Z</dcterms:modified>
</cp:coreProperties>
</file>

<file path=docProps/custom.xml><?xml version="1.0" encoding="utf-8"?>
<Properties xmlns="http://schemas.openxmlformats.org/officeDocument/2006/custom-properties" xmlns:vt="http://schemas.openxmlformats.org/officeDocument/2006/docPropsVTypes"/>
</file>