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31837" w:val="clear"/>
        <w:spacing w:after="0" w:before="0"/>
        <w:ind w:left="360" w:right="360"/>
      </w:pPr>
      <w:r>
        <w:rPr>
          <w:rFonts w:ascii="Arial" w:cs="Arial" w:eastAsia="Arial" w:hAnsi="Arial"/>
          <w:b/>
          <w:bCs/>
          <w:color w:val="FFFFFF"/>
          <w:sz w:val="48"/>
          <w:szCs w:val="48"/>
        </w:rPr>
        <w:t xml:space="preserve">ARCHITECTURE CONTRACT</w:t>
      </w:r>
    </w:p>
    <w:p>
      <w:pPr>
        <w:shd w:fill="1A2647" w:val="clear"/>
        <w:spacing w:after="240" w:before="0"/>
        <w:ind w:left="360" w:right="360"/>
      </w:pPr>
      <w:r>
        <w:rPr>
          <w:rFonts w:ascii="Arial" w:cs="Arial" w:eastAsia="Arial" w:hAnsi="Arial"/>
          <w:color w:val="BFC5D4"/>
          <w:sz w:val="22"/>
          <w:szCs w:val="22"/>
        </w:rPr>
        <w:t xml:space="preserve">TOGAF ADM Phase G — Digital Core Insurance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Nomor Kontrak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ELI-EA-CONTRACT-2025-001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TOGAF Phase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G — Implementation Governance</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Nama Proyek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Digital Core Insurance Platform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Pihak EA (Architecture Provider)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Enterprise Architecture Team — PT Equity Life Indonesia</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Pihak Delivery (Architecture Consumer)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IT Development Team + Vendor Implementor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Tanggal Efektif</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 Mei 2025</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Berlaku Hingga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31 Desember 2026 (atau sampai Go-Live + 3 bulan Hypercare)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Ditandatangani Oleh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Chief Enterprise Architect + CTO + Program Director</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1. TUJUAN KONTRAK</w:t>
      </w:r>
    </w:p>
    <w:p>
      <w:pPr>
        <w:spacing w:after="60" w:before="60"/>
      </w:pPr>
      <w:r>
        <w:rPr>
          <w:rFonts w:ascii="Arial" w:cs="Arial" w:eastAsia="Arial" w:hAnsi="Arial"/>
          <w:color w:val="2D2D2D"/>
          <w:sz w:val="22"/>
          <w:szCs w:val="22"/>
        </w:rPr>
        <w:t xml:space="preserve">Architecture Contract adalah perjanjian formal antara Enterprise Architecture Team (sebagai architecture provider) dengan tim development dan vendor (sebagai architecture consumer). Kontrak ini mendefinisikan standar, kewajiban, dan kriteria kualitas yang harus dipenuhi dalam mengimplementasikan Digital Core Insurance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31837" w:sz="1"/>
              <w:left w:val="single" w:color="E31837" w:sz="12"/>
              <w:bottom w:val="single" w:color="E31837" w:sz="1"/>
              <w:right w:val="single" w:color="E31837" w:sz="1"/>
            </w:tcBorders>
            <w:shd w:fill="E8EAF0" w:val="clear"/>
            <w:tcMar>
              <w:top w:type="dxa" w:w="120"/>
              <w:left w:type="dxa" w:w="200"/>
              <w:bottom w:type="dxa" w:w="120"/>
              <w:right w:type="dxa" w:w="200"/>
            </w:tcMar>
          </w:tcPr>
          <w:p>
            <w:r>
              <w:rPr>
                <w:rFonts w:ascii="Arial" w:cs="Arial" w:eastAsia="Arial" w:hAnsi="Arial"/>
                <w:b/>
                <w:bCs/>
                <w:color w:val="1A2647"/>
                <w:sz w:val="22"/>
                <w:szCs w:val="22"/>
              </w:rPr>
              <w:t xml:space="preserve">Komitmen Bersama</w:t>
            </w:r>
          </w:p>
          <w:p>
            <w:pPr>
              <w:spacing w:before="60"/>
            </w:pPr>
            <w:r>
              <w:rPr>
                <w:rFonts w:ascii="Arial" w:cs="Arial" w:eastAsia="Arial" w:hAnsi="Arial"/>
                <w:color w:val="2D2D2D"/>
                <w:sz w:val="21"/>
                <w:szCs w:val="21"/>
              </w:rPr>
              <w:t xml:space="preserve">EA Team berkomitmen untuk memberikan panduan arsitektur yang jelas, responsif, dan mendukung delivery. Development Team berkomitmen untuk mengikuti standar arsitektur, melakukan review tepat waktu, dan melaporkan deviasi secara proaktif. Tujuan bersama adalah menghasilkan platform yang aman, andal, dan bernilai bagi bisnis.</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2. KEWAJIBAN PIHAK EA (Architecture Provider)</w:t>
      </w:r>
    </w:p>
    <w:p>
      <w:pPr>
        <w:pStyle w:val="ListParagraph"/>
        <w:numPr>
          <w:ilvl w:val="0"/>
          <w:numId w:val="2"/>
        </w:numPr>
        <w:spacing w:after="40" w:before="40"/>
      </w:pPr>
      <w:r>
        <w:rPr>
          <w:rFonts w:ascii="Arial" w:cs="Arial" w:eastAsia="Arial" w:hAnsi="Arial"/>
          <w:color w:val="2D2D2D"/>
          <w:sz w:val="22"/>
          <w:szCs w:val="22"/>
        </w:rPr>
        <w:t xml:space="preserve">Menyediakan Architecture Reference Documents yang lengkap dan up-to-date dalam 5 hari kerja setelah diminta</w:t>
      </w:r>
    </w:p>
    <w:p>
      <w:pPr>
        <w:pStyle w:val="ListParagraph"/>
        <w:numPr>
          <w:ilvl w:val="0"/>
          <w:numId w:val="2"/>
        </w:numPr>
        <w:spacing w:after="40" w:before="40"/>
      </w:pPr>
      <w:r>
        <w:rPr>
          <w:rFonts w:ascii="Arial" w:cs="Arial" w:eastAsia="Arial" w:hAnsi="Arial"/>
          <w:color w:val="2D2D2D"/>
          <w:sz w:val="22"/>
          <w:szCs w:val="22"/>
        </w:rPr>
        <w:t xml:space="preserve">Melakukan Architecture Review Request dalam SLA 5 hari kerja untuk normal review, 24 jam untuk emergency</w:t>
      </w:r>
    </w:p>
    <w:p>
      <w:pPr>
        <w:pStyle w:val="ListParagraph"/>
        <w:numPr>
          <w:ilvl w:val="0"/>
          <w:numId w:val="2"/>
        </w:numPr>
        <w:spacing w:after="40" w:before="40"/>
      </w:pPr>
      <w:r>
        <w:rPr>
          <w:rFonts w:ascii="Arial" w:cs="Arial" w:eastAsia="Arial" w:hAnsi="Arial"/>
          <w:color w:val="2D2D2D"/>
          <w:sz w:val="22"/>
          <w:szCs w:val="22"/>
        </w:rPr>
        <w:t xml:space="preserve">Memberikan keputusan ARB yang terdokumentasi dengan alasan yang jelas</w:t>
      </w:r>
    </w:p>
    <w:p>
      <w:pPr>
        <w:pStyle w:val="ListParagraph"/>
        <w:numPr>
          <w:ilvl w:val="0"/>
          <w:numId w:val="2"/>
        </w:numPr>
        <w:spacing w:after="40" w:before="40"/>
      </w:pPr>
      <w:r>
        <w:rPr>
          <w:rFonts w:ascii="Arial" w:cs="Arial" w:eastAsia="Arial" w:hAnsi="Arial"/>
          <w:color w:val="2D2D2D"/>
          <w:sz w:val="22"/>
          <w:szCs w:val="22"/>
        </w:rPr>
        <w:t xml:space="preserve">Tersedia untuk Architecture Office Hours 2x per minggu untuk konsultasi tim delivery</w:t>
      </w:r>
    </w:p>
    <w:p>
      <w:pPr>
        <w:pStyle w:val="ListParagraph"/>
        <w:numPr>
          <w:ilvl w:val="0"/>
          <w:numId w:val="2"/>
        </w:numPr>
        <w:spacing w:after="40" w:before="40"/>
      </w:pPr>
      <w:r>
        <w:rPr>
          <w:rFonts w:ascii="Arial" w:cs="Arial" w:eastAsia="Arial" w:hAnsi="Arial"/>
          <w:color w:val="2D2D2D"/>
          <w:sz w:val="22"/>
          <w:szCs w:val="22"/>
        </w:rPr>
        <w:t xml:space="preserve">Mengupdate EA Baseline setiap ada perubahan signifikan yang disetujui ARB</w:t>
      </w:r>
    </w:p>
    <w:p>
      <w:pPr>
        <w:pStyle w:val="ListParagraph"/>
        <w:numPr>
          <w:ilvl w:val="0"/>
          <w:numId w:val="2"/>
        </w:numPr>
        <w:spacing w:after="40" w:before="40"/>
      </w:pPr>
      <w:r>
        <w:rPr>
          <w:rFonts w:ascii="Arial" w:cs="Arial" w:eastAsia="Arial" w:hAnsi="Arial"/>
          <w:color w:val="2D2D2D"/>
          <w:sz w:val="22"/>
          <w:szCs w:val="22"/>
        </w:rPr>
        <w:t xml:space="preserve">Melakukan Architecture Health Check terhadap implementasi minimal 1x per bulan</w:t>
      </w:r>
    </w:p>
    <w:p>
      <w:pPr>
        <w:pStyle w:val="ListParagraph"/>
        <w:numPr>
          <w:ilvl w:val="0"/>
          <w:numId w:val="2"/>
        </w:numPr>
        <w:spacing w:after="40" w:before="40"/>
      </w:pPr>
      <w:r>
        <w:rPr>
          <w:rFonts w:ascii="Arial" w:cs="Arial" w:eastAsia="Arial" w:hAnsi="Arial"/>
          <w:color w:val="2D2D2D"/>
          <w:sz w:val="22"/>
          <w:szCs w:val="22"/>
        </w:rPr>
        <w:t xml:space="preserve">Memberikan feedback konstruktif — bukan hanya menolak, tapi memberikan alternatif solusi</w:t>
      </w:r>
    </w:p>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3. KEWAJIBAN PIHAK DELIVERY (Architecture Consumer)</w:t>
      </w:r>
    </w:p>
    <w:p>
      <w:pPr>
        <w:pStyle w:val="ListParagraph"/>
        <w:numPr>
          <w:ilvl w:val="0"/>
          <w:numId w:val="2"/>
        </w:numPr>
        <w:spacing w:after="40" w:before="40"/>
      </w:pPr>
      <w:r>
        <w:rPr>
          <w:rFonts w:ascii="Arial" w:cs="Arial" w:eastAsia="Arial" w:hAnsi="Arial"/>
          <w:color w:val="2D2D2D"/>
          <w:sz w:val="22"/>
          <w:szCs w:val="22"/>
        </w:rPr>
        <w:t xml:space="preserve">Mengajukan Architecture Review Request sebelum memulai implementasi (bukan setelah selesai)</w:t>
      </w:r>
    </w:p>
    <w:p>
      <w:pPr>
        <w:pStyle w:val="ListParagraph"/>
        <w:numPr>
          <w:ilvl w:val="0"/>
          <w:numId w:val="2"/>
        </w:numPr>
        <w:spacing w:after="40" w:before="40"/>
      </w:pPr>
      <w:r>
        <w:rPr>
          <w:rFonts w:ascii="Arial" w:cs="Arial" w:eastAsia="Arial" w:hAnsi="Arial"/>
          <w:color w:val="2D2D2D"/>
          <w:sz w:val="22"/>
          <w:szCs w:val="22"/>
        </w:rPr>
        <w:t xml:space="preserve">Mengikuti Architecture Principles dan Technology Standards yang telah ditetapkan</w:t>
      </w:r>
    </w:p>
    <w:p>
      <w:pPr>
        <w:pStyle w:val="ListParagraph"/>
        <w:numPr>
          <w:ilvl w:val="0"/>
          <w:numId w:val="2"/>
        </w:numPr>
        <w:spacing w:after="40" w:before="40"/>
      </w:pPr>
      <w:r>
        <w:rPr>
          <w:rFonts w:ascii="Arial" w:cs="Arial" w:eastAsia="Arial" w:hAnsi="Arial"/>
          <w:color w:val="2D2D2D"/>
          <w:sz w:val="22"/>
          <w:szCs w:val="22"/>
        </w:rPr>
        <w:t xml:space="preserve">Mendokumentasikan Architecture Decision Records (ADR) untuk setiap keputusan arsitektur signifikan</w:t>
      </w:r>
    </w:p>
    <w:p>
      <w:pPr>
        <w:pStyle w:val="ListParagraph"/>
        <w:numPr>
          <w:ilvl w:val="0"/>
          <w:numId w:val="2"/>
        </w:numPr>
        <w:spacing w:after="40" w:before="40"/>
      </w:pPr>
      <w:r>
        <w:rPr>
          <w:rFonts w:ascii="Arial" w:cs="Arial" w:eastAsia="Arial" w:hAnsi="Arial"/>
          <w:color w:val="2D2D2D"/>
          <w:sz w:val="22"/>
          <w:szCs w:val="22"/>
        </w:rPr>
        <w:t xml:space="preserve">Melaporkan deviasi dari standar arsitektur dalam 2 hari kerja setelah teridentifikasi — jangan ditutup-tutupi</w:t>
      </w:r>
    </w:p>
    <w:p>
      <w:pPr>
        <w:pStyle w:val="ListParagraph"/>
        <w:numPr>
          <w:ilvl w:val="0"/>
          <w:numId w:val="2"/>
        </w:numPr>
        <w:spacing w:after="40" w:before="40"/>
      </w:pPr>
      <w:r>
        <w:rPr>
          <w:rFonts w:ascii="Arial" w:cs="Arial" w:eastAsia="Arial" w:hAnsi="Arial"/>
          <w:color w:val="2D2D2D"/>
          <w:sz w:val="22"/>
          <w:szCs w:val="22"/>
        </w:rPr>
        <w:t xml:space="preserve">Mengimplementasikan feedback dari Architecture Review dalam sprint berikutnya (bukan diabaikan)</w:t>
      </w:r>
    </w:p>
    <w:p>
      <w:pPr>
        <w:pStyle w:val="ListParagraph"/>
        <w:numPr>
          <w:ilvl w:val="0"/>
          <w:numId w:val="2"/>
        </w:numPr>
        <w:spacing w:after="40" w:before="40"/>
      </w:pPr>
      <w:r>
        <w:rPr>
          <w:rFonts w:ascii="Arial" w:cs="Arial" w:eastAsia="Arial" w:hAnsi="Arial"/>
          <w:color w:val="2D2D2D"/>
          <w:sz w:val="22"/>
          <w:szCs w:val="22"/>
        </w:rPr>
        <w:t xml:space="preserve">Menyediakan akses ke source code, deployment config, dan monitoring dashboard untuk keperluan review</w:t>
      </w:r>
    </w:p>
    <w:p>
      <w:pPr>
        <w:pStyle w:val="ListParagraph"/>
        <w:numPr>
          <w:ilvl w:val="0"/>
          <w:numId w:val="2"/>
        </w:numPr>
        <w:spacing w:after="40" w:before="40"/>
      </w:pPr>
      <w:r>
        <w:rPr>
          <w:rFonts w:ascii="Arial" w:cs="Arial" w:eastAsia="Arial" w:hAnsi="Arial"/>
          <w:color w:val="2D2D2D"/>
          <w:sz w:val="22"/>
          <w:szCs w:val="22"/>
        </w:rPr>
        <w:t xml:space="preserve">Memastikan seluruh anggota tim memahami Architecture Principles (mandatory briefing sebelum proyek mulai)</w:t>
      </w:r>
    </w:p>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4. MANDATORY ARCHITECTURE STANDARDS — PROYEK INI</w:t>
      </w:r>
    </w:p>
    <w:p>
      <w:pPr>
        <w:pStyle w:val="Heading3"/>
        <w:spacing w:after="80" w:before="180"/>
      </w:pPr>
      <w:r>
        <w:rPr>
          <w:rFonts w:ascii="Arial" w:cs="Arial" w:eastAsia="Arial" w:hAnsi="Arial"/>
          <w:b/>
          <w:bCs/>
          <w:color w:val="E31837"/>
          <w:sz w:val="24"/>
          <w:szCs w:val="24"/>
        </w:rPr>
        <w:t xml:space="preserve">4.1 Security Standards (MANDATORY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060"/>
      </w:tblGrid>
      <w:tr>
        <w:trPr>
          <w:tblHeader/>
        </w:trPr>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w:t>
            </w:r>
          </w:p>
        </w:tc>
        <w:tc>
          <w:tcPr>
            <w:tcW w:type="dxa" w:w="39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 Ketentuan</w:t>
            </w:r>
          </w:p>
        </w:tc>
        <w:tc>
          <w:tcPr>
            <w:tcW w:type="dxa" w:w="30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Verifikasi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Authentication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OAuth 2.0 + JWT. Keycloak sebagai Identity Provider. MFA wajib untuk admin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ARB Review + Penetration Test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Encryption</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TLS 1.3 untuk semua komunikasi eksternal. AES-256 untuk data PII at rest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Security Scan + ARB Review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Secrets Management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Semua secrets (password, API key, certificate) dikelola di HashiCorp Vault. Zero hardcoded secret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Code Review + SAST Scan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Container Security</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Image scanning wajib di CI/CD. No Critical/High CVE sebelum deploy ke production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Harbor + Trivy dalam pipeline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SAST/DAST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SonarQube (SAST) dan OWASP ZAP (DAST) wajib dalam CI/CD pipeline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Pipeline configuration review</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4.2 API Standards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460"/>
      </w:tblGrid>
      <w:tr>
        <w:trPr>
          <w:tblHeader/>
        </w:trPr>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w:t>
            </w:r>
          </w:p>
        </w:tc>
        <w:tc>
          <w:tcPr>
            <w:tcW w:type="dxa" w:w="3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Ketentuan</w:t>
            </w:r>
          </w:p>
        </w:tc>
        <w:tc>
          <w:tcPr>
            <w:tcW w:type="dxa" w:w="34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Verifikasi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Specification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OpenAPI 3.0 harus ditulis sebelum coding dimulai (API-first)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ARB Review — spec harus ada saat review</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Registration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Semua API wajib didaftarkan di Kong API Gateway sebelum expose ke konsumen</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API Gateway audit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Rate Limiting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Semua public API wajib memiliki rate limiting configured di API Gateway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Kong dashboard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Versioning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/api/v1/ prefix wajib. Perubahan breaking change harus ke /api/v2/</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API review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Error Response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RFC 7807 Problem Details wajib untuk semua error response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Code review + contract test</w:t>
            </w:r>
          </w:p>
        </w:tc>
      </w:tr>
    </w:tbl>
    <w:p>
      <w:pPr>
        <w:spacing w:after="80" w:before="80"/>
      </w:pPr>
      <w:r>
        <w:t xml:space="preserve"/>
      </w:r>
    </w:p>
    <w:p>
      <w:pPr>
        <w:pStyle w:val="Heading3"/>
        <w:spacing w:after="80" w:before="180"/>
      </w:pPr>
      <w:r>
        <w:rPr>
          <w:rFonts w:ascii="Arial" w:cs="Arial" w:eastAsia="Arial" w:hAnsi="Arial"/>
          <w:b/>
          <w:bCs/>
          <w:color w:val="E31837"/>
          <w:sz w:val="24"/>
          <w:szCs w:val="24"/>
        </w:rPr>
        <w:t xml:space="preserve">4.3 Observability Standards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w:t>
            </w:r>
          </w:p>
        </w:tc>
        <w:tc>
          <w:tcPr>
            <w:tcW w:type="dxa" w:w="7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Ketentuan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Health Endpoints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Setiap service wajib expose: GET /health, GET /ready, GET /metrics (Prometheus format)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Structured Logging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Semua log dalam format JSON dengan field: timestamp, level, service, traceId, requestId, message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Distributed Tracing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Semua service wajib propagate OpenTelemetry trace headers (W3C TraceContext)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SLA Alerting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Alert wajib dikonfigurasi untuk: error rate &gt; 1%, latency P95 &gt; SLA, pod restarts &gt; 3x/jam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Dashboard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Grafana dashboard wajib dibuat untuk setiap service: request rate, error rate, duration (RED method)</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5. ARCHITECTURE MILESTONES &amp; REVIEW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500"/>
        <w:gridCol w:w="4060"/>
      </w:tblGrid>
      <w:tr>
        <w:trPr>
          <w:tblHeader/>
        </w:trPr>
        <w:tc>
          <w:tcPr>
            <w:tcW w:type="dxa" w:w="7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Gate</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 Proyek</w:t>
            </w:r>
          </w:p>
        </w:tc>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Architecture Deliverable Wajib</w:t>
            </w:r>
          </w:p>
        </w:tc>
        <w:tc>
          <w:tcPr>
            <w:tcW w:type="dxa" w:w="40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Gate Criteria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Gate 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Project Kickoff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Brief, ADR awal, Technology selection review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ARB menyetujui scope dan approach arsitektur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Gate 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Development Start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Detailed Architecture Design, API Spec, Data Model, Security Design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ARB sign-off — semua design document complete dan approved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Gate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UAT Entry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Health Check Report, Security Scan Results, Performance Test Results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Zero Critical findings, P95 latency sesuai NFR, no hardcoded secrets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Gate 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Go-Live Readiness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Final Compliance Report, DR Test Results, Runbook Complete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Semua mandatory standards terpenuhi, DR berhasil ditest, rollback plan ready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Gate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 Go-Live Review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Production Monitoring Review (30 hari), Technical Debt Backlog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Tidak ada Major incidents terkait architecture, monitoring berjalan normal</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6. DISPUTE RESOLUTION</w:t>
      </w:r>
    </w:p>
    <w:p>
      <w:pPr>
        <w:spacing w:after="60" w:before="60"/>
      </w:pPr>
      <w:r>
        <w:rPr>
          <w:rFonts w:ascii="Arial" w:cs="Arial" w:eastAsia="Arial" w:hAnsi="Arial"/>
          <w:color w:val="2D2D2D"/>
          <w:sz w:val="22"/>
          <w:szCs w:val="22"/>
        </w:rPr>
        <w:t xml:space="preserve">Jika terjadi ketidaksepakatan antara EA Team dan Development Team mengenai keputusan arsitektur: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500"/>
        <w:gridCol w:w="3360"/>
      </w:tblGrid>
      <w:tr>
        <w:trPr>
          <w:tblHeader/>
        </w:trPr>
        <w:tc>
          <w:tcPr>
            <w:tcW w:type="dxa" w:w="7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Tahap</w:t>
            </w:r>
          </w:p>
        </w:tc>
        <w:tc>
          <w:tcPr>
            <w:tcW w:type="dxa" w:w="2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Proses</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3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Eskalasi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Diskusi teknis langsung antara Solution Architect dan CEA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2 hari kerja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2 jika tidak sepakat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Level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Review oleh ARB — kedua pihak mempresentasikan posisi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ARB meeting berikutnya (&lt; 2 minggu)</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Level 3 jika ARB tidak dapat memutuskan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Level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Keputusan final oleh CTO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&lt; 1 minggu setelah Level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Final — tidak ada eskalasi lebih lanjut</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7. PERSETUJUAN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Chief Enterprise Architect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______________________________  Tanggal: ____________</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Chief Technology Officer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______________________________  Tanggal: ____________</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Program Director (Delivery)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______________________________  Tanggal: ____________</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IT Security Manager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______________________________  Tanggal: ____________</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Vendor Representative (jika berlaku)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______________________________  Tanggal: ____________</w:t>
            </w:r>
          </w:p>
        </w:tc>
      </w:tr>
    </w:tbl>
    <w:p>
      <w:pPr>
        <w:spacing w:after="80" w:before="8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1837" w:sz="4" w:space="2"/>
      </w:pBdr>
      <w:tabs>
        <w:tab w:val="right" w:pos="9360"/>
      </w:tabs>
    </w:pPr>
    <w:r>
      <w:rPr>
        <w:rFonts w:ascii="Arial" w:cs="Arial" w:eastAsia="Arial" w:hAnsi="Arial"/>
        <w:color w:val="CCCCCC"/>
        <w:sz w:val="16"/>
        <w:szCs w:val="16"/>
      </w:rPr>
      <w:t xml:space="preserve">© 2025 PT Equity Life Indonesia — Enterprise Architecture Program</w:t>
    </w:r>
    <w:r>
      <w:rPr>
        <w:rFonts w:ascii="Arial" w:cs="Arial" w:eastAsia="Arial" w:hAnsi="Arial"/>
        <w:color w:val="CCCCCC"/>
        <w:sz w:val="16"/>
        <w:szCs w:val="16"/>
      </w:rPr>
      <w:t xml:space="preserve">	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837" w:sz="4" w:space="2"/>
      </w:pBdr>
      <w:tabs>
        <w:tab w:val="right" w:pos="9360"/>
      </w:tabs>
    </w:pPr>
    <w:r>
      <w:rPr>
        <w:rFonts w:ascii="Arial" w:cs="Arial" w:eastAsia="Arial" w:hAnsi="Arial"/>
        <w:b/>
        <w:bCs/>
        <w:color w:val="E31837"/>
        <w:sz w:val="18"/>
        <w:szCs w:val="18"/>
      </w:rPr>
      <w:t xml:space="preserve">PT Equity Life Indonesia  |  </w:t>
    </w:r>
    <w:r>
      <w:rPr>
        <w:rFonts w:ascii="Arial" w:cs="Arial" w:eastAsia="Arial" w:hAnsi="Arial"/>
        <w:color w:val="1A2647"/>
        <w:sz w:val="18"/>
        <w:szCs w:val="18"/>
      </w:rPr>
      <w:t xml:space="preserve">EA-DOC-10: Architecture Contract</w:t>
    </w:r>
    <w:r>
      <w:rPr>
        <w:rFonts w:ascii="Arial" w:cs="Arial" w:eastAsia="Arial" w:hAnsi="Arial"/>
        <w:color w:val="CCCCCC"/>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E31837" w:sz="6" w:space="4"/>
      </w:pBdr>
      <w:spacing w:after="120" w:before="260"/>
      <w:outlineLvl w:val="1"/>
    </w:pPr>
    <w:rPr>
      <w:rFonts w:ascii="Arial" w:cs="Arial" w:eastAsia="Arial" w:hAnsi="Arial"/>
      <w:b/>
      <w:bCs/>
      <w:color w:val="1A264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318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2026-04-07T02:51:36.105Z</dcterms:created>
  <dcterms:modified xsi:type="dcterms:W3CDTF">2026-04-07T02:51:36.105Z</dcterms:modified>
</cp:coreProperties>
</file>

<file path=docProps/custom.xml><?xml version="1.0" encoding="utf-8"?>
<Properties xmlns="http://schemas.openxmlformats.org/officeDocument/2006/custom-properties" xmlns:vt="http://schemas.openxmlformats.org/officeDocument/2006/docPropsVTypes"/>
</file>