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E31837" w:val="clear"/>
        <w:spacing w:after="0" w:before="0"/>
        <w:ind w:left="360" w:right="360"/>
      </w:pPr>
      <w:r>
        <w:rPr>
          <w:rFonts w:ascii="Arial" w:cs="Arial" w:eastAsia="Arial" w:hAnsi="Arial"/>
          <w:b/>
          <w:bCs/>
          <w:color w:val="FFFFFF"/>
          <w:sz w:val="48"/>
          <w:szCs w:val="48"/>
        </w:rPr>
        <w:t xml:space="preserve">ENTERPRISE ARCHITECTURE MATURITY ASSESSMENT</w:t>
      </w:r>
    </w:p>
    <w:p>
      <w:pPr>
        <w:shd w:fill="1A2647" w:val="clear"/>
        <w:spacing w:after="240" w:before="0"/>
        <w:ind w:left="360" w:right="360"/>
      </w:pPr>
      <w:r>
        <w:rPr>
          <w:rFonts w:ascii="Arial" w:cs="Arial" w:eastAsia="Arial" w:hAnsi="Arial"/>
          <w:color w:val="BFC5D4"/>
          <w:sz w:val="22"/>
          <w:szCs w:val="22"/>
        </w:rPr>
        <w:t xml:space="preserve">TOGAF ADM Phase H — Architecture Change Management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Nomor Dokumen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ELI-EA-MATURITY-2025-001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TOGAF Phase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Phase H — Architecture Change Management</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Framework Penilaian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TOGAF Architecture Maturity Model + Gartner ITScore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Versi</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1.0</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Tanggal Penilaian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April 2025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Assessor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Enterprise Architecture Team + External Consultant</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Divalidasi Oleh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CTO</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1. METODOLOGI PENILAIAN</w:t>
      </w:r>
    </w:p>
    <w:p>
      <w:pPr>
        <w:spacing w:after="60" w:before="60"/>
      </w:pPr>
      <w:r>
        <w:rPr>
          <w:rFonts w:ascii="Arial" w:cs="Arial" w:eastAsia="Arial" w:hAnsi="Arial"/>
          <w:color w:val="2D2D2D"/>
          <w:sz w:val="22"/>
          <w:szCs w:val="22"/>
        </w:rPr>
        <w:t xml:space="preserve">Penilaian EA Maturity menggunakan 5-level maturity model yang diadaptasi dari TOGAF Architecture Maturity Model, dengan skala: Level 1 (Initial/Ad-hoc) → Level 2 (Repeatable) → Level 3 (Defined) → Level 4 (Managed) → Level 5 (Optimizing). Penilaian dilakukan melalui wawancara dengan 25 stakeholder, review dokumentasi, dan observasi proses selama 4 minggu.</w:t>
      </w:r>
    </w:p>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2. HASIL PENILAIAN MATURITY — SAAT INI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700"/>
        <w:gridCol w:w="3000"/>
        <w:gridCol w:w="1360"/>
      </w:tblGrid>
      <w:tr>
        <w:trPr>
          <w:tblHeader/>
        </w:trPr>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 EA</w:t>
            </w:r>
          </w:p>
        </w:tc>
        <w:tc>
          <w:tcPr>
            <w:tcW w:type="dxa" w:w="13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 Saat Ini</w:t>
            </w:r>
          </w:p>
        </w:tc>
        <w:tc>
          <w:tcPr>
            <w:tcW w:type="dxa" w:w="7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Skor (1-5)</w:t>
            </w:r>
          </w:p>
        </w:tc>
        <w:tc>
          <w:tcPr>
            <w:tcW w:type="dxa" w:w="3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Justifikasi</w:t>
            </w:r>
          </w:p>
        </w:tc>
        <w:tc>
          <w:tcPr>
            <w:tcW w:type="dxa" w:w="13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2027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EA Organization &amp; Governance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Level 1 — Initial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Tidak ada EA formal. Keputusan arsitektur ad-hoc. Tidak ada ARB. CEA baru diangkat.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Level 3</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Architecture Process (ADM)</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Level 1 — Initial</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Tidak ada proses EA yang terdefinisi. Tidak ada phase atau deliverable.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Level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Architecture Content &amp; Artifacts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Level 2 — Repeatable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Ada beberapa dokumen teknis tapi tidak sistematis, tidak terkonsolidasi.</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Level 3</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Architecture Repository &amp; Tooling</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Level 1 — Initial</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Tidak ada EA repository. Dokumen tersebar di SharePoint, email, personal drive.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Level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Stakeholder Engagement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Level 2 — Repeatable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Komunikasi IT-Bisnis ada tapi reaktif. Tidak ada forum EA reguler.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Level 4</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Technology Management</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Level 2 — Repeatable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Technology catalog tidak lengkap. Lifecycle management tidak konsisten.</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Level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Security Architecture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Level 2 — Repeatable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Kebijakan keamanan ada tapi implementasi parsial. Belum ISO 27001.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Level 4</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Data Architecture &amp; Governance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Level 1 — Initial</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Tidak ada data governance formal. MDM tidak ada. Data silo di setiap aplikasi.</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Level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Business-IT Alignment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Level 2 — Repeatable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IT sering dianggap cost center bukan enabler strategis.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Level 4</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EA Program Management</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Level 1 — Initial</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Tidak ada EA program formal. Tidak ada roadmap, budget, atau PMO untuk EA.</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Level 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31837" w:sz="1"/>
              <w:left w:val="single" w:color="E31837" w:sz="12"/>
              <w:bottom w:val="single" w:color="E31837" w:sz="1"/>
              <w:right w:val="single" w:color="E31837" w:sz="1"/>
            </w:tcBorders>
            <w:shd w:fill="FDECEA" w:val="clear"/>
            <w:tcMar>
              <w:top w:type="dxa" w:w="120"/>
              <w:left w:type="dxa" w:w="200"/>
              <w:bottom w:type="dxa" w:w="120"/>
              <w:right w:type="dxa" w:w="200"/>
            </w:tcMar>
          </w:tcPr>
          <w:p>
            <w:r>
              <w:rPr>
                <w:rFonts w:ascii="Arial" w:cs="Arial" w:eastAsia="Arial" w:hAnsi="Arial"/>
                <w:b/>
                <w:bCs/>
                <w:color w:val="E31837"/>
                <w:sz w:val="22"/>
                <w:szCs w:val="22"/>
              </w:rPr>
              <w:t xml:space="preserve">Overall EA Maturity Score</w:t>
            </w:r>
          </w:p>
          <w:p>
            <w:pPr>
              <w:spacing w:before="60"/>
            </w:pPr>
            <w:r>
              <w:rPr>
                <w:rFonts w:ascii="Arial" w:cs="Arial" w:eastAsia="Arial" w:hAnsi="Arial"/>
                <w:color w:val="2D2D2D"/>
                <w:sz w:val="21"/>
                <w:szCs w:val="21"/>
              </w:rPr>
              <w:t xml:space="preserve">Skor keseluruhan: 1.45 / 5.0 (Level 1-2 — Initial to Repeatable). PT Equity Life Indonesia berada di tahap awal journey Enterprise Architecture. Ini adalah kondisi yang umum untuk perusahaan asuransi yang baru memulai program EA formal. Target realistis 2027: Level 3 (Defined) secara keseluruhan.</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3. IMPROVEMENT ROADMAP PER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100"/>
        <w:gridCol w:w="900"/>
        <w:gridCol w:w="2760"/>
      </w:tblGrid>
      <w:tr>
        <w:trPr>
          <w:tblHeader/>
        </w:trPr>
        <w:tc>
          <w:tcPr>
            <w:tcW w:type="dxa" w:w="1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w:t>
            </w:r>
          </w:p>
        </w:tc>
        <w:tc>
          <w:tcPr>
            <w:tcW w:type="dxa" w:w="2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Inisiatif Improvement</w:t>
            </w:r>
          </w:p>
        </w:tc>
        <w:tc>
          <w:tcPr>
            <w:tcW w:type="dxa" w:w="11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c>
          <w:tcPr>
            <w:tcW w:type="dxa" w:w="9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c>
          <w:tcPr>
            <w:tcW w:type="dxa" w:w="27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Outcome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EA Governance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Establish ARB, buat charter, define processes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Q1–Q2 2025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ARB aktif, semua proyek melalui review</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EA Process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Implement TOGAF ADM, buat templates, training SA</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Q1–Q3 2025</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High</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Semua proyek mengikuti EA process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EA Repository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Deploy EA tooling (LeanIX / Ardoq), migrate artifacts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Q2–Q3 2025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Single source of truth untuk semua EA artifacts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Data Governance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Establish Data Council, buat data governance policy, MDM</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Q2–Q4 2025</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High</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Data quality KPI aktif, Golden Record nasabah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Security Architecture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ISO 27001 certification program, security baseline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Q2 2025 – Q1 2026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ISO 27001 certified Q1 2026</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Stakeholder Engagement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Monthly EA Forum, C-Level EA briefing quarterly</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Q2 2025</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Low</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Business-IT alignment meningkat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Technology Management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Complete technology catalog, lifecycle policy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Q2–Q3 2025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100% aplikasi tercatalog, EOL managed proactively</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4. BENCHMARKING — INDUSTRI ASURANSI INDONESIA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2360"/>
      </w:tblGrid>
      <w:tr>
        <w:trPr>
          <w:tblHeader/>
        </w:trPr>
        <w:tc>
          <w:tcPr>
            <w:tcW w:type="dxa" w:w="2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Metrik Benchmark</w:t>
            </w:r>
          </w:p>
        </w:tc>
        <w:tc>
          <w:tcPr>
            <w:tcW w:type="dxa" w:w="1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ELI (2025)</w:t>
            </w:r>
          </w:p>
        </w:tc>
        <w:tc>
          <w:tcPr>
            <w:tcW w:type="dxa" w:w="1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Rata-rata Industri</w:t>
            </w:r>
          </w:p>
        </w:tc>
        <w:tc>
          <w:tcPr>
            <w:tcW w:type="dxa" w:w="23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Practice (Top Quartile)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EA Maturity 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1.45 / 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2.1 / 5.0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3.5 / 5.0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IT Cost / Premium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3.2%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2.8%</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Time-to-Market Produk Baru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6 bulan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 bulan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6 minggu</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 Klaim Digital (Paperless)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35%</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75%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System Availability (Core)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96.5%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98.5%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99.9%</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Data Quality Score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Tidak diukur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72%</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92%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Security Maturity (CMMI)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Level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Level 2.5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Level 4</w:t>
            </w:r>
          </w:p>
        </w:tc>
      </w:tr>
    </w:tbl>
    <w:p>
      <w:pPr>
        <w:spacing w:after="80" w:before="80"/>
      </w:pPr>
      <w:r>
        <w:t xml:space="preserve"/>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1837" w:sz="4" w:space="2"/>
      </w:pBdr>
      <w:tabs>
        <w:tab w:val="right" w:pos="9360"/>
      </w:tabs>
    </w:pPr>
    <w:r>
      <w:rPr>
        <w:rFonts w:ascii="Arial" w:cs="Arial" w:eastAsia="Arial" w:hAnsi="Arial"/>
        <w:color w:val="CCCCCC"/>
        <w:sz w:val="16"/>
        <w:szCs w:val="16"/>
      </w:rPr>
      <w:t xml:space="preserve">© 2025 PT Equity Life Indonesia — Enterprise Architecture Program</w:t>
    </w:r>
    <w:r>
      <w:rPr>
        <w:rFonts w:ascii="Arial" w:cs="Arial" w:eastAsia="Arial" w:hAnsi="Arial"/>
        <w:color w:val="CCCCCC"/>
        <w:sz w:val="16"/>
        <w:szCs w:val="16"/>
      </w:rPr>
      <w:t xml:space="preserve">	Hal.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1837" w:sz="4" w:space="2"/>
      </w:pBdr>
      <w:tabs>
        <w:tab w:val="right" w:pos="9360"/>
      </w:tabs>
    </w:pPr>
    <w:r>
      <w:rPr>
        <w:rFonts w:ascii="Arial" w:cs="Arial" w:eastAsia="Arial" w:hAnsi="Arial"/>
        <w:b/>
        <w:bCs/>
        <w:color w:val="E31837"/>
        <w:sz w:val="18"/>
        <w:szCs w:val="18"/>
      </w:rPr>
      <w:t xml:space="preserve">PT Equity Life Indonesia  |  </w:t>
    </w:r>
    <w:r>
      <w:rPr>
        <w:rFonts w:ascii="Arial" w:cs="Arial" w:eastAsia="Arial" w:hAnsi="Arial"/>
        <w:color w:val="1A2647"/>
        <w:sz w:val="18"/>
        <w:szCs w:val="18"/>
      </w:rPr>
      <w:t xml:space="preserve">EA-DOC-11: EA Maturity Assessment</w:t>
    </w:r>
    <w:r>
      <w:rPr>
        <w:rFonts w:ascii="Arial" w:cs="Arial" w:eastAsia="Arial" w:hAnsi="Arial"/>
        <w:color w:val="CCCCCC"/>
        <w:sz w:val="16"/>
        <w:szCs w:val="16"/>
      </w:rPr>
      <w:t xml:space="preserve">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36"/>
      <w:szCs w:val="36"/>
    </w:rPr>
  </w:style>
  <w:style w:type="paragraph" w:styleId="Heading2">
    <w:name w:val="Heading 2"/>
    <w:basedOn w:val="Normal"/>
    <w:next w:val="Normal"/>
    <w:qFormat/>
    <w:pPr>
      <w:pBdr>
        <w:bottom w:val="single" w:color="E31837" w:sz="6" w:space="4"/>
      </w:pBdr>
      <w:spacing w:after="120" w:before="260"/>
      <w:outlineLvl w:val="1"/>
    </w:pPr>
    <w:rPr>
      <w:rFonts w:ascii="Arial" w:cs="Arial" w:eastAsia="Arial" w:hAnsi="Arial"/>
      <w:b/>
      <w:bCs/>
      <w:color w:val="1A264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318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2026-04-07T02:54:27.193Z</dcterms:created>
  <dcterms:modified xsi:type="dcterms:W3CDTF">2026-04-07T02:54:27.193Z</dcterms:modified>
</cp:coreProperties>
</file>

<file path=docProps/custom.xml><?xml version="1.0" encoding="utf-8"?>
<Properties xmlns="http://schemas.openxmlformats.org/officeDocument/2006/custom-properties" xmlns:vt="http://schemas.openxmlformats.org/officeDocument/2006/docPropsVTypes"/>
</file>