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31837" w:val="clear"/>
        <w:spacing w:after="0" w:before="0"/>
        <w:ind w:left="360" w:right="36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IT ARCHITECTURE RISK REGISTER</w:t>
      </w:r>
    </w:p>
    <w:p>
      <w:pPr>
        <w:shd w:fill="1A2647" w:val="clear"/>
        <w:spacing w:after="240" w:before="0"/>
        <w:ind w:left="360" w:right="360"/>
      </w:pPr>
      <w:r>
        <w:rPr>
          <w:rFonts w:ascii="Arial" w:cs="Arial" w:eastAsia="Arial" w:hAnsi="Arial"/>
          <w:color w:val="BFC5D4"/>
          <w:sz w:val="22"/>
          <w:szCs w:val="22"/>
        </w:rPr>
        <w:t xml:space="preserve">Enterprise Architecture Program — PT Equity Life Indonesia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ELI-EA-RISK-2025-001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Versi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Tanggal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April 2025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Pemilik Dokumen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Chief Enterprise Architect + Chief Risk Officer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Bulanan oleh ARB, Quarterly oleh Risk Committee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647"/>
                <w:sz w:val="20"/>
                <w:szCs w:val="20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ISO 31000, COBIT 2019, NIST CSF 2.0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1. RISK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 Risiko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Sub-Kategori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Contoh Risiko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Strategic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Technology Strategy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Pilihan teknologi yang tidak sesuai tren industri jangka panjang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Operational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System Availability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Downtime sistem core yang mempengaruhi layanan nasabah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Cyber Threat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Ransomware, data breach, social engineering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Compliance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Regulatory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Ketidakpatuhan terhadap POJK, UU PDP, atau OJK audit finding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Delivery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Project Execution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Timeline slip, cost overrun, scope creep dalam proyek transformasi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Vendor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Third-party Dependency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Vendor lock-in, vendor bangkrut, SLA breach dari vendor kritis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Quality &amp; Privacy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corruption, kehilangan data nasabah, privacy breach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Integration Risk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System Integration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Kegagalan integrasi dengan sistem mitra (bank, BPJS, OJK)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2. RISK REGISTER — ARCHITECTURE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900"/>
        <w:gridCol w:w="700"/>
        <w:gridCol w:w="700"/>
        <w:gridCol w:w="900"/>
        <w:gridCol w:w="900"/>
        <w:gridCol w:w="2000"/>
        <w:gridCol w:w="1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 Risiko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 (1-5)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 (1-5)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Score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RISK-001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Core Legacy System failure sebelum pengganti siap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 — KRITIS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Parallel running PAS baru. DR plan. 24/7 monitoring legacy.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RISK-002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breach nasabah via aplikasi baru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 — KRITIS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Penetration testing, WAF, encryption at rest, SIEM monitoring.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RISK-003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Ketidakpatuhan OJK — laporan terlambat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Compliance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 — KRITIS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 automated OJK Reporting Engine. Parallel manual backup.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RISK-004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migration error — kehilangan data polis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 — TINGGI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Triple validation, parallel running 60 hari, backup lengkap pre-migration.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Data Architect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RISK-005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Vendor implementor gagal deliver (capability/finansial)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Vendor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 — TINGGI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Escrow code, knowledge transfer wajib, backup vendor identified.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PMO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RISK-006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API Bancassurance tidak compatible dengan core baru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 — TINGGI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E2E integration testing dengan semua mitra sebelum cutover.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Integration Lead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RISK-007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Resistensi tinggi dari agen terhadap portal baru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 — TINGGI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Change management program, champion network, incentive untuk early adopter.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Change Manager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RISK-008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Cost overrun program transformasi &gt; 30%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Delivery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 — TINGGI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Fixed-price contract untuk komponen tertentu. Monthly budget review.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CFO + PMO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RISK-009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Performance degradasi di peak bulan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Operational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9 — SEDANG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Load testing 200%, auto-scaling, capacity planning quarterly.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Infra Architect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RISK-010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Shadow IT — unit bisnis beli tool tanpa EA review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Strategic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 — TINGGI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Policy shadow IT, mandatory EA review, procurement gate.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CEA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RISK-011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Key person risk — CEA atau Data Architect resign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Strategic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12 — TINGGI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Knowledge documentation, succession plan, backup roles identified.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HR + CTO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RISK-012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Serangan ransomware ke infrastructure baru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Security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 — TINGGI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Air-gapped backup, EDR di semua endpoint, incident response drill.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CISO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31837" w:sz="6" w:space="4"/>
        </w:pBdr>
        <w:spacing w:after="120" w:before="280"/>
      </w:pPr>
      <w:r>
        <w:rPr>
          <w:rFonts w:ascii="Arial" w:cs="Arial" w:eastAsia="Arial" w:hAnsi="Arial"/>
          <w:b/>
          <w:bCs/>
          <w:color w:val="1A2647"/>
          <w:sz w:val="28"/>
          <w:szCs w:val="28"/>
        </w:rPr>
        <w:t xml:space="preserve">3. RISK HEAT MAP —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42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Klasifikasi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Jumlah Risiko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6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15–25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KRITIS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risiko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Immediate action — eskalasi ke CTO/BOD, mitigasi segera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10–14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TINGGI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 risiko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monitoring — mitigasi dalam 30 hari, laporan ke ARB monthly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5–9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SEDANG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 risiko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Monitor quarterly — mitigasi dalam rencana project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1–4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RENDAH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 risiko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Accept — review tahunan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1837" w:sz="4" w:space="2"/>
      </w:pBdr>
      <w:tabs>
        <w:tab w:val="right" w:pos="9360"/>
      </w:tabs>
    </w:pPr>
    <w:r>
      <w:rPr>
        <w:rFonts w:ascii="Arial" w:cs="Arial" w:eastAsia="Arial" w:hAnsi="Arial"/>
        <w:color w:val="CCCCCC"/>
        <w:sz w:val="16"/>
        <w:szCs w:val="16"/>
      </w:rPr>
      <w:t xml:space="preserve">© 2025 PT Equity Life Indonesia — Enterprise Architecture Program</w:t>
    </w:r>
    <w:r>
      <w:rPr>
        <w:rFonts w:ascii="Arial" w:cs="Arial" w:eastAsia="Arial" w:hAnsi="Arial"/>
        <w:color w:val="CCCCCC"/>
        <w:sz w:val="16"/>
        <w:szCs w:val="16"/>
      </w:rPr>
      <w:t xml:space="preserve">	Hal.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1837" w:sz="4" w:space="2"/>
      </w:pBdr>
      <w:tabs>
        <w:tab w:val="right" w:pos="9360"/>
      </w:tabs>
    </w:pPr>
    <w:r>
      <w:rPr>
        <w:rFonts w:ascii="Arial" w:cs="Arial" w:eastAsia="Arial" w:hAnsi="Arial"/>
        <w:b/>
        <w:bCs/>
        <w:color w:val="E31837"/>
        <w:sz w:val="18"/>
        <w:szCs w:val="18"/>
      </w:rPr>
      <w:t xml:space="preserve">PT Equity Life Indonesia  |  </w:t>
    </w:r>
    <w:r>
      <w:rPr>
        <w:rFonts w:ascii="Arial" w:cs="Arial" w:eastAsia="Arial" w:hAnsi="Arial"/>
        <w:color w:val="1A2647"/>
        <w:sz w:val="18"/>
        <w:szCs w:val="18"/>
      </w:rPr>
      <w:t xml:space="preserve">EA-DOC-12: IT Architecture Risk Register</w:t>
    </w:r>
    <w:r>
      <w:rPr>
        <w:rFonts w:ascii="Arial" w:cs="Arial" w:eastAsia="Arial" w:hAnsi="Arial"/>
        <w:color w:val="CCCCCC"/>
        <w:sz w:val="16"/>
        <w:szCs w:val="16"/>
      </w:rPr>
      <w:t xml:space="preserve">	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pBdr>
        <w:bottom w:val="single" w:color="E31837" w:sz="6" w:space="4"/>
      </w:pBdr>
      <w:spacing w:after="120" w:before="260"/>
      <w:outlineLvl w:val="1"/>
    </w:pPr>
    <w:rPr>
      <w:rFonts w:ascii="Arial" w:cs="Arial" w:eastAsia="Arial" w:hAnsi="Arial"/>
      <w:b/>
      <w:bCs/>
      <w:color w:val="1A264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E318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2026-04-07T02:54:27.209Z</dcterms:created>
  <dcterms:modified xsi:type="dcterms:W3CDTF">2026-04-07T02:54:27.209Z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